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97" w:rsidRPr="003F34C0" w:rsidRDefault="00CB5A97" w:rsidP="00CB5A97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 S1</w:t>
      </w:r>
      <w:r w:rsidRPr="003F34C0">
        <w:rPr>
          <w:rFonts w:ascii="Times New Roman" w:hAnsi="Times New Roman"/>
          <w:b/>
        </w:rPr>
        <w:t xml:space="preserve">.  Validation of NIGMS </w:t>
      </w:r>
      <w:proofErr w:type="spellStart"/>
      <w:r w:rsidRPr="003F34C0">
        <w:rPr>
          <w:rFonts w:ascii="Times New Roman" w:hAnsi="Times New Roman"/>
          <w:b/>
        </w:rPr>
        <w:t>eQTLs</w:t>
      </w:r>
      <w:proofErr w:type="spellEnd"/>
      <w:r w:rsidRPr="003F34C0">
        <w:rPr>
          <w:rFonts w:ascii="Times New Roman" w:hAnsi="Times New Roman"/>
          <w:b/>
        </w:rPr>
        <w:t xml:space="preserve"> for </w:t>
      </w:r>
      <w:r w:rsidRPr="00335AB7">
        <w:rPr>
          <w:rFonts w:ascii="Times New Roman" w:hAnsi="Times New Roman"/>
          <w:b/>
          <w:i/>
        </w:rPr>
        <w:t>AMFR</w:t>
      </w:r>
      <w:r w:rsidRPr="003F34C0">
        <w:rPr>
          <w:rFonts w:ascii="Times New Roman" w:hAnsi="Times New Roman"/>
          <w:b/>
        </w:rPr>
        <w:t xml:space="preserve"> and </w:t>
      </w:r>
      <w:r w:rsidRPr="00335AB7">
        <w:rPr>
          <w:rFonts w:ascii="Times New Roman" w:hAnsi="Times New Roman"/>
          <w:b/>
          <w:i/>
        </w:rPr>
        <w:t>PLA2G4C</w:t>
      </w:r>
    </w:p>
    <w:p w:rsidR="00CB5A97" w:rsidRPr="00FA5904" w:rsidRDefault="00CB5A97" w:rsidP="00CB5A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C892686" wp14:editId="4497C523">
            <wp:extent cx="6576822" cy="439369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822" cy="439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97" w:rsidRDefault="00CB5A97" w:rsidP="00CB5A97">
      <w:pPr>
        <w:jc w:val="both"/>
        <w:rPr>
          <w:rFonts w:ascii="Times New Roman" w:hAnsi="Times New Roman"/>
        </w:rPr>
      </w:pPr>
      <w:r w:rsidRPr="003F34C0">
        <w:rPr>
          <w:rFonts w:ascii="Times New Roman" w:hAnsi="Times New Roman"/>
        </w:rPr>
        <w:t xml:space="preserve">Two </w:t>
      </w:r>
      <w:proofErr w:type="spellStart"/>
      <w:r w:rsidRPr="003F34C0">
        <w:rPr>
          <w:rFonts w:ascii="Times New Roman" w:hAnsi="Times New Roman"/>
        </w:rPr>
        <w:t>eQTLs</w:t>
      </w:r>
      <w:proofErr w:type="spellEnd"/>
      <w:r w:rsidRPr="003F34C0">
        <w:rPr>
          <w:rFonts w:ascii="Times New Roman" w:hAnsi="Times New Roman"/>
        </w:rPr>
        <w:t xml:space="preserve"> were found to have highly significant associations </w:t>
      </w:r>
      <w:r>
        <w:rPr>
          <w:rFonts w:ascii="Times New Roman" w:hAnsi="Times New Roman"/>
        </w:rPr>
        <w:t>by</w:t>
      </w:r>
      <w:r w:rsidRPr="003F34C0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global adjustment (GA)</w:t>
      </w:r>
      <w:r w:rsidRPr="003F34C0">
        <w:rPr>
          <w:rFonts w:ascii="Times New Roman" w:hAnsi="Times New Roman"/>
        </w:rPr>
        <w:t xml:space="preserve"> method, but were non-significant </w:t>
      </w:r>
      <w:r>
        <w:rPr>
          <w:rFonts w:ascii="Times New Roman" w:hAnsi="Times New Roman"/>
        </w:rPr>
        <w:t>with</w:t>
      </w:r>
      <w:r w:rsidRPr="003F34C0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local ancestry (LA)</w:t>
      </w:r>
      <w:r w:rsidRPr="003F34C0">
        <w:rPr>
          <w:rFonts w:ascii="Times New Roman" w:hAnsi="Times New Roman"/>
        </w:rPr>
        <w:t xml:space="preserve"> adjustment method (purple dots in </w:t>
      </w:r>
      <w:r w:rsidRPr="003F34C0">
        <w:rPr>
          <w:rFonts w:ascii="Times New Roman" w:hAnsi="Times New Roman"/>
          <w:b/>
        </w:rPr>
        <w:t xml:space="preserve">Figure </w:t>
      </w:r>
      <w:r w:rsidR="002E23F6">
        <w:rPr>
          <w:rFonts w:ascii="Times New Roman" w:hAnsi="Times New Roman"/>
          <w:b/>
        </w:rPr>
        <w:t>1</w:t>
      </w:r>
      <w:r w:rsidRPr="003F34C0">
        <w:rPr>
          <w:rFonts w:ascii="Times New Roman" w:hAnsi="Times New Roman"/>
          <w:b/>
        </w:rPr>
        <w:t>A</w:t>
      </w:r>
      <w:r w:rsidRPr="003F34C0">
        <w:rPr>
          <w:rFonts w:ascii="Times New Roman" w:hAnsi="Times New Roman"/>
        </w:rPr>
        <w:t xml:space="preserve">). We investigated whether these </w:t>
      </w:r>
      <w:proofErr w:type="spellStart"/>
      <w:r w:rsidRPr="003F34C0">
        <w:rPr>
          <w:rFonts w:ascii="Times New Roman" w:hAnsi="Times New Roman"/>
        </w:rPr>
        <w:t>eQTLs</w:t>
      </w:r>
      <w:proofErr w:type="spellEnd"/>
      <w:r w:rsidRPr="003F34C0">
        <w:rPr>
          <w:rFonts w:ascii="Times New Roman" w:hAnsi="Times New Roman"/>
        </w:rPr>
        <w:t xml:space="preserve"> were driven by association with LA, which may have inflated their p-values with the </w:t>
      </w:r>
      <w:r>
        <w:rPr>
          <w:rFonts w:ascii="Times New Roman" w:hAnsi="Times New Roman"/>
        </w:rPr>
        <w:t xml:space="preserve">global adjustment </w:t>
      </w:r>
      <w:r w:rsidRPr="003F34C0">
        <w:rPr>
          <w:rFonts w:ascii="Times New Roman" w:hAnsi="Times New Roman"/>
        </w:rPr>
        <w:t>method. Our additional analysis strongly suggests that thes</w:t>
      </w:r>
      <w:r>
        <w:rPr>
          <w:rFonts w:ascii="Times New Roman" w:hAnsi="Times New Roman"/>
        </w:rPr>
        <w:t>e were false positive findings.</w:t>
      </w:r>
    </w:p>
    <w:p w:rsidR="00CB5A97" w:rsidRPr="003F34C0" w:rsidRDefault="00CB5A97" w:rsidP="00CB5A97">
      <w:pPr>
        <w:jc w:val="both"/>
        <w:rPr>
          <w:rFonts w:ascii="Times New Roman" w:hAnsi="Times New Roman"/>
        </w:rPr>
      </w:pPr>
      <w:r w:rsidRPr="0082283C">
        <w:rPr>
          <w:rFonts w:ascii="Times New Roman" w:hAnsi="Times New Roman"/>
          <w:b/>
        </w:rPr>
        <w:t xml:space="preserve">A, D. </w:t>
      </w:r>
      <w:r w:rsidRPr="003F34C0">
        <w:rPr>
          <w:rFonts w:ascii="Times New Roman" w:hAnsi="Times New Roman"/>
        </w:rPr>
        <w:t xml:space="preserve"> Boxplot of genotype to gene expression in NIGMS AA dataset, showing the SNPs as significantly associated with gene expression using the </w:t>
      </w:r>
      <w:r>
        <w:rPr>
          <w:rFonts w:ascii="Times New Roman" w:hAnsi="Times New Roman"/>
        </w:rPr>
        <w:t xml:space="preserve">global adjustment </w:t>
      </w:r>
      <w:r w:rsidRPr="003F34C0">
        <w:rPr>
          <w:rFonts w:ascii="Times New Roman" w:hAnsi="Times New Roman"/>
        </w:rPr>
        <w:t>approach.</w:t>
      </w:r>
    </w:p>
    <w:p w:rsidR="00CB5A97" w:rsidRPr="003F34C0" w:rsidRDefault="00CB5A97" w:rsidP="00CB5A97">
      <w:pPr>
        <w:jc w:val="both"/>
        <w:rPr>
          <w:rFonts w:ascii="Times New Roman" w:hAnsi="Times New Roman"/>
        </w:rPr>
      </w:pPr>
      <w:r w:rsidRPr="0082283C">
        <w:rPr>
          <w:rFonts w:ascii="Times New Roman" w:hAnsi="Times New Roman"/>
          <w:b/>
        </w:rPr>
        <w:t>B, E.</w:t>
      </w:r>
      <w:r w:rsidRPr="003F34C0">
        <w:rPr>
          <w:rFonts w:ascii="Times New Roman" w:hAnsi="Times New Roman"/>
        </w:rPr>
        <w:t xml:space="preserve">  Boxplot of genotype to gene expression in subsamples of two African ancestry alleles in NIGMS AA dataset, showing no support for the associations in an African background</w:t>
      </w:r>
      <w:r>
        <w:rPr>
          <w:rFonts w:ascii="Times New Roman" w:hAnsi="Times New Roman"/>
        </w:rPr>
        <w:t>.</w:t>
      </w:r>
    </w:p>
    <w:p w:rsidR="00CB5A97" w:rsidRDefault="00CB5A97" w:rsidP="00CB5A97">
      <w:pPr>
        <w:jc w:val="both"/>
        <w:rPr>
          <w:rFonts w:ascii="Times New Roman" w:hAnsi="Times New Roman"/>
        </w:rPr>
      </w:pPr>
      <w:r w:rsidRPr="0082283C">
        <w:rPr>
          <w:rFonts w:ascii="Times New Roman" w:hAnsi="Times New Roman"/>
          <w:b/>
        </w:rPr>
        <w:t xml:space="preserve">C, F. </w:t>
      </w:r>
      <w:r w:rsidRPr="003F34C0">
        <w:rPr>
          <w:rFonts w:ascii="Times New Roman" w:hAnsi="Times New Roman"/>
        </w:rPr>
        <w:t xml:space="preserve"> Boxplot of genotype to gene expression in </w:t>
      </w:r>
      <w:proofErr w:type="spellStart"/>
      <w:r w:rsidRPr="003F34C0">
        <w:rPr>
          <w:rFonts w:ascii="Times New Roman" w:hAnsi="Times New Roman"/>
        </w:rPr>
        <w:t>HapMap</w:t>
      </w:r>
      <w:proofErr w:type="spellEnd"/>
      <w:r w:rsidRPr="003F34C0">
        <w:rPr>
          <w:rFonts w:ascii="Times New Roman" w:hAnsi="Times New Roman"/>
        </w:rPr>
        <w:t xml:space="preserve"> CEU dataset, showing no support for the associations in European </w:t>
      </w:r>
      <w:r>
        <w:rPr>
          <w:rFonts w:ascii="Times New Roman" w:hAnsi="Times New Roman"/>
        </w:rPr>
        <w:t>background.</w:t>
      </w:r>
    </w:p>
    <w:p w:rsidR="00CB5A97" w:rsidRDefault="00CB5A97" w:rsidP="00CB5A97">
      <w:pPr>
        <w:spacing w:line="480" w:lineRule="auto"/>
        <w:jc w:val="both"/>
        <w:rPr>
          <w:rFonts w:ascii="Times New Roman" w:hAnsi="Times New Roman"/>
        </w:rPr>
      </w:pPr>
    </w:p>
    <w:p w:rsidR="00156C80" w:rsidRDefault="00156C80" w:rsidP="00CB5A97">
      <w:pPr>
        <w:spacing w:line="480" w:lineRule="auto"/>
        <w:jc w:val="both"/>
        <w:rPr>
          <w:rFonts w:ascii="Times New Roman" w:hAnsi="Times New Roman"/>
        </w:rPr>
      </w:pPr>
    </w:p>
    <w:p w:rsidR="00EC1616" w:rsidRDefault="00EC1616" w:rsidP="00EC1616">
      <w:pPr>
        <w:spacing w:line="480" w:lineRule="auto"/>
        <w:jc w:val="both"/>
        <w:rPr>
          <w:rFonts w:ascii="Times New Roman" w:hAnsi="Times New Roman"/>
        </w:rPr>
      </w:pPr>
    </w:p>
    <w:p w:rsidR="00EC1616" w:rsidRPr="003F34C0" w:rsidRDefault="00EC1616" w:rsidP="00EC1616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 S2</w:t>
      </w:r>
      <w:r w:rsidR="00D6490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Comparison of results from local ancestry adjustment with results from alternative methods</w:t>
      </w:r>
    </w:p>
    <w:p w:rsidR="00EC1616" w:rsidRDefault="00EC1616" w:rsidP="00EC1616">
      <w:pPr>
        <w:jc w:val="both"/>
        <w:rPr>
          <w:rFonts w:ascii="Times New Roman" w:hAnsi="Times New Roman"/>
        </w:rPr>
      </w:pPr>
    </w:p>
    <w:p w:rsidR="00EC1616" w:rsidRPr="003F34C0" w:rsidRDefault="00EC1616" w:rsidP="00EC1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5361B4A" wp14:editId="17C1B83B">
            <wp:extent cx="5943600" cy="231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Fig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16" w:rsidRPr="00EB2A42" w:rsidRDefault="00EC1616" w:rsidP="00EC1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Comparison of results from local ancestry adjustment with results from 1PC adjustment (</w:t>
      </w:r>
      <w:r w:rsidRPr="00EB2A42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), 2PCs adjustment (</w:t>
      </w:r>
      <w:r w:rsidRPr="00EB2A42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 and LMM method in NIGMS dataset. Results from 1PC and 2PCs adjustment are similar to the results from 3PCs adjustment (</w:t>
      </w:r>
      <w:r w:rsidRPr="00EB2A42">
        <w:rPr>
          <w:rFonts w:ascii="Times New Roman" w:hAnsi="Times New Roman"/>
          <w:b/>
        </w:rPr>
        <w:t xml:space="preserve">Figure </w:t>
      </w:r>
      <w:r w:rsidR="00BA2EB4">
        <w:rPr>
          <w:rFonts w:ascii="Times New Roman" w:hAnsi="Times New Roman"/>
          <w:b/>
        </w:rPr>
        <w:t>3</w:t>
      </w:r>
      <w:r w:rsidRPr="00EB2A42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). LMM mixed model has larger power by identifying more unique </w:t>
      </w:r>
      <w:proofErr w:type="spellStart"/>
      <w:r>
        <w:rPr>
          <w:rFonts w:ascii="Times New Roman" w:hAnsi="Times New Roman"/>
        </w:rPr>
        <w:t>eQTLs</w:t>
      </w:r>
      <w:proofErr w:type="spellEnd"/>
      <w:r>
        <w:rPr>
          <w:rFonts w:ascii="Times New Roman" w:hAnsi="Times New Roman"/>
        </w:rPr>
        <w:t xml:space="preserve"> but fail to remove spurious </w:t>
      </w:r>
      <w:proofErr w:type="spellStart"/>
      <w:r>
        <w:rPr>
          <w:rFonts w:ascii="Times New Roman" w:hAnsi="Times New Roman"/>
        </w:rPr>
        <w:t>eQTLs</w:t>
      </w:r>
      <w:proofErr w:type="spellEnd"/>
      <w:r>
        <w:rPr>
          <w:rFonts w:ascii="Times New Roman" w:hAnsi="Times New Roman"/>
        </w:rPr>
        <w:t xml:space="preserve"> (purple dots).</w:t>
      </w:r>
    </w:p>
    <w:p w:rsidR="00EC1616" w:rsidRDefault="00EC1616" w:rsidP="00EC1616">
      <w:pPr>
        <w:jc w:val="both"/>
        <w:rPr>
          <w:rFonts w:ascii="Times New Roman" w:hAnsi="Times New Roman"/>
          <w:b/>
        </w:rPr>
      </w:pPr>
    </w:p>
    <w:p w:rsidR="00EC1616" w:rsidRDefault="00EC1616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6A3C3F" w:rsidRDefault="006A3C3F" w:rsidP="00CB5A97">
      <w:pPr>
        <w:spacing w:line="480" w:lineRule="auto"/>
        <w:jc w:val="both"/>
        <w:rPr>
          <w:rFonts w:ascii="Times New Roman" w:hAnsi="Times New Roman"/>
        </w:rPr>
      </w:pPr>
    </w:p>
    <w:p w:rsidR="00001450" w:rsidRDefault="00001450" w:rsidP="00C41C05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Figure S</w:t>
      </w:r>
      <w:r w:rsidR="00474AD7">
        <w:rPr>
          <w:rFonts w:ascii="Times New Roman" w:hAnsi="Times New Roman"/>
          <w:b/>
        </w:rPr>
        <w:t>3</w:t>
      </w:r>
      <w:r w:rsidR="00063CDE">
        <w:rPr>
          <w:rFonts w:ascii="Times New Roman" w:hAnsi="Times New Roman"/>
          <w:b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PVE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0B7C60">
        <w:rPr>
          <w:rFonts w:ascii="Times New Roman" w:hAnsi="Times New Roman"/>
          <w:b/>
        </w:rPr>
        <w:t xml:space="preserve"> simulation</w:t>
      </w:r>
      <w:r w:rsidR="00C71AA0">
        <w:rPr>
          <w:rFonts w:ascii="Times New Roman" w:hAnsi="Times New Roman"/>
          <w:b/>
        </w:rPr>
        <w:t>s</w:t>
      </w:r>
      <w:r w:rsidR="000B7C60">
        <w:rPr>
          <w:rFonts w:ascii="Times New Roman" w:hAnsi="Times New Roman"/>
          <w:b/>
        </w:rPr>
        <w:t xml:space="preserve"> with simulated genotype</w:t>
      </w:r>
    </w:p>
    <w:p w:rsidR="00001450" w:rsidRDefault="00FF2346" w:rsidP="005914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152D984" wp14:editId="726F79B6">
            <wp:extent cx="5943600" cy="2889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Fig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795682" w:rsidP="005914FA">
      <w:pPr>
        <w:jc w:val="both"/>
        <w:rPr>
          <w:rFonts w:ascii="Times New Roman" w:hAnsi="Times New Roman"/>
          <w:b/>
        </w:rPr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PVE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e>
        </m:acc>
      </m:oMath>
      <w:r w:rsidR="00063CDE">
        <w:rPr>
          <w:rFonts w:ascii="Times New Roman" w:hAnsi="Times New Roman"/>
        </w:rPr>
        <w:t xml:space="preserve"> estimates derived from either simple-LMM or Joint-GaLA even after controlling for global ancestry could suffer from some bias</w:t>
      </w:r>
      <w:r w:rsidR="00913F04">
        <w:rPr>
          <w:rFonts w:ascii="Times New Roman" w:hAnsi="Times New Roman"/>
        </w:rPr>
        <w:t xml:space="preserve"> (</w:t>
      </w:r>
      <w:r w:rsidR="00913F04" w:rsidRPr="00913F04">
        <w:rPr>
          <w:rFonts w:ascii="Times New Roman" w:hAnsi="Times New Roman"/>
          <w:b/>
        </w:rPr>
        <w:t>A</w:t>
      </w:r>
      <w:r w:rsidR="00F8159F"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PVE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=0.2</m:t>
        </m:r>
      </m:oMath>
      <w:r w:rsidR="00913F04">
        <w:rPr>
          <w:rFonts w:ascii="Times New Roman" w:hAnsi="Times New Roman"/>
        </w:rPr>
        <w:t>)</w:t>
      </w:r>
      <w:r w:rsidR="00063CDE">
        <w:rPr>
          <w:rFonts w:ascii="Times New Roman" w:hAnsi="Times New Roman"/>
        </w:rPr>
        <w:t>, but the bias was diminished with a reduction in local ancestry effect on phenotype</w:t>
      </w:r>
      <w:r w:rsidR="00913F04">
        <w:rPr>
          <w:rFonts w:ascii="Times New Roman" w:hAnsi="Times New Roman"/>
        </w:rPr>
        <w:t xml:space="preserve"> (</w:t>
      </w:r>
      <w:r w:rsidR="00913F04" w:rsidRPr="00C724C7">
        <w:rPr>
          <w:rFonts w:ascii="Times New Roman" w:hAnsi="Times New Roman"/>
          <w:b/>
        </w:rPr>
        <w:t>B</w:t>
      </w:r>
      <w:r w:rsidR="00F8159F"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PVE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=0.01755</m:t>
        </m:r>
      </m:oMath>
      <w:r w:rsidR="00913F04">
        <w:rPr>
          <w:rFonts w:ascii="Times New Roman" w:hAnsi="Times New Roman"/>
        </w:rPr>
        <w:t>)</w:t>
      </w:r>
      <w:r w:rsidR="001E45AE">
        <w:rPr>
          <w:rFonts w:ascii="Times New Roman" w:hAnsi="Times New Roman"/>
        </w:rPr>
        <w:t>.</w:t>
      </w: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70B24" w:rsidRDefault="00070B24" w:rsidP="005914FA">
      <w:pPr>
        <w:jc w:val="both"/>
        <w:rPr>
          <w:rFonts w:ascii="Times New Roman" w:hAnsi="Times New Roman"/>
          <w:b/>
        </w:rPr>
      </w:pPr>
    </w:p>
    <w:p w:rsidR="00070B24" w:rsidRDefault="00070B24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001450" w:rsidRDefault="00001450" w:rsidP="005914FA">
      <w:pPr>
        <w:jc w:val="both"/>
        <w:rPr>
          <w:rFonts w:ascii="Times New Roman" w:hAnsi="Times New Roman"/>
          <w:b/>
        </w:rPr>
      </w:pPr>
    </w:p>
    <w:p w:rsidR="005914FA" w:rsidRPr="00957812" w:rsidRDefault="005914FA" w:rsidP="00A91DE0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 w:rsidRPr="00957812">
        <w:rPr>
          <w:rFonts w:ascii="Times New Roman" w:hAnsi="Times New Roman"/>
          <w:b/>
        </w:rPr>
        <w:t>Figure S</w:t>
      </w:r>
      <w:r w:rsidR="006A3C3F">
        <w:rPr>
          <w:rFonts w:ascii="Times New Roman" w:hAnsi="Times New Roman"/>
          <w:b/>
        </w:rPr>
        <w:t>4</w:t>
      </w:r>
      <w:r w:rsidR="00001450">
        <w:rPr>
          <w:rFonts w:ascii="Times New Roman" w:hAnsi="Times New Roman"/>
          <w:b/>
        </w:rPr>
        <w:t>.</w:t>
      </w:r>
      <w:r w:rsidRPr="00957812">
        <w:rPr>
          <w:rFonts w:ascii="Times New Roman" w:hAnsi="Times New Roman"/>
          <w:b/>
        </w:rPr>
        <w:t xml:space="preserve"> Comparison of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PVE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57812">
        <w:rPr>
          <w:rFonts w:ascii="Times New Roman" w:hAnsi="Times New Roman"/>
          <w:b/>
        </w:rPr>
        <w:t xml:space="preserve">estimation in AAs and EAs, related to Figure </w:t>
      </w:r>
      <w:r w:rsidR="006A3290">
        <w:rPr>
          <w:rFonts w:ascii="Times New Roman" w:hAnsi="Times New Roman"/>
          <w:b/>
        </w:rPr>
        <w:t>6</w:t>
      </w:r>
      <w:r w:rsidRPr="00957812">
        <w:rPr>
          <w:rFonts w:ascii="Times New Roman" w:hAnsi="Times New Roman"/>
          <w:b/>
        </w:rPr>
        <w:t>B</w:t>
      </w:r>
    </w:p>
    <w:p w:rsidR="005914FA" w:rsidRDefault="005914FA" w:rsidP="005914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99D41D7" wp14:editId="60F39F5C">
            <wp:extent cx="4572000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Fi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FA" w:rsidRPr="00957812" w:rsidRDefault="005914FA" w:rsidP="005914FA">
      <w:pPr>
        <w:jc w:val="both"/>
        <w:rPr>
          <w:rFonts w:ascii="Times New Roman" w:hAnsi="Times New Roman"/>
        </w:rPr>
      </w:pPr>
      <w:r w:rsidRPr="00957812">
        <w:rPr>
          <w:rFonts w:ascii="Times New Roman" w:hAnsi="Times New Roman"/>
        </w:rPr>
        <w:t>When using FDR&lt;0.1 to select genes with reliable estimates, we continued to see a significant correlation</w:t>
      </w:r>
      <w:r w:rsidR="00BC6FD8">
        <w:rPr>
          <w:rFonts w:ascii="Times New Roman" w:hAnsi="Times New Roman"/>
        </w:rPr>
        <w:t xml:space="preserve"> in estimates</w:t>
      </w:r>
      <w:r w:rsidRPr="00957812">
        <w:rPr>
          <w:rFonts w:ascii="Times New Roman" w:hAnsi="Times New Roman"/>
        </w:rPr>
        <w:t xml:space="preserve"> between EAs and AAs. </w:t>
      </w: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5914FA">
      <w:pPr>
        <w:jc w:val="center"/>
        <w:rPr>
          <w:rFonts w:ascii="Times New Roman" w:hAnsi="Times New Roman"/>
        </w:rPr>
      </w:pPr>
    </w:p>
    <w:p w:rsidR="005914FA" w:rsidRDefault="005914FA" w:rsidP="001622D5">
      <w:pPr>
        <w:rPr>
          <w:rFonts w:ascii="Times New Roman" w:hAnsi="Times New Roman"/>
        </w:rPr>
      </w:pPr>
    </w:p>
    <w:p w:rsidR="005914FA" w:rsidRPr="00957812" w:rsidRDefault="005914FA" w:rsidP="00A91DE0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 w:rsidRPr="00957812">
        <w:rPr>
          <w:rFonts w:ascii="Times New Roman" w:hAnsi="Times New Roman"/>
          <w:b/>
        </w:rPr>
        <w:t>Figure S</w:t>
      </w:r>
      <w:r w:rsidR="00CB1FB2">
        <w:rPr>
          <w:rFonts w:ascii="Times New Roman" w:hAnsi="Times New Roman"/>
          <w:b/>
        </w:rPr>
        <w:t>5</w:t>
      </w:r>
      <w:r w:rsidRPr="00957812">
        <w:rPr>
          <w:rFonts w:ascii="Times New Roman" w:hAnsi="Times New Roman"/>
          <w:b/>
        </w:rPr>
        <w:t xml:space="preserve">.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PVE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57812">
        <w:rPr>
          <w:rFonts w:ascii="Times New Roman" w:hAnsi="Times New Roman"/>
          <w:b/>
        </w:rPr>
        <w:t>estimation with different methods in AAs</w:t>
      </w:r>
    </w:p>
    <w:p w:rsidR="005914FA" w:rsidRPr="00957812" w:rsidRDefault="005914FA" w:rsidP="005914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D35667B" wp14:editId="04A989A1">
            <wp:extent cx="45720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pFi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FA" w:rsidRPr="00957812" w:rsidRDefault="005914FA" w:rsidP="005914FA">
      <w:pPr>
        <w:jc w:val="both"/>
        <w:rPr>
          <w:rFonts w:ascii="Times New Roman" w:hAnsi="Times New Roman"/>
        </w:rPr>
      </w:pPr>
      <w:r w:rsidRPr="00957812">
        <w:rPr>
          <w:rFonts w:ascii="Times New Roman" w:hAnsi="Times New Roman"/>
        </w:rPr>
        <w:t xml:space="preserve">Comparison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PVE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Pr="00957812">
        <w:rPr>
          <w:rFonts w:ascii="Times New Roman" w:hAnsi="Times New Roman"/>
        </w:rPr>
        <w:t xml:space="preserve"> estimation from LMM and BSLMM model, showing significant correlation (Spearman’s ρ=0.82, p-value&lt;2.2×10</w:t>
      </w:r>
      <w:r w:rsidRPr="00957812">
        <w:rPr>
          <w:rFonts w:ascii="Times New Roman" w:hAnsi="Times New Roman"/>
          <w:vertAlign w:val="superscript"/>
        </w:rPr>
        <w:t>-16</w:t>
      </w:r>
      <w:r w:rsidRPr="00957812">
        <w:rPr>
          <w:rFonts w:ascii="Times New Roman" w:hAnsi="Times New Roman"/>
        </w:rPr>
        <w:t>). Reliable estimates were defined as LMM nominal p-value&lt;0.05.</w:t>
      </w:r>
    </w:p>
    <w:p w:rsidR="005914FA" w:rsidRPr="00957812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346ECA" w:rsidRDefault="00346ECA" w:rsidP="00A91DE0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Figure S</w:t>
      </w:r>
      <w:r w:rsidR="00001450">
        <w:rPr>
          <w:rFonts w:ascii="Times New Roman" w:hAnsi="Times New Roman"/>
          <w:b/>
        </w:rPr>
        <w:t>6</w:t>
      </w:r>
      <w:r w:rsidRPr="003F34C0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Correlation of first PC with the average local ancestry across the genome</w:t>
      </w:r>
    </w:p>
    <w:p w:rsidR="00346ECA" w:rsidRPr="003F34C0" w:rsidRDefault="00346ECA" w:rsidP="00346ECA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3600" cy="2889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E311C" w:rsidRDefault="003E311C" w:rsidP="003E31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Comparison of the first PC and average African </w:t>
      </w:r>
      <w:r w:rsidR="00F70243">
        <w:rPr>
          <w:rFonts w:ascii="Times New Roman" w:hAnsi="Times New Roman"/>
        </w:rPr>
        <w:t xml:space="preserve">local </w:t>
      </w:r>
      <w:r>
        <w:rPr>
          <w:rFonts w:ascii="Times New Roman" w:hAnsi="Times New Roman"/>
        </w:rPr>
        <w:t xml:space="preserve">ancestry </w:t>
      </w:r>
      <w:r w:rsidR="00833E5C">
        <w:rPr>
          <w:rFonts w:ascii="Times New Roman" w:hAnsi="Times New Roman"/>
        </w:rPr>
        <w:t xml:space="preserve">(AFR) </w:t>
      </w:r>
      <w:r>
        <w:rPr>
          <w:rFonts w:ascii="Times New Roman" w:hAnsi="Times New Roman"/>
        </w:rPr>
        <w:t xml:space="preserve">across the </w:t>
      </w:r>
      <w:r w:rsidR="005E5729">
        <w:rPr>
          <w:rFonts w:ascii="Times New Roman" w:hAnsi="Times New Roman"/>
        </w:rPr>
        <w:t>genome</w:t>
      </w:r>
      <w:r>
        <w:rPr>
          <w:rFonts w:ascii="Times New Roman" w:hAnsi="Times New Roman"/>
        </w:rPr>
        <w:t xml:space="preserve"> in NIGMS (A) and </w:t>
      </w:r>
      <w:proofErr w:type="spellStart"/>
      <w:r>
        <w:rPr>
          <w:rFonts w:ascii="Times New Roman" w:hAnsi="Times New Roman"/>
        </w:rPr>
        <w:t>GTEx</w:t>
      </w:r>
      <w:proofErr w:type="spellEnd"/>
      <w:r>
        <w:rPr>
          <w:rFonts w:ascii="Times New Roman" w:hAnsi="Times New Roman"/>
        </w:rPr>
        <w:t xml:space="preserve"> (B), showing nearly perfect correlation.</w:t>
      </w:r>
      <w:r w:rsidR="002E532F">
        <w:rPr>
          <w:rFonts w:ascii="Times New Roman" w:hAnsi="Times New Roman"/>
        </w:rPr>
        <w:t xml:space="preserve"> With decreased EA ancestry (PC1), we see a significant increase in AFR.</w:t>
      </w:r>
    </w:p>
    <w:p w:rsidR="003E311C" w:rsidRDefault="003E311C" w:rsidP="003E311C">
      <w:pPr>
        <w:jc w:val="both"/>
        <w:rPr>
          <w:rFonts w:ascii="Times New Roman" w:hAnsi="Times New Roman"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D6490C" w:rsidRPr="003F34C0" w:rsidRDefault="00D6490C" w:rsidP="00D6490C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</w:t>
      </w:r>
      <w:r w:rsidRPr="003F34C0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S1</w:t>
      </w:r>
      <w:r w:rsidRPr="003F34C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Identified </w:t>
      </w:r>
      <w:proofErr w:type="spellStart"/>
      <w:r>
        <w:rPr>
          <w:rFonts w:ascii="Times New Roman" w:hAnsi="Times New Roman"/>
          <w:b/>
        </w:rPr>
        <w:t>eQTLs</w:t>
      </w:r>
      <w:proofErr w:type="spellEnd"/>
      <w:r>
        <w:rPr>
          <w:rFonts w:ascii="Times New Roman" w:hAnsi="Times New Roman"/>
          <w:b/>
        </w:rPr>
        <w:t xml:space="preserve"> in </w:t>
      </w:r>
      <w:proofErr w:type="spellStart"/>
      <w:r>
        <w:rPr>
          <w:rFonts w:ascii="Times New Roman" w:hAnsi="Times New Roman"/>
          <w:b/>
        </w:rPr>
        <w:t>GTEx</w:t>
      </w:r>
      <w:proofErr w:type="spellEnd"/>
      <w:r>
        <w:rPr>
          <w:rFonts w:ascii="Times New Roman" w:hAnsi="Times New Roman"/>
          <w:b/>
        </w:rPr>
        <w:t xml:space="preserve"> dataset by different methods</w:t>
      </w: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774"/>
        <w:gridCol w:w="1800"/>
        <w:gridCol w:w="1800"/>
        <w:gridCol w:w="1800"/>
      </w:tblGrid>
      <w:tr w:rsidR="00D6490C" w:rsidRPr="007D0DEC" w:rsidTr="00464F1B">
        <w:trPr>
          <w:jc w:val="center"/>
        </w:trPr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D6490C" w:rsidRDefault="00D6490C" w:rsidP="00464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6490C" w:rsidRPr="00080261" w:rsidRDefault="00D6490C" w:rsidP="00464F1B">
            <w:pPr>
              <w:tabs>
                <w:tab w:val="left" w:pos="579"/>
                <w:tab w:val="center" w:pos="1679"/>
              </w:tabs>
              <w:jc w:val="center"/>
              <w:rPr>
                <w:rFonts w:ascii="Times New Roman" w:hAnsi="Times New Roman"/>
                <w:b/>
              </w:rPr>
            </w:pPr>
            <w:r w:rsidRPr="00080261">
              <w:rPr>
                <w:rFonts w:ascii="Times New Roman" w:hAnsi="Times New Roman"/>
                <w:b/>
              </w:rPr>
              <w:t>BY-BH p</w:t>
            </w:r>
            <w:r>
              <w:rPr>
                <w:rFonts w:ascii="Times New Roman" w:hAnsi="Times New Roman"/>
                <w:b/>
              </w:rPr>
              <w:t>-</w:t>
            </w:r>
            <w:r w:rsidRPr="00080261">
              <w:rPr>
                <w:rFonts w:ascii="Times New Roman" w:hAnsi="Times New Roman"/>
                <w:b/>
              </w:rPr>
              <w:t>value&lt;0.05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6490C" w:rsidRPr="00080261" w:rsidRDefault="00D6490C" w:rsidP="00464F1B">
            <w:pPr>
              <w:jc w:val="center"/>
              <w:rPr>
                <w:rFonts w:ascii="Times New Roman" w:hAnsi="Times New Roman"/>
                <w:b/>
              </w:rPr>
            </w:pPr>
            <w:r w:rsidRPr="00080261">
              <w:rPr>
                <w:rFonts w:ascii="Times New Roman" w:hAnsi="Times New Roman"/>
                <w:b/>
              </w:rPr>
              <w:t>BY-BH p</w:t>
            </w:r>
            <w:r>
              <w:rPr>
                <w:rFonts w:ascii="Times New Roman" w:hAnsi="Times New Roman"/>
                <w:b/>
              </w:rPr>
              <w:t>-</w:t>
            </w:r>
            <w:r w:rsidRPr="00080261">
              <w:rPr>
                <w:rFonts w:ascii="Times New Roman" w:hAnsi="Times New Roman"/>
                <w:b/>
              </w:rPr>
              <w:t>value&lt;0.1</w:t>
            </w:r>
          </w:p>
        </w:tc>
      </w:tr>
      <w:tr w:rsidR="00D6490C" w:rsidRPr="007D0DEC" w:rsidTr="00464F1B">
        <w:trPr>
          <w:jc w:val="center"/>
        </w:trPr>
        <w:tc>
          <w:tcPr>
            <w:tcW w:w="1376" w:type="dxa"/>
            <w:tcBorders>
              <w:top w:val="single" w:sz="8" w:space="0" w:color="auto"/>
              <w:bottom w:val="single" w:sz="4" w:space="0" w:color="auto"/>
            </w:tcBorders>
          </w:tcPr>
          <w:p w:rsidR="00D6490C" w:rsidRPr="003F34C0" w:rsidRDefault="00D6490C" w:rsidP="00464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8" w:space="0" w:color="auto"/>
              <w:bottom w:val="single" w:sz="4" w:space="0" w:color="000000"/>
            </w:tcBorders>
          </w:tcPr>
          <w:p w:rsidR="00D6490C" w:rsidRPr="003F34C0" w:rsidRDefault="00D6490C" w:rsidP="00464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 </w:t>
            </w:r>
            <w:proofErr w:type="spellStart"/>
            <w:r>
              <w:rPr>
                <w:rFonts w:ascii="Times New Roman" w:hAnsi="Times New Roman"/>
              </w:rPr>
              <w:t>eQTL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eGenes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6490C" w:rsidRPr="00FA5904" w:rsidRDefault="00D6490C" w:rsidP="00464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proofErr w:type="spellStart"/>
            <w:r>
              <w:rPr>
                <w:rFonts w:ascii="Times New Roman" w:hAnsi="Times New Roman"/>
              </w:rPr>
              <w:t>eQTL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eGenes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6490C" w:rsidRDefault="00D6490C" w:rsidP="00464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 </w:t>
            </w:r>
            <w:proofErr w:type="spellStart"/>
            <w:r>
              <w:rPr>
                <w:rFonts w:ascii="Times New Roman" w:hAnsi="Times New Roman"/>
              </w:rPr>
              <w:t>eQTL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eGenes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000000"/>
            </w:tcBorders>
          </w:tcPr>
          <w:p w:rsidR="00D6490C" w:rsidRDefault="00D6490C" w:rsidP="00464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proofErr w:type="spellStart"/>
            <w:r>
              <w:rPr>
                <w:rFonts w:ascii="Times New Roman" w:hAnsi="Times New Roman"/>
              </w:rPr>
              <w:t>eQTL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eGenes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D6490C" w:rsidRPr="007D0DEC" w:rsidTr="00464F1B">
        <w:trPr>
          <w:trHeight w:val="521"/>
          <w:jc w:val="center"/>
        </w:trPr>
        <w:tc>
          <w:tcPr>
            <w:tcW w:w="1376" w:type="dxa"/>
            <w:tcBorders>
              <w:top w:val="single" w:sz="4" w:space="0" w:color="auto"/>
            </w:tcBorders>
          </w:tcPr>
          <w:p w:rsidR="00D6490C" w:rsidRPr="00FA5904" w:rsidRDefault="00D6490C" w:rsidP="00464F1B">
            <w:pPr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whole blood</m:t>
                </m:r>
              </m:oMath>
            </m:oMathPara>
          </w:p>
        </w:tc>
        <w:tc>
          <w:tcPr>
            <w:tcW w:w="1774" w:type="dxa"/>
            <w:tcBorders>
              <w:top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840,884(4,963)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842,476(4,952)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D6490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948,521(5,288)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D6490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950,920(5,292)</w:t>
            </w:r>
          </w:p>
        </w:tc>
      </w:tr>
      <w:tr w:rsidR="00D6490C" w:rsidRPr="007D0DEC" w:rsidTr="00464F1B">
        <w:trPr>
          <w:jc w:val="center"/>
        </w:trPr>
        <w:tc>
          <w:tcPr>
            <w:tcW w:w="1376" w:type="dxa"/>
            <w:tcBorders>
              <w:bottom w:val="single" w:sz="4" w:space="0" w:color="000000"/>
            </w:tcBorders>
          </w:tcPr>
          <w:p w:rsidR="00D6490C" w:rsidRPr="00FA5904" w:rsidRDefault="00D6490C" w:rsidP="00464F1B">
            <w:pPr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LCL</m:t>
                </m:r>
              </m:oMath>
            </m:oMathPara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217,230(1,728)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225,954(1,777)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250,150(1,937)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6490C" w:rsidRPr="007D0DEC" w:rsidRDefault="00D6490C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257,306(1,958)</w:t>
            </w:r>
          </w:p>
        </w:tc>
      </w:tr>
    </w:tbl>
    <w:p w:rsidR="00D6490C" w:rsidRDefault="00D6490C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0E37C4" w:rsidRDefault="000E37C4" w:rsidP="00D6490C">
      <w:pPr>
        <w:jc w:val="both"/>
        <w:rPr>
          <w:rFonts w:ascii="Times New Roman" w:hAnsi="Times New Roman"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FB22CE" w:rsidRPr="00957812" w:rsidRDefault="00FB22CE" w:rsidP="00FB22CE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S2</w:t>
      </w:r>
      <w:r w:rsidRPr="00957812">
        <w:rPr>
          <w:rFonts w:ascii="Times New Roman" w:hAnsi="Times New Roman"/>
          <w:b/>
        </w:rPr>
        <w:t>. PVE analysis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098"/>
        <w:gridCol w:w="240"/>
        <w:gridCol w:w="1403"/>
        <w:gridCol w:w="1731"/>
        <w:gridCol w:w="1807"/>
        <w:gridCol w:w="1807"/>
        <w:gridCol w:w="1532"/>
      </w:tblGrid>
      <w:tr w:rsidR="00FB22CE" w:rsidRPr="00957812" w:rsidTr="00464F1B">
        <w:trPr>
          <w:trHeight w:val="628"/>
          <w:jc w:val="center"/>
        </w:trPr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PVE analysis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Pop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Sample size</w:t>
            </w:r>
          </w:p>
        </w:tc>
        <w:tc>
          <w:tcPr>
            <w:tcW w:w="1731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Mean</w:t>
            </w:r>
          </w:p>
          <w:p w:rsidR="00FB22CE" w:rsidRPr="00957812" w:rsidRDefault="00795682" w:rsidP="00464F1B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PVE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(var)</m:t>
                </m:r>
              </m:oMath>
            </m:oMathPara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7812">
              <w:rPr>
                <w:rFonts w:ascii="Times New Roman" w:hAnsi="Times New Roman"/>
              </w:rPr>
              <w:t>num</w:t>
            </w:r>
            <w:proofErr w:type="spellEnd"/>
            <w:r w:rsidRPr="00957812">
              <w:rPr>
                <w:rFonts w:ascii="Times New Roman" w:hAnsi="Times New Roman"/>
              </w:rPr>
              <w:t>/percentage FDR&lt;0.1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7812">
              <w:rPr>
                <w:rFonts w:ascii="Times New Roman" w:hAnsi="Times New Roman"/>
              </w:rPr>
              <w:t>num</w:t>
            </w:r>
            <w:proofErr w:type="spellEnd"/>
            <w:r w:rsidRPr="00957812">
              <w:rPr>
                <w:rFonts w:ascii="Times New Roman" w:hAnsi="Times New Roman"/>
              </w:rPr>
              <w:t xml:space="preserve">/percentage </w:t>
            </w:r>
            <w:proofErr w:type="spellStart"/>
            <w:r w:rsidRPr="00957812">
              <w:rPr>
                <w:rFonts w:ascii="Times New Roman" w:hAnsi="Times New Roman"/>
              </w:rPr>
              <w:t>pvalue</w:t>
            </w:r>
            <w:proofErr w:type="spellEnd"/>
            <w:r w:rsidRPr="00957812">
              <w:rPr>
                <w:rFonts w:ascii="Times New Roman" w:hAnsi="Times New Roman"/>
              </w:rPr>
              <w:t>&lt;0.05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7812">
              <w:rPr>
                <w:rFonts w:ascii="Times New Roman" w:hAnsi="Times New Roman"/>
              </w:rPr>
              <w:t>num</w:t>
            </w:r>
            <w:proofErr w:type="spellEnd"/>
            <w:r w:rsidRPr="00957812">
              <w:rPr>
                <w:rFonts w:ascii="Times New Roman" w:hAnsi="Times New Roman"/>
              </w:rPr>
              <w:t xml:space="preserve"> of genes with estimates</w:t>
            </w:r>
          </w:p>
        </w:tc>
      </w:tr>
      <w:tr w:rsidR="00FB22CE" w:rsidRPr="00957812" w:rsidTr="00464F1B">
        <w:trPr>
          <w:trHeight w:val="531"/>
          <w:jc w:val="center"/>
        </w:trPr>
        <w:tc>
          <w:tcPr>
            <w:tcW w:w="1182" w:type="dxa"/>
            <w:tcBorders>
              <w:top w:val="single" w:sz="8" w:space="0" w:color="auto"/>
            </w:tcBorders>
          </w:tcPr>
          <w:p w:rsidR="00FB22CE" w:rsidRPr="00957812" w:rsidRDefault="00795682" w:rsidP="00464F1B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PVE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AA</w:t>
            </w:r>
          </w:p>
        </w:tc>
        <w:tc>
          <w:tcPr>
            <w:tcW w:w="240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731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0.299 (0.051)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78/0.88%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1,366/15.47%</w:t>
            </w:r>
          </w:p>
        </w:tc>
        <w:tc>
          <w:tcPr>
            <w:tcW w:w="1532" w:type="dxa"/>
            <w:tcBorders>
              <w:top w:val="single" w:sz="8" w:space="0" w:color="auto"/>
            </w:tcBorders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8,832</w:t>
            </w:r>
          </w:p>
        </w:tc>
      </w:tr>
      <w:tr w:rsidR="00FB22CE" w:rsidRPr="00957812" w:rsidTr="00464F1B">
        <w:trPr>
          <w:trHeight w:val="513"/>
          <w:jc w:val="center"/>
        </w:trPr>
        <w:tc>
          <w:tcPr>
            <w:tcW w:w="1182" w:type="dxa"/>
          </w:tcPr>
          <w:p w:rsidR="00FB22CE" w:rsidRPr="00957812" w:rsidRDefault="00795682" w:rsidP="00464F1B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PVE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098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EA</w:t>
            </w:r>
          </w:p>
        </w:tc>
        <w:tc>
          <w:tcPr>
            <w:tcW w:w="240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3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731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0.251 (0.039)</w:t>
            </w:r>
          </w:p>
        </w:tc>
        <w:tc>
          <w:tcPr>
            <w:tcW w:w="1807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479/5.52%</w:t>
            </w:r>
          </w:p>
        </w:tc>
        <w:tc>
          <w:tcPr>
            <w:tcW w:w="1807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1,703/19.64%</w:t>
            </w:r>
          </w:p>
        </w:tc>
        <w:tc>
          <w:tcPr>
            <w:tcW w:w="1532" w:type="dxa"/>
          </w:tcPr>
          <w:p w:rsidR="00FB22CE" w:rsidRPr="00957812" w:rsidRDefault="00FB22CE" w:rsidP="00464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7812">
              <w:rPr>
                <w:rFonts w:ascii="Times New Roman" w:eastAsia="Times New Roman" w:hAnsi="Times New Roman"/>
                <w:color w:val="000000"/>
              </w:rPr>
              <w:t>8,670</w:t>
            </w:r>
          </w:p>
        </w:tc>
      </w:tr>
      <w:tr w:rsidR="00FB22CE" w:rsidRPr="00957812" w:rsidTr="00464F1B">
        <w:trPr>
          <w:trHeight w:val="53"/>
          <w:jc w:val="center"/>
        </w:trPr>
        <w:tc>
          <w:tcPr>
            <w:tcW w:w="1182" w:type="dxa"/>
            <w:tcBorders>
              <w:bottom w:val="single" w:sz="4" w:space="0" w:color="000000"/>
            </w:tcBorders>
          </w:tcPr>
          <w:p w:rsidR="00FB22CE" w:rsidRPr="00957812" w:rsidRDefault="00795682" w:rsidP="00464F1B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PVE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AA</w:t>
            </w: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57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0.298 (0.078)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40/2.30%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379/21.78%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FB22CE" w:rsidRPr="00957812" w:rsidRDefault="00FB22CE" w:rsidP="00464F1B">
            <w:pPr>
              <w:jc w:val="center"/>
              <w:rPr>
                <w:rFonts w:ascii="Times New Roman" w:hAnsi="Times New Roman"/>
              </w:rPr>
            </w:pPr>
            <w:r w:rsidRPr="00957812">
              <w:rPr>
                <w:rFonts w:ascii="Times New Roman" w:hAnsi="Times New Roman"/>
              </w:rPr>
              <w:t>1,740</w:t>
            </w:r>
          </w:p>
        </w:tc>
      </w:tr>
    </w:tbl>
    <w:p w:rsidR="00FB22CE" w:rsidRPr="00957812" w:rsidRDefault="00FB22CE" w:rsidP="00FB22CE">
      <w:pPr>
        <w:jc w:val="both"/>
        <w:rPr>
          <w:rFonts w:ascii="Times New Roman" w:hAnsi="Times New Roman"/>
        </w:rPr>
      </w:pPr>
    </w:p>
    <w:p w:rsidR="00FB22CE" w:rsidRPr="00957812" w:rsidRDefault="00FB22CE" w:rsidP="00FB22CE">
      <w:pPr>
        <w:spacing w:line="480" w:lineRule="auto"/>
        <w:jc w:val="both"/>
        <w:rPr>
          <w:rFonts w:ascii="Times New Roman" w:hAnsi="Times New Roman"/>
        </w:rPr>
      </w:pPr>
      <w:r w:rsidRPr="00957812">
        <w:rPr>
          <w:rFonts w:ascii="Times New Roman" w:hAnsi="Times New Roman"/>
        </w:rPr>
        <w:t xml:space="preserve">The summary of PVE analysis in </w:t>
      </w:r>
      <w:proofErr w:type="spellStart"/>
      <w:r w:rsidRPr="00957812">
        <w:rPr>
          <w:rFonts w:ascii="Times New Roman" w:hAnsi="Times New Roman"/>
        </w:rPr>
        <w:t>GTEx</w:t>
      </w:r>
      <w:proofErr w:type="spellEnd"/>
      <w:r w:rsidRPr="00957812">
        <w:rPr>
          <w:rFonts w:ascii="Times New Roman" w:hAnsi="Times New Roman"/>
        </w:rPr>
        <w:t xml:space="preserve"> skeletal muscle dataset. </w:t>
      </w: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0E37C4" w:rsidRDefault="000E37C4" w:rsidP="001B3625">
      <w:pPr>
        <w:jc w:val="both"/>
        <w:rPr>
          <w:rFonts w:ascii="Times New Roman" w:hAnsi="Times New Roman"/>
          <w:b/>
        </w:rPr>
      </w:pPr>
    </w:p>
    <w:p w:rsidR="00346ECA" w:rsidRDefault="00346ECA" w:rsidP="001B3625">
      <w:pPr>
        <w:jc w:val="both"/>
        <w:rPr>
          <w:rFonts w:ascii="Times New Roman" w:hAnsi="Times New Roman"/>
          <w:b/>
        </w:rPr>
      </w:pPr>
    </w:p>
    <w:p w:rsidR="001B3625" w:rsidRPr="00957812" w:rsidRDefault="001B3625" w:rsidP="00A91DE0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 w:rsidRPr="00957812">
        <w:rPr>
          <w:rFonts w:ascii="Times New Roman" w:hAnsi="Times New Roman"/>
          <w:b/>
        </w:rPr>
        <w:lastRenderedPageBreak/>
        <w:t>Table S</w:t>
      </w:r>
      <w:r w:rsidR="009541A4">
        <w:rPr>
          <w:rFonts w:ascii="Times New Roman" w:hAnsi="Times New Roman"/>
          <w:b/>
        </w:rPr>
        <w:t>3</w:t>
      </w:r>
      <w:r w:rsidRPr="009578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PVE simulation</w:t>
      </w:r>
      <w:r w:rsidR="00A668D9">
        <w:rPr>
          <w:rFonts w:ascii="Times New Roman" w:hAnsi="Times New Roman"/>
          <w:b/>
        </w:rPr>
        <w:t xml:space="preserve"> with simulated genotype</w:t>
      </w:r>
    </w:p>
    <w:p w:rsidR="005914FA" w:rsidRDefault="005914FA" w:rsidP="005914FA">
      <w:pPr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321"/>
        <w:gridCol w:w="1445"/>
        <w:gridCol w:w="1888"/>
        <w:gridCol w:w="1890"/>
      </w:tblGrid>
      <w:tr w:rsidR="00461365" w:rsidRPr="00A028BB" w:rsidTr="00185392">
        <w:trPr>
          <w:trHeight w:val="489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A91DE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causal variants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461365" w:rsidRPr="00C7649D" w:rsidRDefault="00795682" w:rsidP="000375B9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PVE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sub>
              </m:sSub>
            </m:oMath>
            <w:r w:rsidR="00461365">
              <w:rPr>
                <w:rFonts w:ascii="Times New Roman" w:hAnsi="Times New Roman"/>
              </w:rPr>
              <w:t xml:space="preserve"> Mean±sd</w:t>
            </w:r>
          </w:p>
        </w:tc>
        <w:tc>
          <w:tcPr>
            <w:tcW w:w="1888" w:type="dxa"/>
            <w:tcBorders>
              <w:top w:val="single" w:sz="6" w:space="0" w:color="auto"/>
              <w:bottom w:val="single" w:sz="6" w:space="0" w:color="auto"/>
            </w:tcBorders>
          </w:tcPr>
          <w:p w:rsidR="00461365" w:rsidRPr="00C7649D" w:rsidRDefault="00795682" w:rsidP="0097596B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PVE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  <w:r w:rsidR="0097596B">
              <w:rPr>
                <w:rFonts w:ascii="Times New Roman" w:hAnsi="Times New Roman"/>
              </w:rPr>
              <w:t xml:space="preserve"> Mean±sd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R-squared (GA) </w:t>
            </w:r>
          </w:p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</w:tr>
      <w:tr w:rsidR="00461365" w:rsidRPr="00A028BB" w:rsidTr="0018539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0.796±0.024</w:t>
            </w:r>
          </w:p>
        </w:tc>
        <w:tc>
          <w:tcPr>
            <w:tcW w:w="1888" w:type="dxa"/>
            <w:tcBorders>
              <w:top w:val="single" w:sz="6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0.078±0.089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1.272e-3</w:t>
            </w:r>
          </w:p>
        </w:tc>
      </w:tr>
      <w:tr w:rsidR="00461365" w:rsidRPr="00A028BB" w:rsidTr="00185392">
        <w:trPr>
          <w:trHeight w:val="225"/>
        </w:trPr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0.803±0.024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0.059±0.039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9.727e-4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0.802±0.023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0.061±0.036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1.280e-3</w:t>
            </w:r>
          </w:p>
        </w:tc>
      </w:tr>
      <w:tr w:rsidR="00461365" w:rsidRPr="00A028BB" w:rsidTr="00185392">
        <w:trPr>
          <w:trHeight w:val="224"/>
        </w:trPr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0.799±0.022</w:t>
            </w:r>
          </w:p>
        </w:tc>
        <w:tc>
          <w:tcPr>
            <w:tcW w:w="1888" w:type="dxa"/>
          </w:tcPr>
          <w:p w:rsidR="00461365" w:rsidRPr="0039323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0.059±0.036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7.881e-4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0.800±0.025</w:t>
            </w:r>
          </w:p>
        </w:tc>
        <w:tc>
          <w:tcPr>
            <w:tcW w:w="1888" w:type="dxa"/>
          </w:tcPr>
          <w:p w:rsidR="00461365" w:rsidRPr="0039323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0.066±0.050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9.026e-4</w:t>
            </w:r>
          </w:p>
        </w:tc>
      </w:tr>
      <w:tr w:rsidR="00461365" w:rsidRPr="00A028BB" w:rsidTr="00185392">
        <w:tc>
          <w:tcPr>
            <w:tcW w:w="0" w:type="auto"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0.799±0.020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0.068±0.044</w:t>
            </w:r>
          </w:p>
        </w:tc>
        <w:tc>
          <w:tcPr>
            <w:tcW w:w="1890" w:type="dxa"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1.003e-3</w:t>
            </w:r>
          </w:p>
        </w:tc>
      </w:tr>
      <w:tr w:rsidR="00461365" w:rsidRPr="00A028BB" w:rsidTr="00185392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  <w:p w:rsidR="00461365" w:rsidRDefault="00461365" w:rsidP="00037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0.302±0.044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0.037±0.038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1.041e-3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0.304±0.053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0.025±0.024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8.985e-4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0.302±0.043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0.035±0.084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1.016e-3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0.296±0.049</w:t>
            </w:r>
          </w:p>
        </w:tc>
        <w:tc>
          <w:tcPr>
            <w:tcW w:w="1888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0.023±0.017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1.203e-3</w:t>
            </w:r>
          </w:p>
        </w:tc>
      </w:tr>
      <w:tr w:rsidR="00461365" w:rsidRPr="00A028BB" w:rsidTr="00185392">
        <w:tc>
          <w:tcPr>
            <w:tcW w:w="0" w:type="auto"/>
            <w:vMerge/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0" w:type="auto"/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0.301±0.051</w:t>
            </w:r>
          </w:p>
        </w:tc>
        <w:tc>
          <w:tcPr>
            <w:tcW w:w="1888" w:type="dxa"/>
          </w:tcPr>
          <w:p w:rsidR="00461365" w:rsidRPr="003B3BB7" w:rsidRDefault="00461365" w:rsidP="000375B9">
            <w:pPr>
              <w:jc w:val="center"/>
              <w:rPr>
                <w:rFonts w:ascii="Times New Roman" w:hAnsi="Times New Roman"/>
                <w:b/>
              </w:rPr>
            </w:pPr>
            <w:r w:rsidRPr="007C3983">
              <w:rPr>
                <w:rFonts w:ascii="Times New Roman" w:hAnsi="Times New Roman"/>
              </w:rPr>
              <w:t>0.023</w:t>
            </w:r>
            <w:r>
              <w:rPr>
                <w:rFonts w:ascii="Times New Roman" w:hAnsi="Times New Roman"/>
              </w:rPr>
              <w:t>±0.020</w:t>
            </w:r>
          </w:p>
        </w:tc>
        <w:tc>
          <w:tcPr>
            <w:tcW w:w="1890" w:type="dxa"/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9.077e-4</w:t>
            </w:r>
          </w:p>
        </w:tc>
      </w:tr>
      <w:tr w:rsidR="00461365" w:rsidRPr="00A028BB" w:rsidTr="00A91DE0">
        <w:trPr>
          <w:trHeight w:val="66"/>
        </w:trPr>
        <w:tc>
          <w:tcPr>
            <w:tcW w:w="0" w:type="auto"/>
            <w:tcBorders>
              <w:bottom w:val="single" w:sz="4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1365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1365" w:rsidRPr="00C7649D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0.306±0.054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0.042±0.069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61365" w:rsidRPr="00A028BB" w:rsidRDefault="00461365" w:rsidP="00037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9.063e-4</w:t>
            </w:r>
          </w:p>
        </w:tc>
      </w:tr>
    </w:tbl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14E75" w:rsidRDefault="00514E75" w:rsidP="005914FA">
      <w:pPr>
        <w:jc w:val="both"/>
        <w:rPr>
          <w:rFonts w:ascii="Times New Roman" w:hAnsi="Times New Roman"/>
        </w:rPr>
      </w:pPr>
    </w:p>
    <w:p w:rsidR="00514E75" w:rsidRDefault="00514E75" w:rsidP="005914FA">
      <w:pPr>
        <w:jc w:val="both"/>
        <w:rPr>
          <w:rFonts w:ascii="Times New Roman" w:hAnsi="Times New Roman"/>
        </w:rPr>
      </w:pPr>
    </w:p>
    <w:p w:rsidR="00514E75" w:rsidRDefault="00514E75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5914FA" w:rsidRDefault="005914FA" w:rsidP="005914FA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p w:rsidR="001B3625" w:rsidRDefault="00787CF3" w:rsidP="005914FA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Using simulations, we confirmed the inequality 2: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PVE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w:rPr>
            <w:rFonts w:ascii="Cambria Math" w:hAnsi="Cambria Math"/>
          </w:rPr>
          <m:t>≤8m</m:t>
        </m:r>
        <m:r>
          <w:rPr>
            <w:rFonts w:ascii="Cambria Math" w:hAnsi="Cambria Math"/>
            <w:i/>
          </w:rPr>
          <w:sym w:font="Symbol" w:char="F071"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i/>
              </w:rPr>
              <w:sym w:font="Symbol" w:char="F071"/>
            </m:r>
          </m:e>
        </m:d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PVE</m:t>
            </m:r>
          </m:e>
          <m:sub>
            <m:r>
              <w:rPr>
                <w:rFonts w:ascii="Cambria Math" w:hAnsi="Cambria Math"/>
                <w:lang w:eastAsia="zh-CN"/>
              </w:rPr>
              <m:t>g</m:t>
            </m:r>
          </m:sub>
        </m:sSub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F</m:t>
            </m:r>
          </m:e>
          <m:sub>
            <m:r>
              <w:rPr>
                <w:rFonts w:ascii="Cambria Math" w:hAnsi="Cambria Math"/>
                <w:lang w:eastAsia="zh-CN"/>
              </w:rPr>
              <m:t>C</m:t>
            </m:r>
          </m:sub>
        </m:sSub>
      </m:oMath>
      <w:r w:rsidR="009F6BAC">
        <w:rPr>
          <w:rFonts w:ascii="Times New Roman" w:hAnsi="Times New Roman"/>
          <w:lang w:eastAsia="zh-CN"/>
        </w:rPr>
        <w:t>.</w:t>
      </w:r>
    </w:p>
    <w:p w:rsidR="007452D0" w:rsidRDefault="00786533" w:rsidP="007865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We also confirmed the equality 2*</w:t>
      </w:r>
      <w:r w:rsidR="00A26C88">
        <w:rPr>
          <w:rFonts w:ascii="Times New Roman" w:hAnsi="Times New Roman"/>
          <w:lang w:eastAsia="zh-CN"/>
        </w:rPr>
        <w:t>, thus validating the expected heritability in the presence of admixture</w:t>
      </w:r>
      <w:r>
        <w:rPr>
          <w:rFonts w:ascii="Times New Roman" w:hAnsi="Times New Roman"/>
          <w:lang w:eastAsia="zh-CN"/>
        </w:rPr>
        <w:t xml:space="preserve">: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PVE</m:t>
            </m:r>
          </m:e>
          <m:sub>
            <m:r>
              <w:rPr>
                <w:rFonts w:ascii="Cambria Math" w:hAnsi="Cambria Math"/>
                <w:lang w:eastAsia="zh-CN"/>
              </w:rPr>
              <m:t>l</m:t>
            </m:r>
          </m:sub>
        </m:sSub>
        <m:r>
          <w:rPr>
            <w:rFonts w:ascii="Cambria Math" w:hAnsi="Cambria Math"/>
          </w:rPr>
          <m:t>=2</m:t>
        </m:r>
        <m:r>
          <w:rPr>
            <w:rFonts w:ascii="Cambria Math" w:hAnsi="Cambria Math"/>
            <w:i/>
          </w:rPr>
          <w:sym w:font="Symbol" w:char="F071"/>
        </m:r>
        <m:r>
          <w:rPr>
            <w:rFonts w:ascii="Cambria Math" w:hAnsi="Cambria Math"/>
          </w:rPr>
          <m:t>(1-</m:t>
        </m:r>
        <m:r>
          <w:rPr>
            <w:rFonts w:ascii="Cambria Math" w:hAnsi="Cambria Math"/>
            <w:i/>
          </w:rPr>
          <w:sym w:font="Symbol" w:char="F071"/>
        </m:r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PVE</m:t>
            </m:r>
          </m:e>
          <m:sub>
            <m:r>
              <w:rPr>
                <w:rFonts w:ascii="Cambria Math" w:hAnsi="Cambria Math"/>
                <w:lang w:eastAsia="zh-CN"/>
              </w:rPr>
              <m:t>g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lang w:eastAsia="zh-C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C</m:t>
                </m:r>
              </m:sub>
            </m:sSub>
          </m:e>
        </m:acc>
      </m:oMath>
      <w:r>
        <w:rPr>
          <w:rFonts w:ascii="Times New Roman" w:hAnsi="Times New Roman"/>
          <w:lang w:eastAsia="zh-CN"/>
        </w:rPr>
        <w:t>. The right-hand side is 0.0</w:t>
      </w:r>
      <w:r w:rsidR="005B61F5"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lang w:eastAsia="zh-CN"/>
        </w:rPr>
        <w:t>3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lang w:eastAsia="zh-CN"/>
        </w:rPr>
        <w:t>=0.8</w:t>
      </w:r>
      <w:r w:rsidR="00F744C0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) and 0.020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lang w:eastAsia="zh-CN"/>
        </w:rPr>
        <w:t>=0.3</w:t>
      </w:r>
      <w:r w:rsidR="00F744C0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) according to the equation and is close to the estimated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PVE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lang w:eastAsia="zh-CN"/>
        </w:rPr>
        <w:t xml:space="preserve"> </w:t>
      </w:r>
    </w:p>
    <w:p w:rsidR="007C0517" w:rsidRDefault="007C0517" w:rsidP="00786533">
      <w:pPr>
        <w:jc w:val="both"/>
        <w:rPr>
          <w:rFonts w:ascii="Times New Roman" w:hAnsi="Times New Roman"/>
          <w:lang w:eastAsia="zh-CN"/>
        </w:rPr>
      </w:pPr>
    </w:p>
    <w:p w:rsidR="00786533" w:rsidRDefault="00786533" w:rsidP="00786533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p w:rsidR="005B61F5" w:rsidRDefault="005B61F5" w:rsidP="005914FA">
      <w:pPr>
        <w:jc w:val="both"/>
        <w:rPr>
          <w:rFonts w:ascii="Times New Roman" w:hAnsi="Times New Roman"/>
        </w:rPr>
      </w:pPr>
    </w:p>
    <w:p w:rsidR="007F7E1F" w:rsidRDefault="007F7E1F" w:rsidP="005914FA">
      <w:pPr>
        <w:jc w:val="both"/>
        <w:rPr>
          <w:rFonts w:ascii="Times New Roman" w:hAnsi="Times New Roman"/>
        </w:rPr>
      </w:pPr>
    </w:p>
    <w:p w:rsidR="007F7E1F" w:rsidRDefault="007F7E1F" w:rsidP="005914FA">
      <w:pPr>
        <w:jc w:val="both"/>
        <w:rPr>
          <w:rFonts w:ascii="Times New Roman" w:hAnsi="Times New Roman"/>
        </w:rPr>
      </w:pPr>
    </w:p>
    <w:p w:rsidR="008F72A2" w:rsidRDefault="008F72A2" w:rsidP="008F72A2">
      <w:pPr>
        <w:jc w:val="both"/>
        <w:rPr>
          <w:rFonts w:ascii="Times New Roman" w:hAnsi="Times New Roman"/>
        </w:rPr>
      </w:pPr>
      <w:bookmarkStart w:id="0" w:name="_GoBack"/>
    </w:p>
    <w:p w:rsidR="007F7E1F" w:rsidRDefault="007F7E1F" w:rsidP="005914FA">
      <w:pPr>
        <w:jc w:val="both"/>
        <w:rPr>
          <w:rFonts w:ascii="Times New Roman" w:hAnsi="Times New Roman"/>
        </w:rPr>
      </w:pPr>
    </w:p>
    <w:p w:rsidR="007F7E1F" w:rsidRDefault="007F7E1F" w:rsidP="005914FA">
      <w:pPr>
        <w:jc w:val="both"/>
        <w:rPr>
          <w:rFonts w:ascii="Times New Roman" w:hAnsi="Times New Roman"/>
        </w:rPr>
      </w:pPr>
    </w:p>
    <w:p w:rsidR="005B61F5" w:rsidRDefault="005B61F5" w:rsidP="005914FA">
      <w:pPr>
        <w:jc w:val="both"/>
        <w:rPr>
          <w:rFonts w:ascii="Times New Roman" w:hAnsi="Times New Roman"/>
        </w:rPr>
      </w:pPr>
    </w:p>
    <w:p w:rsidR="001B3625" w:rsidRDefault="001B3625" w:rsidP="005914FA">
      <w:pPr>
        <w:jc w:val="both"/>
        <w:rPr>
          <w:rFonts w:ascii="Times New Roman" w:hAnsi="Times New Roman"/>
        </w:rPr>
      </w:pPr>
    </w:p>
    <w:bookmarkEnd w:id="0"/>
    <w:p w:rsidR="00AC7855" w:rsidRDefault="00795682"/>
    <w:sectPr w:rsidR="00AC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A"/>
    <w:rsid w:val="00001450"/>
    <w:rsid w:val="0005596E"/>
    <w:rsid w:val="00063CDE"/>
    <w:rsid w:val="00070B24"/>
    <w:rsid w:val="00072767"/>
    <w:rsid w:val="000B7C60"/>
    <w:rsid w:val="000E37C4"/>
    <w:rsid w:val="0010767E"/>
    <w:rsid w:val="00134369"/>
    <w:rsid w:val="00144845"/>
    <w:rsid w:val="00156C80"/>
    <w:rsid w:val="001622D5"/>
    <w:rsid w:val="00185392"/>
    <w:rsid w:val="001B2DED"/>
    <w:rsid w:val="001B3625"/>
    <w:rsid w:val="001E45AE"/>
    <w:rsid w:val="001E63C8"/>
    <w:rsid w:val="001E799A"/>
    <w:rsid w:val="002133A5"/>
    <w:rsid w:val="00230B37"/>
    <w:rsid w:val="002E23F6"/>
    <w:rsid w:val="002E532F"/>
    <w:rsid w:val="00306B43"/>
    <w:rsid w:val="00346ECA"/>
    <w:rsid w:val="003A5200"/>
    <w:rsid w:val="003B327C"/>
    <w:rsid w:val="003E311C"/>
    <w:rsid w:val="00401CB9"/>
    <w:rsid w:val="0041566D"/>
    <w:rsid w:val="00460974"/>
    <w:rsid w:val="00461365"/>
    <w:rsid w:val="00474AD7"/>
    <w:rsid w:val="00514E75"/>
    <w:rsid w:val="00542B2D"/>
    <w:rsid w:val="005822C6"/>
    <w:rsid w:val="005914FA"/>
    <w:rsid w:val="00595D60"/>
    <w:rsid w:val="005B61F5"/>
    <w:rsid w:val="005E5729"/>
    <w:rsid w:val="005F7328"/>
    <w:rsid w:val="006671FD"/>
    <w:rsid w:val="00686470"/>
    <w:rsid w:val="00690E0E"/>
    <w:rsid w:val="00696C94"/>
    <w:rsid w:val="006A0E73"/>
    <w:rsid w:val="006A3290"/>
    <w:rsid w:val="006A3C3F"/>
    <w:rsid w:val="006F1074"/>
    <w:rsid w:val="00701FD2"/>
    <w:rsid w:val="00744815"/>
    <w:rsid w:val="007452D0"/>
    <w:rsid w:val="007860CB"/>
    <w:rsid w:val="00786533"/>
    <w:rsid w:val="00787CF3"/>
    <w:rsid w:val="00795682"/>
    <w:rsid w:val="007A13F0"/>
    <w:rsid w:val="007A1F7D"/>
    <w:rsid w:val="007C0517"/>
    <w:rsid w:val="007F7E1F"/>
    <w:rsid w:val="00800E82"/>
    <w:rsid w:val="00812742"/>
    <w:rsid w:val="00833E5C"/>
    <w:rsid w:val="008F72A2"/>
    <w:rsid w:val="008F7A93"/>
    <w:rsid w:val="00913F04"/>
    <w:rsid w:val="009541A4"/>
    <w:rsid w:val="00971136"/>
    <w:rsid w:val="0097596B"/>
    <w:rsid w:val="00985FD2"/>
    <w:rsid w:val="00990D42"/>
    <w:rsid w:val="009C7F13"/>
    <w:rsid w:val="009F6BAC"/>
    <w:rsid w:val="00A26C88"/>
    <w:rsid w:val="00A35D3C"/>
    <w:rsid w:val="00A668D9"/>
    <w:rsid w:val="00A74FB9"/>
    <w:rsid w:val="00A91DE0"/>
    <w:rsid w:val="00AB6E25"/>
    <w:rsid w:val="00AD4BD1"/>
    <w:rsid w:val="00B465CB"/>
    <w:rsid w:val="00B9329E"/>
    <w:rsid w:val="00BA2EB4"/>
    <w:rsid w:val="00BC6FD8"/>
    <w:rsid w:val="00BD78B2"/>
    <w:rsid w:val="00C2008A"/>
    <w:rsid w:val="00C41C05"/>
    <w:rsid w:val="00C665DB"/>
    <w:rsid w:val="00C71AA0"/>
    <w:rsid w:val="00C724C7"/>
    <w:rsid w:val="00C938F4"/>
    <w:rsid w:val="00C96EBE"/>
    <w:rsid w:val="00CB1FB2"/>
    <w:rsid w:val="00CB5A97"/>
    <w:rsid w:val="00CE6E63"/>
    <w:rsid w:val="00CF1F55"/>
    <w:rsid w:val="00D1241B"/>
    <w:rsid w:val="00D309EF"/>
    <w:rsid w:val="00D6490C"/>
    <w:rsid w:val="00DC32DB"/>
    <w:rsid w:val="00E55A42"/>
    <w:rsid w:val="00E5646C"/>
    <w:rsid w:val="00E60272"/>
    <w:rsid w:val="00EB2A42"/>
    <w:rsid w:val="00EC1616"/>
    <w:rsid w:val="00F009BF"/>
    <w:rsid w:val="00F12202"/>
    <w:rsid w:val="00F70243"/>
    <w:rsid w:val="00F744C0"/>
    <w:rsid w:val="00F8159F"/>
    <w:rsid w:val="00FB22CE"/>
    <w:rsid w:val="00FE0D9A"/>
    <w:rsid w:val="00FF2346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EA8E"/>
  <w15:chartTrackingRefBased/>
  <w15:docId w15:val="{2BF3BD4E-6F84-495A-9EFB-8D489D5D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FA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F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72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7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72"/>
    <w:rPr>
      <w:rFonts w:ascii="Calibri" w:eastAsia="MS Mincho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E75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 Zhong</dc:creator>
  <cp:keywords/>
  <dc:description/>
  <cp:lastModifiedBy>egamazon</cp:lastModifiedBy>
  <cp:revision>13</cp:revision>
  <dcterms:created xsi:type="dcterms:W3CDTF">2018-11-12T21:22:00Z</dcterms:created>
  <dcterms:modified xsi:type="dcterms:W3CDTF">2018-11-14T03:00:00Z</dcterms:modified>
</cp:coreProperties>
</file>