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7A" w:rsidRPr="00382570" w:rsidRDefault="00AD027A" w:rsidP="0038257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A50207" w:rsidRPr="00382570" w:rsidRDefault="001108CF" w:rsidP="00C7534F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82570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382570" w:rsidRPr="0038257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82570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D027A" w:rsidRPr="0038257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 w:rsidR="00AD027A" w:rsidRPr="00382570">
        <w:rPr>
          <w:rFonts w:asciiTheme="majorBidi" w:hAnsiTheme="majorBidi" w:cstheme="majorBidi"/>
          <w:b/>
          <w:bCs/>
          <w:sz w:val="24"/>
          <w:szCs w:val="24"/>
        </w:rPr>
        <w:t>Nutrient composition of irrigation solution before 20% dilution</w:t>
      </w:r>
      <w:r w:rsidR="00CD31DF" w:rsidRPr="00382570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CD31DF" w:rsidRPr="003825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232"/>
        <w:bidiVisual/>
        <w:tblW w:w="0" w:type="auto"/>
        <w:tblLook w:val="04A0" w:firstRow="1" w:lastRow="0" w:firstColumn="1" w:lastColumn="0" w:noHBand="0" w:noVBand="1"/>
      </w:tblPr>
      <w:tblGrid>
        <w:gridCol w:w="2391"/>
        <w:gridCol w:w="2390"/>
        <w:gridCol w:w="2474"/>
      </w:tblGrid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concentration (</w:t>
            </w:r>
            <w:proofErr w:type="spellStart"/>
            <w:r w:rsidRPr="003825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</w:t>
            </w:r>
            <w:proofErr w:type="spellEnd"/>
            <w:r w:rsidRPr="003825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25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concentration (ppm)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825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Mineral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195.8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NaNO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 xml:space="preserve"> (N)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  <w:rtl/>
              </w:rPr>
              <w:t>0.000969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  <w:rtl/>
              </w:rPr>
              <w:t>209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>PO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 xml:space="preserve"> (P)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2.685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271.4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KNO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 xml:space="preserve"> (K)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0.623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MgSO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 xml:space="preserve"> (Mg)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0.0025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0.748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ZnSO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 xml:space="preserve"> (Zn)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0.00198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0.496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CuSO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 xml:space="preserve"> (CU)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0.00081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0.131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MoO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 xml:space="preserve"> (Mo)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0.0154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3.441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MnSO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 xml:space="preserve"> (Mn)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0.00078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Borax (B)</w:t>
            </w:r>
          </w:p>
        </w:tc>
      </w:tr>
      <w:tr w:rsidR="00FB77D8" w:rsidRPr="00382570" w:rsidTr="00562417">
        <w:tc>
          <w:tcPr>
            <w:tcW w:w="2391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0.0204</w:t>
            </w:r>
          </w:p>
        </w:tc>
        <w:tc>
          <w:tcPr>
            <w:tcW w:w="2390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8.66</w:t>
            </w:r>
          </w:p>
        </w:tc>
        <w:tc>
          <w:tcPr>
            <w:tcW w:w="2474" w:type="dxa"/>
          </w:tcPr>
          <w:p w:rsidR="00FB77D8" w:rsidRPr="00382570" w:rsidRDefault="00FB77D8" w:rsidP="0056241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8257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10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>FeN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>NaO</w:t>
            </w:r>
            <w:r w:rsidRPr="00382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8</w:t>
            </w:r>
            <w:r w:rsidRPr="00382570">
              <w:rPr>
                <w:rFonts w:asciiTheme="majorBidi" w:hAnsiTheme="majorBidi" w:cstheme="majorBidi"/>
                <w:sz w:val="24"/>
                <w:szCs w:val="24"/>
              </w:rPr>
              <w:t xml:space="preserve"> (Fe)</w:t>
            </w:r>
          </w:p>
        </w:tc>
      </w:tr>
    </w:tbl>
    <w:p w:rsidR="00AD027A" w:rsidRPr="00382570" w:rsidRDefault="00AD027A" w:rsidP="001108C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82570">
        <w:rPr>
          <w:rFonts w:asciiTheme="majorBidi" w:hAnsiTheme="majorBidi" w:cstheme="majorBidi"/>
          <w:sz w:val="24"/>
          <w:szCs w:val="24"/>
        </w:rPr>
        <w:t xml:space="preserve">Citric acid was used to reduce the </w:t>
      </w:r>
      <w:r w:rsidR="00382570" w:rsidRPr="00382570">
        <w:rPr>
          <w:rFonts w:asciiTheme="majorBidi" w:hAnsiTheme="majorBidi" w:cstheme="majorBidi"/>
          <w:sz w:val="24"/>
          <w:szCs w:val="24"/>
        </w:rPr>
        <w:t>pH</w:t>
      </w:r>
      <w:r w:rsidR="00382570">
        <w:rPr>
          <w:rFonts w:asciiTheme="majorBidi" w:hAnsiTheme="majorBidi" w:cstheme="majorBidi"/>
          <w:sz w:val="24"/>
          <w:szCs w:val="24"/>
        </w:rPr>
        <w:t xml:space="preserve"> of the</w:t>
      </w:r>
      <w:r w:rsidR="00382570" w:rsidRPr="00382570">
        <w:rPr>
          <w:rFonts w:asciiTheme="majorBidi" w:hAnsiTheme="majorBidi" w:cstheme="majorBidi"/>
          <w:sz w:val="24"/>
          <w:szCs w:val="24"/>
        </w:rPr>
        <w:t xml:space="preserve"> </w:t>
      </w:r>
      <w:r w:rsidR="00CD31DF" w:rsidRPr="00382570">
        <w:rPr>
          <w:rFonts w:asciiTheme="majorBidi" w:hAnsiTheme="majorBidi" w:cstheme="majorBidi"/>
          <w:sz w:val="24"/>
          <w:szCs w:val="24"/>
        </w:rPr>
        <w:t xml:space="preserve">stock </w:t>
      </w:r>
      <w:r w:rsidRPr="00382570">
        <w:rPr>
          <w:rFonts w:asciiTheme="majorBidi" w:hAnsiTheme="majorBidi" w:cstheme="majorBidi"/>
          <w:sz w:val="24"/>
          <w:szCs w:val="24"/>
        </w:rPr>
        <w:t>solution</w:t>
      </w:r>
      <w:r w:rsidR="00E5101B" w:rsidRPr="00382570">
        <w:rPr>
          <w:rFonts w:asciiTheme="majorBidi" w:hAnsiTheme="majorBidi" w:cstheme="majorBidi"/>
          <w:sz w:val="24"/>
          <w:szCs w:val="24"/>
        </w:rPr>
        <w:t xml:space="preserve"> (concentrated 100</w:t>
      </w:r>
      <w:r w:rsidR="001108CF">
        <w:rPr>
          <w:rFonts w:asciiTheme="majorBidi" w:hAnsiTheme="majorBidi" w:cstheme="majorBidi"/>
          <w:sz w:val="24"/>
          <w:szCs w:val="24"/>
        </w:rPr>
        <w:t>X</w:t>
      </w:r>
      <w:r w:rsidR="00E5101B" w:rsidRPr="00382570">
        <w:rPr>
          <w:rFonts w:asciiTheme="majorBidi" w:hAnsiTheme="majorBidi" w:cstheme="majorBidi"/>
          <w:sz w:val="24"/>
          <w:szCs w:val="24"/>
        </w:rPr>
        <w:t xml:space="preserve"> from the values mentioned in the table)</w:t>
      </w:r>
      <w:r w:rsidRPr="00382570">
        <w:rPr>
          <w:rFonts w:asciiTheme="majorBidi" w:hAnsiTheme="majorBidi" w:cstheme="majorBidi"/>
          <w:sz w:val="24"/>
          <w:szCs w:val="24"/>
        </w:rPr>
        <w:t xml:space="preserve"> to</w:t>
      </w:r>
      <w:r w:rsidR="00E5101B" w:rsidRPr="00382570">
        <w:rPr>
          <w:rFonts w:asciiTheme="majorBidi" w:hAnsiTheme="majorBidi" w:cstheme="majorBidi"/>
          <w:sz w:val="24"/>
          <w:szCs w:val="24"/>
        </w:rPr>
        <w:t xml:space="preserve"> 1.5. The pH </w:t>
      </w:r>
      <w:r w:rsidR="00382570">
        <w:rPr>
          <w:rFonts w:asciiTheme="majorBidi" w:hAnsiTheme="majorBidi" w:cstheme="majorBidi"/>
          <w:sz w:val="24"/>
          <w:szCs w:val="24"/>
        </w:rPr>
        <w:t>of the final irrigation solution from</w:t>
      </w:r>
      <w:r w:rsidR="00E5101B" w:rsidRPr="00382570">
        <w:rPr>
          <w:rFonts w:asciiTheme="majorBidi" w:hAnsiTheme="majorBidi" w:cstheme="majorBidi"/>
          <w:sz w:val="24"/>
          <w:szCs w:val="24"/>
        </w:rPr>
        <w:t xml:space="preserve"> the dripper (aft</w:t>
      </w:r>
      <w:r w:rsidR="00382570">
        <w:rPr>
          <w:rFonts w:asciiTheme="majorBidi" w:hAnsiTheme="majorBidi" w:cstheme="majorBidi"/>
          <w:sz w:val="24"/>
          <w:szCs w:val="24"/>
        </w:rPr>
        <w:t xml:space="preserve">er dilution with tap water) </w:t>
      </w:r>
      <w:r w:rsidR="00E5101B" w:rsidRPr="00382570">
        <w:rPr>
          <w:rFonts w:asciiTheme="majorBidi" w:hAnsiTheme="majorBidi" w:cstheme="majorBidi"/>
          <w:sz w:val="24"/>
          <w:szCs w:val="24"/>
        </w:rPr>
        <w:t>varied between</w:t>
      </w:r>
      <w:r w:rsidRPr="00382570">
        <w:rPr>
          <w:rFonts w:asciiTheme="majorBidi" w:hAnsiTheme="majorBidi" w:cstheme="majorBidi"/>
          <w:sz w:val="24"/>
          <w:szCs w:val="24"/>
        </w:rPr>
        <w:t xml:space="preserve"> 6.5</w:t>
      </w:r>
      <w:r w:rsidR="00E5101B" w:rsidRPr="00382570">
        <w:rPr>
          <w:rFonts w:asciiTheme="majorBidi" w:hAnsiTheme="majorBidi" w:cstheme="majorBidi"/>
          <w:sz w:val="24"/>
          <w:szCs w:val="24"/>
        </w:rPr>
        <w:t xml:space="preserve"> </w:t>
      </w:r>
      <w:r w:rsidR="001108CF">
        <w:rPr>
          <w:rFonts w:asciiTheme="majorBidi" w:hAnsiTheme="majorBidi" w:cstheme="majorBidi"/>
          <w:sz w:val="24"/>
          <w:szCs w:val="24"/>
        </w:rPr>
        <w:t xml:space="preserve">and </w:t>
      </w:r>
      <w:r w:rsidR="00E5101B" w:rsidRPr="00382570">
        <w:rPr>
          <w:rFonts w:asciiTheme="majorBidi" w:hAnsiTheme="majorBidi" w:cstheme="majorBidi"/>
          <w:sz w:val="24"/>
          <w:szCs w:val="24"/>
        </w:rPr>
        <w:t>7</w:t>
      </w:r>
      <w:r w:rsidR="00CD31DF" w:rsidRPr="00382570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AD027A" w:rsidRPr="00382570" w:rsidSect="002851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ille Vainstein">
    <w15:presenceInfo w15:providerId="Windows Live" w15:userId="a2d0f3234d3dc9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DUytTQwtDQ3M7ZQ0lEKTi0uzszPAykwrQUAhoZpnSwAAAA="/>
  </w:docVars>
  <w:rsids>
    <w:rsidRoot w:val="00D8142A"/>
    <w:rsid w:val="000C30CD"/>
    <w:rsid w:val="001108CF"/>
    <w:rsid w:val="00174D3E"/>
    <w:rsid w:val="00175C3A"/>
    <w:rsid w:val="001B46CA"/>
    <w:rsid w:val="00210191"/>
    <w:rsid w:val="0022461B"/>
    <w:rsid w:val="00267AF4"/>
    <w:rsid w:val="0028519F"/>
    <w:rsid w:val="00360D19"/>
    <w:rsid w:val="003638B9"/>
    <w:rsid w:val="00382570"/>
    <w:rsid w:val="0047307A"/>
    <w:rsid w:val="004D2995"/>
    <w:rsid w:val="004D67F2"/>
    <w:rsid w:val="00562417"/>
    <w:rsid w:val="006E410F"/>
    <w:rsid w:val="006F67CB"/>
    <w:rsid w:val="00A50207"/>
    <w:rsid w:val="00A97C71"/>
    <w:rsid w:val="00AD027A"/>
    <w:rsid w:val="00C7534F"/>
    <w:rsid w:val="00CD31DF"/>
    <w:rsid w:val="00D3691D"/>
    <w:rsid w:val="00D8142A"/>
    <w:rsid w:val="00E5101B"/>
    <w:rsid w:val="00F41640"/>
    <w:rsid w:val="00FB77D8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נדב האיש</dc:creator>
  <cp:lastModifiedBy>moshelion-lab</cp:lastModifiedBy>
  <cp:revision>3</cp:revision>
  <dcterms:created xsi:type="dcterms:W3CDTF">2018-12-20T07:23:00Z</dcterms:created>
  <dcterms:modified xsi:type="dcterms:W3CDTF">2018-12-20T09:38:00Z</dcterms:modified>
</cp:coreProperties>
</file>