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CA" w:rsidRPr="00742779" w:rsidRDefault="00E93CCA" w:rsidP="00E93CCA">
      <w:pPr>
        <w:pStyle w:val="EndNoteBibliography"/>
        <w:spacing w:after="120" w:line="360" w:lineRule="auto"/>
        <w:rPr>
          <w:rFonts w:ascii="Arial" w:hAnsi="Arial" w:cs="Arial"/>
          <w:b/>
          <w:bCs/>
          <w:sz w:val="32"/>
          <w:szCs w:val="32"/>
          <w:lang w:val="en-US"/>
        </w:rPr>
      </w:pPr>
      <w:r>
        <w:rPr>
          <w:rFonts w:ascii="Arial" w:hAnsi="Arial" w:cs="Arial"/>
          <w:b/>
          <w:bCs/>
          <w:sz w:val="32"/>
          <w:szCs w:val="32"/>
          <w:lang w:val="en-US"/>
        </w:rPr>
        <w:t>Supplementary Material</w:t>
      </w:r>
    </w:p>
    <w:p w:rsidR="00E93CCA" w:rsidRPr="00742779" w:rsidRDefault="00E93CCA" w:rsidP="00E93CCA">
      <w:pPr>
        <w:snapToGrid w:val="0"/>
        <w:spacing w:after="0" w:line="360" w:lineRule="auto"/>
        <w:jc w:val="both"/>
        <w:rPr>
          <w:rFonts w:ascii="Arial" w:hAnsi="Arial" w:cs="Arial"/>
          <w:bCs/>
          <w:sz w:val="24"/>
          <w:szCs w:val="24"/>
          <w:lang w:val="en-US"/>
        </w:rPr>
      </w:pPr>
      <w:r w:rsidRPr="00742779">
        <w:rPr>
          <w:rFonts w:ascii="Arial" w:hAnsi="Arial" w:cs="Arial"/>
          <w:b/>
          <w:bCs/>
          <w:sz w:val="24"/>
          <w:szCs w:val="24"/>
          <w:lang w:val="en-US"/>
        </w:rPr>
        <w:t xml:space="preserve">Table </w:t>
      </w:r>
      <w:proofErr w:type="spellStart"/>
      <w:r w:rsidRPr="00742779">
        <w:rPr>
          <w:rFonts w:ascii="Arial" w:hAnsi="Arial" w:cs="Arial"/>
          <w:b/>
          <w:bCs/>
          <w:sz w:val="24"/>
          <w:szCs w:val="24"/>
          <w:lang w:val="en-US"/>
        </w:rPr>
        <w:t>S1</w:t>
      </w:r>
      <w:proofErr w:type="spellEnd"/>
      <w:r w:rsidRPr="00742779">
        <w:rPr>
          <w:rFonts w:ascii="Arial" w:hAnsi="Arial" w:cs="Arial"/>
          <w:b/>
          <w:bCs/>
          <w:sz w:val="24"/>
          <w:szCs w:val="24"/>
          <w:lang w:val="en-US"/>
        </w:rPr>
        <w:t xml:space="preserve">. List of genera known to oxidize CO. </w:t>
      </w:r>
      <w:r w:rsidRPr="00742779">
        <w:rPr>
          <w:rFonts w:ascii="Arial" w:hAnsi="Arial" w:cs="Arial"/>
          <w:bCs/>
          <w:sz w:val="24"/>
          <w:szCs w:val="24"/>
          <w:lang w:val="en-US"/>
        </w:rPr>
        <w:t xml:space="preserve">The primary literature referenced was used to determine whether each genus has been reported to oxidize CO, grow chemolithoautotrophically on CO (column 3), or oxidize CO at atmospheric concentrations (column 4). Also listed is the phylogenetic clade that the </w:t>
      </w:r>
      <w:proofErr w:type="spellStart"/>
      <w:r w:rsidRPr="00742779">
        <w:rPr>
          <w:rFonts w:ascii="Arial" w:hAnsi="Arial" w:cs="Arial"/>
          <w:bCs/>
          <w:sz w:val="24"/>
          <w:szCs w:val="24"/>
          <w:lang w:val="en-US"/>
        </w:rPr>
        <w:t>CoxL</w:t>
      </w:r>
      <w:proofErr w:type="spellEnd"/>
      <w:r w:rsidRPr="00742779">
        <w:rPr>
          <w:rFonts w:ascii="Arial" w:hAnsi="Arial" w:cs="Arial"/>
          <w:bCs/>
          <w:sz w:val="24"/>
          <w:szCs w:val="24"/>
          <w:lang w:val="en-US"/>
        </w:rPr>
        <w:t xml:space="preserve"> sequences are affiliated with (column 6) based on the phylogenetic trees shown in </w:t>
      </w:r>
      <w:r w:rsidRPr="00742779">
        <w:rPr>
          <w:rFonts w:ascii="Arial" w:hAnsi="Arial" w:cs="Arial"/>
          <w:b/>
          <w:bCs/>
          <w:sz w:val="24"/>
          <w:szCs w:val="24"/>
          <w:lang w:val="en-US"/>
        </w:rPr>
        <w:t xml:space="preserve">Fig. </w:t>
      </w:r>
      <w:proofErr w:type="spellStart"/>
      <w:r w:rsidRPr="00742779">
        <w:rPr>
          <w:rFonts w:ascii="Arial" w:hAnsi="Arial" w:cs="Arial"/>
          <w:b/>
          <w:bCs/>
          <w:sz w:val="24"/>
          <w:szCs w:val="24"/>
          <w:lang w:val="en-US"/>
        </w:rPr>
        <w:t>4a</w:t>
      </w:r>
      <w:proofErr w:type="spellEnd"/>
      <w:r w:rsidRPr="00742779">
        <w:rPr>
          <w:rFonts w:ascii="Arial" w:hAnsi="Arial" w:cs="Arial"/>
          <w:b/>
          <w:bCs/>
          <w:sz w:val="24"/>
          <w:szCs w:val="24"/>
          <w:lang w:val="en-US"/>
        </w:rPr>
        <w:t xml:space="preserve"> </w:t>
      </w:r>
      <w:r w:rsidRPr="00742779">
        <w:rPr>
          <w:rFonts w:ascii="Arial" w:hAnsi="Arial" w:cs="Arial"/>
          <w:bCs/>
          <w:sz w:val="24"/>
          <w:szCs w:val="24"/>
          <w:lang w:val="en-US"/>
        </w:rPr>
        <w:t xml:space="preserve">and </w:t>
      </w:r>
      <w:r w:rsidRPr="00742779">
        <w:rPr>
          <w:rFonts w:ascii="Arial" w:hAnsi="Arial" w:cs="Arial"/>
          <w:b/>
          <w:bCs/>
          <w:sz w:val="24"/>
          <w:szCs w:val="24"/>
          <w:lang w:val="en-US"/>
        </w:rPr>
        <w:t xml:space="preserve">Fig. </w:t>
      </w:r>
      <w:proofErr w:type="spellStart"/>
      <w:r w:rsidRPr="00742779">
        <w:rPr>
          <w:rFonts w:ascii="Arial" w:hAnsi="Arial" w:cs="Arial"/>
          <w:b/>
          <w:bCs/>
          <w:sz w:val="24"/>
          <w:szCs w:val="24"/>
          <w:lang w:val="en-US"/>
        </w:rPr>
        <w:t>S2</w:t>
      </w:r>
      <w:proofErr w:type="spellEnd"/>
      <w:r w:rsidRPr="00742779">
        <w:rPr>
          <w:rFonts w:ascii="Arial" w:hAnsi="Arial" w:cs="Arial"/>
          <w:bCs/>
          <w:sz w:val="24"/>
          <w:szCs w:val="24"/>
          <w:lang w:val="en-US"/>
        </w:rPr>
        <w:t>.</w:t>
      </w:r>
      <w:r w:rsidRPr="00742779">
        <w:rPr>
          <w:rFonts w:ascii="Arial" w:hAnsi="Arial" w:cs="Arial"/>
          <w:b/>
          <w:bCs/>
          <w:sz w:val="24"/>
          <w:szCs w:val="24"/>
          <w:lang w:val="en-US"/>
        </w:rPr>
        <w:t xml:space="preserve"> </w:t>
      </w:r>
      <w:r w:rsidRPr="00742779">
        <w:rPr>
          <w:rFonts w:ascii="Arial" w:hAnsi="Arial" w:cs="Arial"/>
          <w:bCs/>
          <w:sz w:val="24"/>
          <w:szCs w:val="24"/>
          <w:lang w:val="en-US"/>
        </w:rPr>
        <w:t xml:space="preserve">Note that all taxonomic assignments are based on the genome taxonomy database </w:t>
      </w:r>
      <w:r w:rsidRPr="00742779">
        <w:rPr>
          <w:rFonts w:ascii="Arial" w:hAnsi="Arial" w:cs="Arial"/>
          <w:bCs/>
          <w:sz w:val="24"/>
          <w:szCs w:val="24"/>
          <w:lang w:val="en-US"/>
        </w:rPr>
        <w:fldChar w:fldCharType="begin" w:fldLock="1"/>
      </w:r>
      <w:r>
        <w:rPr>
          <w:rFonts w:ascii="Arial" w:hAnsi="Arial" w:cs="Arial"/>
          <w:bCs/>
          <w:sz w:val="24"/>
          <w:szCs w:val="24"/>
          <w:lang w:val="en-US"/>
        </w:rPr>
        <w:instrText>ADDIN CSL_CITATION {"citationItems":[{"id":"ITEM-1","itemData":{"ISSN":"1546-1696","author":[{"dropping-particle":"","family":"Parks","given":"Donovan H","non-dropping-particle":"","parse-names":false,"suffix":""},{"dropping-particle":"","family":"Chuvochina","given":"Maria","non-dropping-particle":"","parse-names":false,"suffix":""},{"dropping-particle":"","family":"Waite","given":"David W","non-dropping-particle":"","parse-names":false,"suffix":""},{"dropping-particle":"","family":"Rinke","given":"Christian","non-dropping-particle":"","parse-names":false,"suffix":""},{"dropping-particle":"","family":"Skarshewski","given":"Adam","non-dropping-particle":"","parse-names":false,"suffix":""},{"dropping-particle":"","family":"Chaumeil","given":"Pierre-Alain","non-dropping-particle":"","parse-names":false,"suffix":""},{"dropping-particle":"","family":"Hugenholtz","given":"Philip","non-dropping-particle":"","parse-names":false,"suffix":""}],"container-title":"Nature biotechnology","id":"ITEM-1","issued":{"date-parts":[["2018"]]},"page":"996-1004","publisher":"Nature Publishing Group","title":"A standardized bacterial taxonomy based on genome phylogeny substantially revises the tree of life","type":"article-journal","volume":"36"},"uris":["http://www.mendeley.com/documents/?uuid=727298f7-d0a4-4cec-b6ac-c46d030a69ba"]}],"mendeley":{"formattedCitation":"[90]","plainTextFormattedCitation":"[90]","previouslyFormattedCitation":"&lt;sup&gt;88&lt;/sup&gt;"},"properties":{"noteIndex":0},"schema":"https://github.com/citation-style-language/schema/raw/master/csl-citation.json"}</w:instrText>
      </w:r>
      <w:r w:rsidRPr="00742779">
        <w:rPr>
          <w:rFonts w:ascii="Arial" w:hAnsi="Arial" w:cs="Arial"/>
          <w:bCs/>
          <w:sz w:val="24"/>
          <w:szCs w:val="24"/>
          <w:lang w:val="en-US"/>
        </w:rPr>
        <w:fldChar w:fldCharType="separate"/>
      </w:r>
      <w:r w:rsidRPr="0003700B">
        <w:rPr>
          <w:rFonts w:ascii="Arial" w:hAnsi="Arial" w:cs="Arial"/>
          <w:bCs/>
          <w:noProof/>
          <w:sz w:val="24"/>
          <w:szCs w:val="24"/>
          <w:lang w:val="en-US"/>
        </w:rPr>
        <w:t>[90]</w:t>
      </w:r>
      <w:r w:rsidRPr="00742779">
        <w:rPr>
          <w:rFonts w:ascii="Arial" w:hAnsi="Arial" w:cs="Arial"/>
          <w:bCs/>
          <w:sz w:val="24"/>
          <w:szCs w:val="24"/>
          <w:lang w:val="en-US"/>
        </w:rPr>
        <w:fldChar w:fldCharType="end"/>
      </w:r>
      <w:r w:rsidRPr="00742779">
        <w:rPr>
          <w:rFonts w:ascii="Arial" w:hAnsi="Arial" w:cs="Arial"/>
          <w:bCs/>
          <w:sz w:val="24"/>
          <w:szCs w:val="24"/>
          <w:lang w:val="en-US"/>
        </w:rPr>
        <w:t xml:space="preserve"> and hence may differ from those historically reported. In this regard, the </w:t>
      </w:r>
      <w:proofErr w:type="spellStart"/>
      <w:r w:rsidRPr="00742779">
        <w:rPr>
          <w:rFonts w:ascii="Arial" w:hAnsi="Arial" w:cs="Arial"/>
          <w:bCs/>
          <w:sz w:val="24"/>
          <w:szCs w:val="24"/>
          <w:lang w:val="en-US"/>
        </w:rPr>
        <w:t>carboxydotroph</w:t>
      </w:r>
      <w:proofErr w:type="spellEnd"/>
      <w:r w:rsidRPr="00742779">
        <w:rPr>
          <w:rFonts w:ascii="Arial" w:hAnsi="Arial" w:cs="Arial"/>
          <w:bCs/>
          <w:sz w:val="24"/>
          <w:szCs w:val="24"/>
          <w:lang w:val="en-US"/>
        </w:rPr>
        <w:t xml:space="preserve"> [</w:t>
      </w:r>
      <w:r w:rsidRPr="00742779">
        <w:rPr>
          <w:rFonts w:ascii="Arial" w:hAnsi="Arial" w:cs="Arial"/>
          <w:bCs/>
          <w:i/>
          <w:sz w:val="24"/>
          <w:szCs w:val="24"/>
          <w:lang w:val="en-US"/>
        </w:rPr>
        <w:t>Streptomyces</w:t>
      </w:r>
      <w:r w:rsidRPr="00742779">
        <w:rPr>
          <w:rFonts w:ascii="Arial" w:hAnsi="Arial" w:cs="Arial"/>
          <w:bCs/>
          <w:sz w:val="24"/>
          <w:szCs w:val="24"/>
          <w:lang w:val="en-US"/>
        </w:rPr>
        <w:t>]</w:t>
      </w:r>
      <w:r w:rsidRPr="00742779">
        <w:rPr>
          <w:rFonts w:ascii="Arial" w:hAnsi="Arial" w:cs="Arial"/>
          <w:bCs/>
          <w:i/>
          <w:sz w:val="24"/>
          <w:szCs w:val="24"/>
          <w:lang w:val="en-US"/>
        </w:rPr>
        <w:t xml:space="preserve"> </w:t>
      </w:r>
      <w:proofErr w:type="spellStart"/>
      <w:r w:rsidRPr="00742779">
        <w:rPr>
          <w:rFonts w:ascii="Arial" w:hAnsi="Arial" w:cs="Arial"/>
          <w:bCs/>
          <w:i/>
          <w:sz w:val="24"/>
          <w:szCs w:val="24"/>
          <w:lang w:val="en-US"/>
        </w:rPr>
        <w:t>thermautotrophicus</w:t>
      </w:r>
      <w:proofErr w:type="spellEnd"/>
      <w:r w:rsidRPr="00742779">
        <w:rPr>
          <w:rFonts w:ascii="Arial" w:hAnsi="Arial" w:cs="Arial"/>
          <w:bCs/>
          <w:sz w:val="24"/>
          <w:szCs w:val="24"/>
          <w:lang w:val="en-US"/>
        </w:rPr>
        <w:t xml:space="preserve"> is now recognized as a distinct genus from </w:t>
      </w:r>
      <w:r w:rsidRPr="00742779">
        <w:rPr>
          <w:rFonts w:ascii="Arial" w:hAnsi="Arial" w:cs="Arial"/>
          <w:bCs/>
          <w:i/>
          <w:sz w:val="24"/>
          <w:szCs w:val="24"/>
          <w:lang w:val="en-US"/>
        </w:rPr>
        <w:t xml:space="preserve">Streptomyces </w:t>
      </w:r>
      <w:r w:rsidRPr="00742779">
        <w:rPr>
          <w:rFonts w:ascii="Arial" w:hAnsi="Arial" w:cs="Arial"/>
          <w:bCs/>
          <w:sz w:val="24"/>
          <w:szCs w:val="24"/>
          <w:lang w:val="en-US"/>
        </w:rPr>
        <w:t xml:space="preserve">and the former class Betaproteobacteria is now the order </w:t>
      </w:r>
      <w:proofErr w:type="spellStart"/>
      <w:r w:rsidRPr="00742779">
        <w:rPr>
          <w:rFonts w:ascii="Arial" w:hAnsi="Arial" w:cs="Arial"/>
          <w:bCs/>
          <w:sz w:val="24"/>
          <w:szCs w:val="24"/>
          <w:lang w:val="en-US"/>
        </w:rPr>
        <w:t>Betaproteobacteriales</w:t>
      </w:r>
      <w:proofErr w:type="spellEnd"/>
      <w:r w:rsidRPr="00742779">
        <w:rPr>
          <w:rFonts w:ascii="Arial" w:hAnsi="Arial" w:cs="Arial"/>
          <w:bCs/>
          <w:sz w:val="24"/>
          <w:szCs w:val="24"/>
          <w:lang w:val="en-US"/>
        </w:rPr>
        <w:t xml:space="preserve"> in the class </w:t>
      </w:r>
      <w:proofErr w:type="spellStart"/>
      <w:r w:rsidRPr="00742779">
        <w:rPr>
          <w:rFonts w:ascii="Arial" w:hAnsi="Arial" w:cs="Arial"/>
          <w:bCs/>
          <w:sz w:val="24"/>
          <w:szCs w:val="24"/>
          <w:lang w:val="en-US"/>
        </w:rPr>
        <w:t>Gammaproteobacteria</w:t>
      </w:r>
      <w:proofErr w:type="spellEnd"/>
      <w:r w:rsidRPr="00742779">
        <w:rPr>
          <w:rFonts w:ascii="Arial" w:hAnsi="Arial" w:cs="Arial"/>
          <w:bCs/>
          <w:sz w:val="24"/>
          <w:szCs w:val="24"/>
          <w:lang w:val="en-US"/>
        </w:rPr>
        <w:t xml:space="preserve">. </w:t>
      </w:r>
    </w:p>
    <w:p w:rsidR="00E93CCA" w:rsidRDefault="00E93CCA" w:rsidP="00E93CCA">
      <w:pPr>
        <w:snapToGrid w:val="0"/>
        <w:spacing w:after="0" w:line="360" w:lineRule="auto"/>
        <w:jc w:val="both"/>
        <w:rPr>
          <w:rFonts w:asciiTheme="minorBidi" w:hAnsiTheme="minorBidi"/>
          <w:b/>
          <w:bCs/>
          <w:sz w:val="24"/>
          <w:szCs w:val="24"/>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268"/>
        <w:gridCol w:w="1228"/>
        <w:gridCol w:w="1229"/>
        <w:gridCol w:w="1229"/>
        <w:gridCol w:w="1701"/>
      </w:tblGrid>
      <w:tr w:rsidR="00E93CCA" w:rsidRPr="00B12147" w:rsidTr="00D409BD">
        <w:tc>
          <w:tcPr>
            <w:tcW w:w="2263" w:type="dxa"/>
          </w:tcPr>
          <w:p w:rsidR="00E93CCA" w:rsidRPr="00B12147" w:rsidRDefault="00E93CCA" w:rsidP="00D409BD">
            <w:pPr>
              <w:snapToGrid w:val="0"/>
              <w:spacing w:line="360" w:lineRule="auto"/>
              <w:jc w:val="both"/>
              <w:rPr>
                <w:rFonts w:ascii="Arial" w:hAnsi="Arial" w:cs="Arial"/>
                <w:b/>
                <w:bCs/>
                <w:sz w:val="20"/>
                <w:szCs w:val="20"/>
                <w:lang w:val="en-US"/>
              </w:rPr>
            </w:pPr>
            <w:bookmarkStart w:id="0" w:name="_Hlk534374138"/>
            <w:r w:rsidRPr="00B12147">
              <w:rPr>
                <w:rFonts w:ascii="Arial" w:hAnsi="Arial" w:cs="Arial"/>
                <w:b/>
                <w:bCs/>
                <w:sz w:val="20"/>
                <w:szCs w:val="20"/>
                <w:lang w:val="en-US"/>
              </w:rPr>
              <w:t>Class (Phylum)</w:t>
            </w: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t>Genus</w:t>
            </w:r>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Growth on CO?</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Ambient uptake?</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Reference</w:t>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Enzyme</w:t>
            </w:r>
            <w:r w:rsidRPr="00B12147">
              <w:rPr>
                <w:rFonts w:ascii="Arial" w:hAnsi="Arial" w:cs="Arial"/>
                <w:b/>
                <w:bCs/>
                <w:sz w:val="20"/>
                <w:szCs w:val="20"/>
                <w:lang w:val="en-US"/>
              </w:rPr>
              <w:t xml:space="preserve"> </w:t>
            </w:r>
            <w:r>
              <w:rPr>
                <w:rFonts w:ascii="Arial" w:hAnsi="Arial" w:cs="Arial"/>
                <w:b/>
                <w:bCs/>
                <w:sz w:val="20"/>
                <w:szCs w:val="20"/>
                <w:lang w:val="en-US"/>
              </w:rPr>
              <w:t>clade</w:t>
            </w:r>
          </w:p>
        </w:tc>
      </w:tr>
      <w:tr w:rsidR="00E93CCA" w:rsidRPr="00B12147" w:rsidTr="00D409BD">
        <w:tc>
          <w:tcPr>
            <w:tcW w:w="2263" w:type="dxa"/>
            <w:vMerge w:val="restart"/>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Cs/>
                <w:sz w:val="20"/>
                <w:szCs w:val="20"/>
                <w:lang w:val="en-US"/>
              </w:rPr>
              <w:t>Actinobacteria (</w:t>
            </w:r>
            <w:proofErr w:type="spellStart"/>
            <w:r w:rsidRPr="00B12147">
              <w:rPr>
                <w:rFonts w:ascii="Arial" w:hAnsi="Arial" w:cs="Arial"/>
                <w:bCs/>
                <w:sz w:val="20"/>
                <w:szCs w:val="20"/>
                <w:lang w:val="en-US"/>
              </w:rPr>
              <w:t>Actinobacteriota</w:t>
            </w:r>
            <w:proofErr w:type="spellEnd"/>
            <w:r w:rsidRPr="00B12147">
              <w:rPr>
                <w:rFonts w:ascii="Arial" w:hAnsi="Arial" w:cs="Arial"/>
                <w:bCs/>
                <w:sz w:val="20"/>
                <w:szCs w:val="20"/>
                <w:lang w:val="en-US"/>
              </w:rPr>
              <w:t>)</w:t>
            </w: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t>[</w:t>
            </w:r>
            <w:r w:rsidRPr="00B12147">
              <w:rPr>
                <w:rFonts w:ascii="Arial" w:hAnsi="Arial" w:cs="Arial"/>
                <w:bCs/>
                <w:i/>
                <w:sz w:val="20"/>
                <w:szCs w:val="20"/>
                <w:lang w:val="en-US"/>
              </w:rPr>
              <w:t>Streptomyces</w:t>
            </w:r>
            <w:r>
              <w:rPr>
                <w:rFonts w:ascii="Arial" w:hAnsi="Arial" w:cs="Arial"/>
                <w:bCs/>
                <w:sz w:val="20"/>
                <w:szCs w:val="20"/>
                <w:lang w:val="en-US"/>
              </w:rPr>
              <w:t>]</w:t>
            </w:r>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0099-2240","author":[{"dropping-particle":"","family":"Gadkari","given":"Dilip","non-dropping-particle":"","parse-names":false,"suffix":""},{"dropping-particle":"","family":"Schricker","given":"Karl","non-dropping-particle":"","parse-names":false,"suffix":""},{"dropping-particle":"","family":"Acker","given":"Georg","non-dropping-particle":"","parse-names":false,"suffix":""},{"dropping-particle":"","family":"Kroppenstedt","given":"Reiner M","non-dropping-particle":"","parse-names":false,"suffix":""},{"dropping-particle":"","family":"Meyer","given":"Ortwin","non-dropping-particle":"","parse-names":false,"suffix":""}],"container-title":"Applied and environmental microbiology","id":"ITEM-1","issue":"12","issued":{"date-parts":[["1990"]]},"page":"3727-3734","publisher":"Am Soc Microbiol","title":"&lt;i&gt;Streptomyces thermoautotrophicus&lt;/i&gt; sp. nov., a thermophilic CO-and H&lt;sub&gt;2&lt;/sub&gt;-oxidizing obligate chemolithoautotroph","type":"article-journal","volume":"56"},"uris":["http://www.mendeley.com/documents/?uuid=ad272c38-ae43-4007-954c-17f923cba6de","http://www.mendeley.com/documents/?uuid=85fb9d92-6c9f-4427-bfda-2871aec7aa68"]},{"id":"ITEM-2","itemData":{"ISSN":"1466-5034","author":[{"dropping-particle":"","family":"Kim","given":"Seung Bum","non-dropping-particle":"","parse-names":false,"suffix":""},{"dropping-particle":"","family":"Falconer","given":"Christine","non-dropping-particle":"","parse-names":false,"suffix":""},{"dropping-particle":"","family":"Williams","given":"Edwin","non-dropping-particle":"","parse-names":false,"suffix":""},{"dropping-particle":"","family":"Goodfellow","given":"Michael","non-dropping-particle":"","parse-names":false,"suffix":""}],"container-title":"International Journal of Systematic and Evolutionary Microbiology","id":"ITEM-2","issue":"1","issued":{"date-parts":[["1998"]]},"page":"59-68","publisher":"Microbiology Society","title":"&lt;i&gt;Streptomyces thermocarboxydovorans&lt;/i&gt; sp. nov. and &lt;i&gt;Streptomyces thermocarboxydus&lt;/i&gt; sp. nov., two moderately thermophilic carboxydotrophic species from soil","type":"article-journal","volume":"48"},"uris":["http://www.mendeley.com/documents/?uuid=d7f75b26-db77-4dd3-9622-c79af969dac0"]}],"mendeley":{"formattedCitation":"[19, 21]","plainTextFormattedCitation":"[19, 21]","previouslyFormattedCitation":"&lt;sup&gt;19,21&lt;/sup&gt;"},"properties":{"noteIndex":0},"schema":"https://github.com/citation-style-language/schema/raw/master/csl-citation.json"}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[19, 21]</w:t>
            </w:r>
            <w:r>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t>Mixed 2</w:t>
            </w:r>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Cs/>
                <w:i/>
                <w:sz w:val="20"/>
                <w:szCs w:val="20"/>
                <w:lang w:val="en-US"/>
              </w:rPr>
            </w:pPr>
            <w:r w:rsidRPr="00B12147">
              <w:rPr>
                <w:rFonts w:ascii="Arial" w:hAnsi="Arial" w:cs="Arial"/>
                <w:bCs/>
                <w:i/>
                <w:sz w:val="20"/>
                <w:szCs w:val="20"/>
                <w:lang w:val="en-US"/>
              </w:rPr>
              <w:t>Mycobacterium</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fldChar w:fldCharType="begin" w:fldLock="1"/>
            </w:r>
            <w:r>
              <w:rPr>
                <w:rFonts w:ascii="Arial" w:hAnsi="Arial" w:cs="Arial"/>
                <w:bCs/>
                <w:sz w:val="20"/>
                <w:szCs w:val="20"/>
                <w:lang w:val="en-US"/>
              </w:rPr>
              <w:instrText>ADDIN CSL_CITATION {"citationItems":[{"id":"ITEM-1","itemData":{"DOI":"10.1128/AEM.69.12.7266-7272.2003","abstract":"Liquid culture assays revealed a previously unreported capacity for Mycobacterium bovis BCG, M. gordonae, and M. marinum to oxidize CO and for M. smegmatis to consume molecular hydrogen. M. bovis BCG, M. gordonae, M. smegmatis, and M. tuberculosis H37Ra oxidized CO at environmentally relevant concentrations (&lt;50 ppm); H2 oxidation by M. gordonae and M. smegmatis also occurred at environmentally relevant concentrations (&lt;10 ppm). CO was not consumed by M. avium or M. microti, although the latter appeared to possess CO dehydrogenase (CODH) genes based on PCR results with primers designed for the CODH large subunit, coxL. M. smegmatis and M. gordonae oxidized CO under suboxic (10 and 1% atmospheric oxygen) and anoxic conditions in the presence of nitrate; no oxidation occurred under anoxic conditions without nitrate. Similar results were obtained for H2 oxidation by M. smegmatis. Phylogenetic analyses of coxL PCR products indicated that mycobacterial sequences form a subclade distinct from that of other bacterial coxL, with limited differentiation among fast- and slow-growing strains.","author":[{"dropping-particle":"","family":"King","given":"Gary M","non-dropping-particle":"","parse-names":false,"suffix":""}],"container-title":"Applied and Environmental Microbiology","id":"ITEM-1","issue":"12","issued":{"date-parts":[["2003","12","1"]]},"note":"10.1128/AEM.69.12.7266-7272.2003","page":"7266-7272","title":"Uptake of carbon monoxide and hydrogen at environmentally relevant concentrations by Mycobacteria","type":"article-journal","volume":"69"},"uris":["http://www.mendeley.com/documents/?uuid=5ea6688f-efbe-4a4d-a76a-daf7a5d43e08"]},{"id":"ITEM-2","itemData":{"DOI":"10.1128/JB.185.1.142-147.2003","abstract":"Several mycobacterial strains, such as Mycobacterium flavescens, Mycobacterium gastri, Mycobacterium neoaurum, Mycobacterium parafortuitum, Mycobacterium peregrinum, Mycobacterium phlei, Mycobacterium smegmatis, Mycobacterium tuberculosis, and Mycobacterium vaccae, were found to grow on carbon monoxide (CO) as the sole source of carbon and energy. These bacteria, except for M. tuberculosis, also utilized methanol as the sole carbon and energy source. A CO dehydrogenase (CO-DH) assay, staining by activity of CO-DH, and Western blot analysis using an antibody raised against CO-DH of Mycobacterium sp. strain JC1 (formerly Acinetobacter sp. strain JC1 [J. W. Cho, H. S. Yim, and Y. M. Kim, Kor. J. Microbiol. 23:1-8, 1985]) revealed that CO-DH is present in extracts of the bacteria prepared from cells grown on CO. Ribulose bisphosphate carboxylase/oxygenase (RubisCO) activity was also detected in extracts prepared from all cells, except M. tuberculosis, grown on CO. The mycobacteria grown on methanol, except for M. gastri, which showed hexulose phosphate synthase activity, did not exhibit activities of classic methanol dehydrogenase, hydroxypyruvate reductase, or hexulose phosphate synthase but exhibited N,N-dimethyl-4-nitrosoaniline-dependent methanol dehydrogenase and RuBisCO activities. Cells grown on methanol were also found to have dihydroxyacetone synthase. Double immunodiffusion revealed that the antigenic sites of CO-DHs, RuBisCOs, and dihydroxyacetone synthases in all mycobacteria tested are identical with those of the Mycobacterium sp. strain JC1 enzymes.","author":[{"dropping-particle":"","family":"Park","given":"Sae W","non-dropping-particle":"","parse-names":false,"suffix":""},{"dropping-particle":"","family":"Hwang","given":"Eun H","non-dropping-particle":"","parse-names":false,"suffix":""},{"dropping-particle":"","family":"Park","given":"Hyuck","non-dropping-particle":"","parse-names":false,"suffix":""},{"dropping-particle":"","family":"Kim","given":"Jeong A","non-dropping-particle":"","parse-names":false,"suffix":""},{"dropping-particle":"","family":"Heo","given":"Jinho","non-dropping-particle":"","parse-names":false,"suffix":""},{"dropping-particle":"","family":"Lee","given":"Key H","non-dropping-particle":"","parse-names":false,"suffix":""},{"dropping-particle":"","family":"Song","given":"Taeksun","non-dropping-particle":"","parse-names":false,"suffix":""},{"dropping-particle":"","family":"Kim","given":"Eungbin","non-dropping-particle":"","parse-names":false,"suffix":""},{"dropping-particle":"","family":"Ro","given":"Young T","non-dropping-particle":"","parse-names":false,"suffix":""},{"dropping-particle":"","family":"Kim","given":"Si W","non-dropping-particle":"","parse-names":false,"suffix":""},{"dropping-particle":"","family":"Kim","given":"Young M","non-dropping-particle":"","parse-names":false,"suffix":""}],"container-title":"Journal of Bacteriology","id":"ITEM-2","issue":"1","issued":{"date-parts":[["2003","1","1"]]},"note":"10.1128/JB.185.1.142-147.2003","page":"142-147","title":"Growth of mycobacteria on carbon monoxide and methanol","type":"article-journal","volume":"185"},"uris":["http://www.mendeley.com/documents/?uuid=125768ff-43d3-4afc-a5cf-374b4b2e36d4"]}],"mendeley":{"formattedCitation":"[18, 40]","plainTextFormattedCitation":"[18, 40]","previouslyFormattedCitation":"&lt;sup&gt;18,40&lt;/sup&gt;"},"properties":{"noteIndex":0},"schema":"https://github.com/citation-style-language/schema/raw/master/csl-citation.json"}</w:instrText>
            </w:r>
            <w:r>
              <w:rPr>
                <w:rFonts w:ascii="Arial" w:hAnsi="Arial" w:cs="Arial"/>
                <w:bCs/>
                <w:sz w:val="20"/>
                <w:szCs w:val="20"/>
                <w:lang w:val="en-US"/>
              </w:rPr>
              <w:fldChar w:fldCharType="separate"/>
            </w:r>
            <w:r w:rsidRPr="0003700B">
              <w:rPr>
                <w:rFonts w:ascii="Arial" w:hAnsi="Arial" w:cs="Arial"/>
                <w:bCs/>
                <w:noProof/>
                <w:sz w:val="20"/>
                <w:szCs w:val="20"/>
                <w:lang w:val="en-US"/>
              </w:rPr>
              <w:t>[18, 40]</w:t>
            </w:r>
            <w:r>
              <w:rPr>
                <w:rFonts w:ascii="Arial" w:hAnsi="Arial" w:cs="Arial"/>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Cs/>
                <w:sz w:val="20"/>
                <w:szCs w:val="20"/>
                <w:lang w:val="en-US"/>
              </w:rPr>
            </w:pPr>
            <w:r w:rsidRPr="00B12147">
              <w:rPr>
                <w:rFonts w:ascii="Arial" w:hAnsi="Arial" w:cs="Arial"/>
                <w:bCs/>
                <w:sz w:val="20"/>
                <w:szCs w:val="20"/>
                <w:lang w:val="en-US"/>
              </w:rPr>
              <w:t>Actinobacterial</w:t>
            </w:r>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i/>
                <w:sz w:val="20"/>
                <w:szCs w:val="20"/>
                <w:lang w:val="en-US"/>
              </w:rPr>
              <w:t>Rhodococcus</w:t>
            </w:r>
            <w:proofErr w:type="spellEnd"/>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{"citationItems":[{"id":"ITEM-1","itemData":{"ISSN":"0099-2240","author":[{"dropping-particle":"","family":"Patrauchan","given":"Marianna A","non-dropping-particle":"","parse-names":false,"suffix":""},{"dropping-particle":"","family":"Miyazawa","given":"Daisuke","non-dropping-particle":"","parse-names":false,"suffix":""},{"dropping-particle":"","family":"LeBlanc","given":"Justin C","non-dropping-particle":"","parse-names":false,"suffix":""},{"dropping-particle":"","family":"Aiga","given":"Carol","non-dropping-particle":"","parse-names":false,"suffix":""},{"dropping-particle":"","family":"Florizone","given":"Christine","non-dropping-particle":"","parse-names":false,"suffix":""},{"dropping-particle":"","family":"Dosanjh","given":"Manisha","non-dropping-particle":"","parse-names":false,"suffix":""},{"dropping-particle":"","family":"Davies","given":"Julian","non-dropping-particle":"","parse-names":false,"suffix":""},{"dropping-particle":"","family":"Eltis","given":"Lindsay D","non-dropping-particle":"","parse-names":false,"suffix":""},{"dropping-particle":"","family":"Mohn","given":"William W","non-dropping-particle":"","parse-names":false,"suffix":""}],"container-title":"Applied and environmental microbiology","id":"ITEM-1","issue":"18","issued":{"date-parts":[["2012"]]},"page":"6714-6725","publisher":"Am Soc Microbiol","title":"Proteomic analysis of survival of &lt;i&gt;Rhodococcus jostii&lt;/i&gt; RHA1 during carbon starvation","type":"article-journal","volume":"78"},"uris":["http://www.mendeley.com/documents/?uuid=16835aa6-cf3a-42e9-8e3a-510576b7eccf","http://www.mendeley.com/documents/?uuid=c8cc257d-97f6-40dd-ab8c-da8a08951c6f"]},{"id":"ITEM-2","itemData":{"ISSN":"1389-1723","author":[{"dropping-particle":"","family":"Yano","given":"Takanori","non-dropping-particle":"","parse-names":false,"suffix":""},{"dropping-particle":"","family":"Yoshida","given":"Nobuyuki","non-dropping-particle":"","parse-names":false,"suffix":""},{"dropping-particle":"","family":"Takagi","given":"Hiroshi","non-dropping-particle":"","parse-names":false,"suffix":""}],"container-title":"Journal of bioscience and bioengineering","id":"ITEM-2","issue":"1","issued":{"date-parts":[["2012"]]},"page":"53-55","publisher":"Elsevier","title":"Carbon monoxide utilization of an extremely oligotrophic bacterium, &lt;i&gt;Rhodococcus erythropolis&lt;/i&gt; N9T-4","type":"article-journal","volume":"114"},"uris":["http://www.mendeley.com/documents/?uuid=97428f1f-302f-4a5c-abfc-c495c64e4801","http://www.mendeley.com/documents/?uuid=a3eaa17b-d2e3-4e96-bc87-4481d56c9fce","http://www.mendeley.com/documents/?uuid=4ce739eb-ddf7-4da0-915b-273079bcef06"]},{"id":"ITEM-3","itemData":{"ISSN":"0099-2240","author":[{"dropping-particle":"","family":"Bartholomew","given":"G W","non-dropping-particle":"","parse-names":false,"suffix":""},{"dropping-particle":"","family":"Alexander","given":"M","non-dropping-particle":"","parse-names":false,"suffix":""}],"container-title":"Applied and environmental microbiology","id":"ITEM-3","issue":"5","issued":{"date-parts":[["1979"]]},"page":"932-937","publisher":"Am Soc Microbiol","title":"Microbial metabolism of carbon monoxide in culture and in soil.","type":"article-journal","volume":"37"},"uris":["http://www.mendeley.com/documents/?uuid=146789f7-f557-413d-8aa9-6dc4c9b741a8","http://www.mendeley.com/documents/?uuid=7f563c87-03ff-4295-98d8-3e630ab5c5ef","http://www.mendeley.com/documents/?uuid=3e55f84b-3977-4540-9c9a-66774ff558ff"]}],"mendeley":{"formattedCitation":"[37–39]","plainTextFormattedCitation":"[37–39]","previouslyFormattedCitation":"&lt;sup&gt;37–39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[37–39]</w:t>
            </w:r>
            <w:r>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Cs/>
                <w:sz w:val="20"/>
                <w:szCs w:val="20"/>
                <w:lang w:val="en-US"/>
              </w:rPr>
              <w:t>Actinobacterial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
        </w:tc>
        <w:tc>
          <w:tcPr>
            <w:tcW w:w="1228"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vMerge w:val="restart"/>
          </w:tcPr>
          <w:p w:rsidR="00E93CCA"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Alphaproteobacteria</w:t>
            </w:r>
            <w:proofErr w:type="spellEnd"/>
            <w:r>
              <w:rPr>
                <w:rFonts w:ascii="Arial" w:hAnsi="Arial" w:cs="Arial"/>
                <w:bCs/>
                <w:sz w:val="20"/>
                <w:szCs w:val="20"/>
                <w:lang w:val="en-US"/>
              </w:rPr>
              <w:t xml:space="preserve"> (Proteobacteria)</w:t>
            </w: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Oligotropha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{"citationItems":[{"id":"ITEM-1","itemData":{"author":[{"dropping-particle":"","family":"Meyer","given":"O.","non-dropping-particle":"","parse-names":false,"suffix":""},{"dropping-particle":"","family":"Schlegel","given":"Hans G","non-dropping-particle":"","parse-names":false,"suffix":""}],"container-title":"Archives of Microbiology","id":"ITEM-1","issue":"1","issued":{"date-parts":[["1978"]]},"page":"35-43","title":"Reisolation of the carbon monoxide utilizing hydrogen bacterium &lt;i&gt;Pseudomonas carboxydovorans&lt;/i&gt; (Kistner) comb. nov.","type":"article-journal","volume":"118"},"uris":["http://www.mendeley.com/documents/?uuid=0fac2d90-77be-4acf-9b0c-fdc9af3d0e52"]},{"id":"ITEM-2","itemData":{"ISSN":"0099-2240","author":[{"dropping-particle":"","family":"Conrad","given":"Ralf","non-dropping-particle":"","parse-names":false,"suffix":""},{"dropping-particle":"","family":"Meyer","given":"Ortwin","non-dropping-particle":"","parse-names":false,"suffix":""},{"dropping-particle":"","family":"Seiler","given":"Wolfgang","non-dropping-particle":"","parse-names":false,"suffix":""}],"container-title":"Applied and environmental microbiology","id":"ITEM-2","issue":"2","issued":{"date-parts":[["1981"]]},"page":"211-215","publisher":"Am Soc Microbiol","title":"Role of carboxydobacteria in consumption of atmospheric carbon monoxide by soil","type":"article-journal","volume":"42"},"uris":["http://www.mendeley.com/documents/?uuid=6e7f0c94-d745-4500-ad75-fb57c0699a3e","http://www.mendeley.com/documents/?uuid=114836cd-1f92-42b6-8f1e-be863cc25acf"]}],"mendeley":{"formattedCitation":"[13, 27]","plainTextFormattedCitation":"[13, 27]","previouslyFormattedCitation":"&lt;sup&gt;13,27&lt;/sup&gt;"},"properties":{"noteIndex":0},"schema":"https://github.com/citation-style-language/schema/raw/master/csl-citation.json"}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[13, 27]</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Bradyrhizobium</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diversity.","type":"article-journal","volume":"69"},"uris":["http://www.mendeley.com/documents/?uuid=abb82f61-db5f-3173-a035-e4fd731067b3"]},{"id":"ITEM-2","itemData":{"ISSN":"0099-2240","author":[{"dropping-particle":"","family":"Lorite","given":"María J","non-dropping-particle":"","parse-names":false,"suffix":""},{"dropping-particle":"","family":"Tachil","given":"Jörg","non-dropping-particle":"","parse-names":false,"suffix":""},{"dropping-particle":"","family":"Sanjuán","given":"Juán","non-dropping-particle":"","parse-names":false,"suffix":""},{"dropping-particle":"","family":"Meyer","given":"Ortwin","non-dropping-particle":"","parse-names":false,"suffix":""},{"dropping-particle":"","family":"Bedmar","given":"Eulogio J","non-dropping-particle":"","parse-names":false,"suffix":""}],"container-title":"Applied and environmental microbiology","id":"ITEM-2","issue":"5","issued":{"date-parts":[["2000"]]},"page":"1871-1876","publisher":"Am Soc Microbiol","title":"Carbon monoxide dehydrogenase activity in &lt;i&gt;Bradyrhizobium japonicum&lt;/i&gt;","type":"article-journal","volume":"66"},"uris":["http://www.mendeley.com/documents/?uuid=4beb757d-dee0-402a-a288-f24a320c13e2"]},{"id":"ITEM-3","itemData":{"ISSN":"0099-2240","author":[{"dropping-particle":"","family":"Conrad","given":"Ralf","non-dropping-particle":"","parse-names":false,"suffix":""},{"dropping-particle":"","family":"Meyer","given":"Ortwin","non-dropping-particle":"","parse-names":false,"suffix":""},{"dropping-particle":"","family":"Seiler","given":"Wolfgang","non-dropping-particle":"","parse-names":false,"suffix":""}],"container-title":"Applied and environmental microbiology","id":"ITEM-3","issue":"2","issued":{"date-parts":[["1981"]]},"page":"211-215","publisher":"Am Soc Microbiol","title":"Role of carboxydobacteria in consumption of atmospheric carbon monoxide by soil","type":"article-journal","volume":"42"},"uris":["http://www.mendeley.com/documents/?uuid=6e7f0c94-d745-4500-ad75-fb57c0699a3e","http://www.mendeley.com/documents/?uuid=114836cd-1f92-42b6-8f1e-be863cc25acf","http://www.mendeley.com/documents/?uuid=b93a22ca-63eb-44a4-9404-fb49a1d0cccb"]},{"id":"ITEM-4","itemData":{"ISSN":"0095-3628","author":[{"dropping-particle":"","family":"Zavarzin","given":"G A","non-dropping-particle":"","parse-names":false,"suffix":""},{"dropping-particle":"","family":"Nozhevnikova","given":"A N","non-dropping-particle":"","parse-names":false,"suffix":""}],"container-title":"Microbial ecology","id":"ITEM-4","issue":"4","issued":{"date-parts":[["1977"]]},"page":"305-326","publisher":"Springer","title":"Aerobic carboxydobacteria","type":"article-journal","volume":"3"},"uris":["http://www.mendeley.com/documents/?uuid=1a3ff266-4f36-4090-8045-0c3bd85e5d9a","http://www.mendeley.com/documents/?uuid=3a439a0e-450c-4de3-ae62-c8ee3ac59542","http://www.mendeley.com/documents/?uuid=ee1ba979-722f-4708-8bfb-99b9cb269007"]}],"mendeley":{"formattedCitation":"[12, 14, 27, 29]","plainTextFormattedCitation":"[12, 14, 27, 29]","previouslyFormattedCitation":"&lt;sup&gt;12,14,27,29&lt;/sup&gt;"},"properties":{"noteIndex":0},"schema":"https://github.com/citation-style-language/schema/raw/master/csl-citation.json"}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[12, 14, 27, 29]</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FB1B2D"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i/>
                <w:sz w:val="20"/>
                <w:szCs w:val="20"/>
                <w:lang w:val="en-US"/>
              </w:rPr>
              <w:t>Carbophilus</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{"citationItems":[{"id":"ITEM-1","itemData":{"ISSN":"0095-3628","author":[{"dropping-particle":"","family":"Zavarzin","given":"G A","non-dropping-particle":"","parse-names":false,"suffix":""},{"dropping-particle":"","family":"Nozhevnikova","given":"A N","non-dropping-particle":"","parse-names":false,"suffix":""}],"container-title":"Microbial ecology","id":"ITEM-1","issue":"4","issued":{"date-parts":[["1977"]]},"page":"305-326","publisher":"Springer","title":"Aerobic carboxydobacteria","type":"article-journal","volume":"3"},"uris":["http://www.mendeley.com/documents/?uuid=1a3ff266-4f36-4090-8045-0c3bd85e5d9a","http://www.mendeley.com/documents/?uuid=3a439a0e-450c-4de3-ae62-c8ee3ac59542"]}],"mendeley":{"formattedCitation":"[12]","plainTextFormattedCitation":"[12]","previouslyFormattedCitation":"&lt;sup&gt;12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[12]</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Unsequenced</w:t>
            </w:r>
            <w:proofErr w:type="spellEnd"/>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27B02"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i/>
                <w:sz w:val="20"/>
                <w:szCs w:val="20"/>
                <w:lang w:val="en-US"/>
              </w:rPr>
              <w:t>Ruegeria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id":"ITEM-2","itemData":{"ISSN":"1751-7370","author":[{"dropping-particle":"","family":"Cunliffe","given":"Michael","non-dropping-particle":"","parse-names":false,"suffix":""}],"container-title":"The ISME journal","id":"ITEM-2","issue":"4","issued":{"date-parts":[["2011"]]},"page":"685","publisher":"Nature Publishing Group","title":"Correlating carbon monoxide oxidation with cox genes in the abundant marine &lt;i&gt;Roseobacter&lt;/i&gt; clade","type":"article-journal","volume":"5"},"uris":["http://www.mendeley.com/documents/?uuid=b1755066-ffc4-4881-ad75-0cc6a4e8b801","http://www.mendeley.com/documents/?uuid=aab2458e-d1aa-42ec-9fcd-06fe6bf7f5b6"]},{"id":"ITEM-3","itemData":{"ISSN":"0099-2240","author":[{"dropping-particle":"","family":"Cunliffe","given":"Michael","non-dropping-particle":"","parse-names":false,"suffix":""}],"container-title":"Appl. Environ. Microbiol.","id":"ITEM-3","issue":"2","issued":{"date-parts":[["2013"]]},"page":"738-740","publisher":"Am Soc Microbiol","title":"Physiological and metabolic effects of carbon monoxide oxidation in the model marine bacterioplankton &lt;i&gt;Ruegeria pomeroyi&lt;/i&gt; DSS-3","type":"article-journal","volume":"79"},"uris":["http://www.mendeley.com/documents/?uuid=59f2e01f-7f1c-4158-a574-ba0b9d7e0249","http://www.mendeley.com/documents/?uuid=5f740af3-0b58-425c-86c6-18a58708b691","http://www.mendeley.com/documents/?uuid=94b10e9d-ca11-443d-be55-f11f26be4252"]}],"mendeley":{"formattedCitation":"[29, 31, 32]","plainTextFormattedCitation":"[29, 31, 32]","previouslyFormattedCitation":"&lt;sup&gt;29,31,32&lt;/sup&gt;"},"properties":{"noteIndex":0},"schema":"https://github.com/citation-style-language/schema/raw/master/csl-citation.json"}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 31, 32]</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Labrenzia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diversity.","type":"article-journal","volume":"69"},"uris":["http://www.mendeley.com/documents/?uuid=abb82f61-db5f-3173-a035-e4fd731067b3"]},{"id":"ITEM-2","itemData":{"DOI":"10.1128/AEM.01724-06","ISSN":"0099-2240","PMID":"17142374","abstract":"Bacteria play a major role in marine CO cycling, yet very little is known about the microbes involved. Thirteen CO-oxidizing Stappia isolates obtained from existing cultures, macroalgae, or surf samples representing geographically and ecologically diverse habitats were characterized using biochemical, physiological, and phylogenetic approaches. All isolates were aerobic chemoorganotrophs that oxidized CO at elevated (1,000 ppm) and ambient-to-subambient concentrations (&lt;0.3 ppm). All contained the form I (OMP) coxL gene for aerobic CO dehydrogenase and also the form II (BMS) putative coxL gene. In addition, some strains possessed cbbL, the large subunit gene for ribulose-1,5-bisphosphate carboxylase/oxygenase, suggesting the possibility of lithotrophic or mixotrophic metabolism. All isolates used a wide range of sugars, organic acids, amino acids, and aromatics for growth and grew at salinities from 5 to 45 ppt. All but one isolate denitrified or respired nitrate. Phylogenetic analyses based on 16S rRNA gene sequences indicated that several isolates could not be distinguished from Stappia aggregata and contributed to a widely distributed species complex. Four isolates (of strains GA15, HI, MIO, and M4) were phylogenetically distinct from validly described Stappia species and closely related genera (e.g., Ahrensia, Pannonibacter, Pseudovibrio, and Roseibium). Substrate utilization profiles, enzymatic activity, and membrane lipid composition further distinguished these isolates and supported their designations as new Stappia species. The observed metabolic versatility of Stappia likely accounts for its cosmopolitan distribution and its ability to contribute to CO cycling as well as other important biogeochemical cycles.","author":[{"dropping-particle":"","family":"Weber","given":"Carolyn F","non-dropping-particle":"","parse-names":false,"suffix":""},{"dropping-particle":"","family":"King","given":"Gary M","non-dropping-particle":"","parse-names":false,"suffix":""}],"container-title":"Applied and environmental microbiology","id":"ITEM-2","issue":"4","issued":{"date-parts":[["2007","2","15"]]},"page":"1266-76","publisher":"American Society for Microbiology","title":"Physiological, ecological, and phylogenetic characterization of Stappia, a marine CO-oxidizing bacterial genus.","type":"article-journal","volume":"73"},"uris":["http://www.mendeley.com/documents/?uuid=31db5f0d-885f-39b0-9f5e-1d96a33922fd"]}],"mendeley":{"formattedCitation":"[29, 30]","plainTextFormattedCitation":"[29, 30]","previouslyFormattedCitation":"&lt;sup&gt;29,30&lt;/sup&gt;"},"properties":{"noteIndex":0},"schema":"https://github.com/citation-style-language/schema/raw/master/csl-citation.json"}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 30]</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Mesorhizobium</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mendeley":{"formattedCitation":"[29]","plainTextFormattedCitation":"[29]","previouslyFormattedCitation":"&lt;sup&gt;29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sidRPr="00333FEC">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Aminobacter</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mendeley":{"formattedCitation":"[29]","plainTextFormattedCitation":"[29]","previouslyFormattedCitation":"&lt;sup&gt;29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sidRPr="00333FEC">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Roseobacter</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{"citationItems":[{"id":"ITEM-1","itemData":{"ISSN":"1751-7370","author":[{"dropping-particle":"","family":"Cunliffe","given":"Michael","non-dropping-particle":"","parse-names":false,"suffix":""}],"container-title":"The ISME journal","id":"ITEM-1","issue":"4","issued":{"date-parts":[["2011"]]},"page":"685","publisher":"Nature Publishing Group","title":"Correlating carbon monoxide oxidation with cox genes in the abundant marine &lt;i&gt;Roseobacter&lt;/i&gt; clade","type":"article-journal","volume":"5"},"uris":["http://www.mendeley.com/documents/?uuid=b1755066-ffc4-4881-ad75-0cc6a4e8b801","http://www.mendeley.com/documents/?uuid=aab2458e-d1aa-42ec-9fcd-06fe6bf7f5b6"]}],"mendeley":{"formattedCitation":"[32]","plainTextFormattedCitation":"[32]","previouslyFormattedCitation":"&lt;sup&gt;32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[32]</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Roseovarius</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{"citationItems":[{"id":"ITEM-1","itemData":{"ISSN":"1751-7370","author":[{"dropping-particle":"","family":"Cunliffe","given":"Michael","non-dropping-particle":"","parse-names":false,"suffix":""}],"container-title":"The ISME journal","id":"ITEM-1","issue":"4","issued":{"date-parts":[["2011"]]},"page":"685","publisher":"Nature Publishing Group","title":"Correlating carbon monoxide oxidation with cox genes in the abundant marine &lt;i&gt;Roseobacter&lt;/i&gt; clade","type":"article-journal","volume":"5"},"uris":["http://www.mendeley.com/documents/?uuid=b1755066-ffc4-4881-ad75-0cc6a4e8b801","http://www.mendeley.com/documents/?uuid=aab2458e-d1aa-42ec-9fcd-06fe6bf7f5b6"]}],"mendeley":{"formattedCitation":"[32]","plainTextFormattedCitation":"[32]","previouslyFormattedCitation":"&lt;sup&gt;32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[32]</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Dinoroseobacter</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{"citationItems":[{"id":"ITEM-1","itemData":{"ISSN":"1751-7370","author":[{"dropping-particle":"","family":"Cunliffe","given":"Michael","non-dropping-particle":"","parse-names":false,"suffix":""}],"container-title":"The ISME journal","id":"ITEM-1","issue":"4","issued":{"date-parts":[["2011"]]},"page":"685","publisher":"Nature Publishing Group","title":"Correlating carbon monoxide oxidation with cox genes in the abundant marine &lt;i&gt;Roseobacter&lt;/i&gt; clade","type":"article-journal","volume":"5"},"uris":["http://www.mendeley.com/documents/?uuid=b1755066-ffc4-4881-ad75-0cc6a4e8b801","http://www.mendeley.com/documents/?uuid=aab2458e-d1aa-42ec-9fcd-06fe6bf7f5b6"]}],"mendeley":{"formattedCitation":"[32]","plainTextFormattedCitation":"[32]","previouslyFormattedCitation":"&lt;sup&gt;32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[32]</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
        </w:tc>
        <w:tc>
          <w:tcPr>
            <w:tcW w:w="1228"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Bacilli (Firmicutes)</w:t>
            </w:r>
          </w:p>
        </w:tc>
        <w:tc>
          <w:tcPr>
            <w:tcW w:w="2268" w:type="dxa"/>
          </w:tcPr>
          <w:p w:rsidR="00E93CCA" w:rsidRPr="007D7CD0"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Hydrogenibacillus</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0302-8933","author":[{"dropping-particle":"","family":"Krüger","given":"Bernd","non-dropping-particle":"","parse-names":false,"suffix":""},{"dropping-particle":"","family":"Meyer","given":"Ortwin","non-dropping-particle":"","parse-names":false,"suffix":""}],"container-title":"Archives of microbiology","id":"ITEM-1","issue":"4","issued":{"date-parts":[["1984"]]},"page":"402-408","publisher":"Springer","title":"Thermophilic bacilli growing with carbon monoxide","type":"article-journal","volume":"139"},"uris":["http://www.mendeley.com/documents/?uuid=e3b343d1-4e93-422c-92e7-18045e7c1d2f","http://www.mendeley.com/documents/?uuid=8f19c952-f05c-44c5-b56b-a42587042a3b"]}],"mendeley":{"formattedCitation":"[22]","plainTextFormattedCitation":"[22]","previouslyFormattedCitation":"&lt;sup&gt;22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[22]</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sidRPr="00B436AE">
              <w:rPr>
                <w:rFonts w:ascii="Arial" w:hAnsi="Arial" w:cs="Arial"/>
                <w:bCs/>
                <w:sz w:val="20"/>
                <w:szCs w:val="20"/>
                <w:lang w:val="en-US"/>
              </w:rPr>
              <w:t>Mixed 1</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r>
              <w:rPr>
                <w:rFonts w:ascii="Arial" w:hAnsi="Arial" w:cs="Arial"/>
                <w:bCs/>
                <w:i/>
                <w:sz w:val="20"/>
                <w:szCs w:val="20"/>
                <w:lang w:val="en-US"/>
              </w:rPr>
              <w:t>Alicyclobacillus</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sidRPr="00B436AE">
              <w:rPr>
                <w:rFonts w:ascii="Arial" w:hAnsi="Arial" w:cs="Arial"/>
                <w:bCs/>
                <w:sz w:val="20"/>
                <w:szCs w:val="20"/>
                <w:lang w:val="en-US"/>
              </w:rPr>
              <w:t>Mixed 1</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Brevibacillus</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sidRPr="00B436AE">
              <w:rPr>
                <w:rFonts w:ascii="Arial" w:hAnsi="Arial" w:cs="Arial"/>
                <w:bCs/>
                <w:sz w:val="20"/>
                <w:szCs w:val="20"/>
                <w:lang w:val="en-US"/>
              </w:rPr>
              <w:t>Mixed 1</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Geobacillus</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sidRPr="00B436AE">
              <w:rPr>
                <w:rFonts w:ascii="Arial" w:hAnsi="Arial" w:cs="Arial"/>
                <w:bCs/>
                <w:sz w:val="20"/>
                <w:szCs w:val="20"/>
                <w:lang w:val="en-US"/>
              </w:rPr>
              <w:t>Mixed 1</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Anoxybacillus</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Unsequenced</w:t>
            </w:r>
            <w:proofErr w:type="spellEnd"/>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vMerge w:val="restart"/>
          </w:tcPr>
          <w:p w:rsidR="00E93CCA"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Chloroflexia</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Chloroflexota</w:t>
            </w:r>
            <w:proofErr w:type="spellEnd"/>
            <w:r>
              <w:rPr>
                <w:rFonts w:ascii="Arial" w:hAnsi="Arial" w:cs="Arial"/>
                <w:bCs/>
                <w:sz w:val="20"/>
                <w:szCs w:val="20"/>
                <w:lang w:val="en-US"/>
              </w:rPr>
              <w:t>)</w:t>
            </w: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Thermomicrobium</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1932-6203","author":[{"dropping-particle":"","family":"Wu","given":"Dongying","non-dropping-particle":"","parse-names":false,"suffix":""},{"dropping-particle":"","family":"Raymond","given":"Jason","non-dropping-particle":"","parse-names":false,"suffix":""},{"dropping-particle":"","family":"Wu","given":"Martin","non-dropping-particle":"","parse-names":false,"suffix":""},{"dropping-particle":"","family":"Chatterji","given":"Sourav","non-dropping-particle":"","parse-names":false,"suffix":""},{"dropping-particle":"","family":"Ren","given":"Qinghu","non-dropping-particle":"","parse-names":false,"suffix":""},{"dropping-particle":"","family":"Graham","given":"Joel E","non-dropping-particle":"","parse-names":false,"suffix":""},{"dropping-particle":"","family":"Bryant","given":"Donald A","non-dropping-particle":"","parse-names":false,"suffix":""},{"dropping-particle":"","family":"Robb","given":"Frank","non-dropping-particle":"","parse-names":false,"suffix":""},{"dropping-particle":"","family":"Colman","given":"Albert","non-dropping-particle":"","parse-names":false,"suffix":""},{"dropping-particle":"","family":"Tallon","given":"Luke J","non-dropping-particle":"","parse-names":false,"suffix":""}],"container-title":"PLoS One","id":"ITEM-1","issue":"1","issued":{"date-parts":[["2009"]]},"page":"e4207","publisher":"Public Library of Science","title":"Complete genome sequence of the aerobic CO-oxidizing thermophile Thermomicrobium roseum","type":"article-journal","volume":"4"},"uris":["http://www.mendeley.com/documents/?uuid=01a1e015-2dae-42ba-b471-de5d7dd22034"]},{"id":"ITEM-2","itemData":{"DOI":"10.1099/ijs.0.060327-0","ISSN":"1466-5026","abstract":"Two thermophilic, Gram-stain-positive, rod-shaped, non-spore-forming bacteria (strains KI3T and KI4T) were isolated from geothermally heated biofilms growing on a tumulus in the Kilauea Iki pit crater on the flank of Kilauea Volcano (Hawai‘i, USA). Strain KI3T grew over an examined temperature range of 50–70 °C (no growth at 80 °C) and a pH range of 6.0–9.0, with optimum growth at 70 °C and pH 7.0. Strain KI4T grew at temperatures of 55–70 °C and a pH range of 5.8–8.0, with optimum growth at 65 °C and pH 6.7–7.1. The DNA G+C contents of strains KI3T and KI4T were 66.0 and 60.7 mol%, respectively. The major fatty acid for both strains was 12-methyl C18 : 0. Polar lipids in strain KI3T were dominated by glycolipids and phosphatidylinositol, while phosphatidylinositol and phosphoglycolipids dominated in strain KI4T. Strain KI3T oxidized carbon monoxide [6.7±0.8 nmol CO h−1 (mg protein)−1], but strain KI4T did not. 16S rRNA gene sequence analyses determined that the strains belong to the class Thermomicrobia , and that strains KI3T and KI4T are related most closely to Thermomicrobium roseum DSM 5159T (96.5 and 91.1 % similarity, respectively). 16S rRNA gene sequence similarity between strain KI3T and strain KI4T was 91.4 %. Phenotypic features and phylogenetic analyses supported the affiliation of strain KI3T to the genus Thermomicrobium , while results of chemotaxonomic, physiological and biochemical assays differentiated strains KI3T and KI4T from Thermomicrobium roseum . Strain KI3T ( = DSM 27067T = ATCC BAA-2535T) is thus considered to be the type strain of a novel species, for which the name Thermomicrobium carboxidum sp. nov. is proposed. Additionally, the characterization and phylogenetic position of strain KI4T showed that it represents a novel species of a new genus, for which the name Thermorudis peleae gen. nov., sp. nov. is proposed. The type strain of Thermorudis peleae is KI4T ( = DSM 27169T = ATCC BAA-2536T).","author":[{"dropping-particle":"","family":"King","given":"C. E.","non-dropping-particle":"","parse-names":false,"suffix":""},{"dropping-particle":"","family":"King","given":"G. M.","non-dropping-particle":"","parse-names":false,"suffix":""}],"container-title":"INTERNATIONAL JOURNAL OF SYSTEMATIC AND EVOLUTIONARY MICROBIOLOGY","id":"ITEM-2","issue":"Pt 8","issued":{"date-parts":[["2014","8","1"]]},"page":"2586-2592","publisher":"Microbiology Society","title":"&lt;i&gt;Thermomicrobium carboxidum&lt;/i&gt; sp. nov., and &lt;i&gt;Thermorudis peleae&lt;/i&gt; gen. nov., sp. nov., carbon monoxide-oxidizing bacteria isolated from geothermally heated biofilms","type":"article-journal","volume":"64"},"uris":["http://www.mendeley.com/documents/?uuid=d9ddfc3a-0750-3353-9601-38dabcae951d"]},{"id":"ITEM-3","itemData":{"author":[{"dropping-particle":"","family":"Islam","given":"Zahra F","non-dropping-particle":"","parse-names":false,"suffix":""},{"dropping-particle":"","family":"Cordero","given":"Paul R F","non-dropping-particle":"","parse-names":false,"suffix":""},{"dropping-particle":"","family":"Feng","given":"Joanna","non-dropping-particle":"","parse-names":false,"suffix":""},{"dropping-particle":"","family":"Chen","given":"Ya-Jou","non-dropping-particle":"","parse-names":false,"suffix":""},{"dropping-particle":"","family":"Bay","given":"Sean","non-dropping-particle":"","parse-names":false,"suffix":""},{"dropping-particle":"","family":"Gleadow","given":"Roslyn M","non-dropping-particle":"","parse-names":false,"suffix":""},{"dropping-particle":"","family":"Jirapanjawat","given":"Thanavit","non-dropping-particle":"","parse-names":false,"suffix":""},{"dropping-particle":"","family":"Carere","given":"Carlo R","non-dropping-particle":"","parse-names":false,"suffix":""},{"dropping-particle":"","family":"Stott","given":"Matthew B","non-dropping-particle":"","parse-names":false,"suffix":""},{"dropping-particle":"","family":"Chiri","given":"Eleonora","non-dropping-particle":"","parse-names":false,"suffix":""},{"dropping-particle":"","family":"Greening","given":"Chris","non-dropping-particle":"","parse-names":false,"suffix":""}],"container-title":"ISME Journal","id":"ITEM-3","issued":{"date-parts":[["2019"]]},"page":"in press","publisher":"Cold Spring Harbor Laboratory","title":"Two Chloroflexi classes independently evolved the ability to persist on atmospheric hydrogen and carbon monoxide","type":"article-journal"},"uris":["http://www.mendeley.com/documents/?uuid=b53cdb5b-4f92-4a1b-92f9-cfb7f7d0f419","http://www.mendeley.com/documents/?uuid=74b9fede-2e49-4a5d-b5be-dd0596fe5da7"]}],"mendeley":{"formattedCitation":"[42–44]","plainTextFormattedCitation":"[42–44]","previouslyFormattedCitation":"&lt;sup&gt;42–44&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[42–44]</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Mixed 1</w:t>
            </w:r>
          </w:p>
        </w:tc>
      </w:tr>
      <w:tr w:rsidR="00E93CCA" w:rsidRPr="00B12147" w:rsidTr="00D409BD">
        <w:tc>
          <w:tcPr>
            <w:tcW w:w="2263" w:type="dxa"/>
            <w:vMerge/>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Sphaerobacter</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Mixed 1</w:t>
            </w:r>
          </w:p>
        </w:tc>
      </w:tr>
      <w:tr w:rsidR="00E93CCA" w:rsidRPr="00B12147" w:rsidTr="00D409BD">
        <w:tc>
          <w:tcPr>
            <w:tcW w:w="2263" w:type="dxa"/>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vMerge w:val="restart"/>
          </w:tcPr>
          <w:p w:rsidR="00E93CCA" w:rsidRPr="003A3CE7"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Deinococci</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Deinococcota</w:t>
            </w:r>
            <w:proofErr w:type="spellEnd"/>
            <w:r>
              <w:rPr>
                <w:rFonts w:ascii="Arial" w:hAnsi="Arial" w:cs="Arial"/>
                <w:bCs/>
                <w:sz w:val="20"/>
                <w:szCs w:val="20"/>
                <w:lang w:val="en-US"/>
              </w:rPr>
              <w:t>)</w:t>
            </w:r>
          </w:p>
        </w:tc>
        <w:tc>
          <w:tcPr>
            <w:tcW w:w="2268" w:type="dxa"/>
          </w:tcPr>
          <w:p w:rsidR="00E93CCA" w:rsidRPr="003A3CE7" w:rsidRDefault="00E93CCA" w:rsidP="00D409BD">
            <w:pPr>
              <w:snapToGrid w:val="0"/>
              <w:spacing w:line="360" w:lineRule="auto"/>
              <w:jc w:val="both"/>
              <w:rPr>
                <w:rFonts w:ascii="Arial" w:hAnsi="Arial" w:cs="Arial"/>
                <w:bCs/>
                <w:sz w:val="20"/>
                <w:szCs w:val="20"/>
                <w:lang w:val="en-US"/>
              </w:rPr>
            </w:pPr>
            <w:proofErr w:type="spellStart"/>
            <w:r w:rsidRPr="003A3CE7">
              <w:rPr>
                <w:rFonts w:ascii="Arial" w:hAnsi="Arial" w:cs="Arial"/>
                <w:bCs/>
                <w:i/>
                <w:sz w:val="20"/>
                <w:szCs w:val="20"/>
                <w:lang w:val="en-US"/>
              </w:rPr>
              <w:t>Meiothermus</w:t>
            </w:r>
            <w:proofErr w:type="spellEnd"/>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sidRPr="003A3CE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sidRPr="00D140A2">
              <w:rPr>
                <w:rFonts w:ascii="Arial" w:hAnsi="Arial" w:cs="Arial"/>
                <w:bCs/>
                <w:sz w:val="20"/>
                <w:szCs w:val="20"/>
                <w:lang w:val="en-US"/>
              </w:rPr>
              <w:t>Mixed 1</w:t>
            </w:r>
          </w:p>
        </w:tc>
      </w:tr>
      <w:tr w:rsidR="00E93CCA" w:rsidRPr="00B12147" w:rsidTr="00D409BD">
        <w:tc>
          <w:tcPr>
            <w:tcW w:w="2263" w:type="dxa"/>
            <w:vMerge/>
          </w:tcPr>
          <w:p w:rsidR="00E93CCA" w:rsidRDefault="00E93CCA" w:rsidP="00D409BD">
            <w:pPr>
              <w:snapToGrid w:val="0"/>
              <w:spacing w:line="360" w:lineRule="auto"/>
              <w:jc w:val="both"/>
              <w:rPr>
                <w:rFonts w:ascii="Arial" w:hAnsi="Arial" w:cs="Arial"/>
                <w:bCs/>
                <w:sz w:val="20"/>
                <w:szCs w:val="20"/>
                <w:lang w:val="en-US"/>
              </w:rPr>
            </w:pPr>
          </w:p>
        </w:tc>
        <w:tc>
          <w:tcPr>
            <w:tcW w:w="2268" w:type="dxa"/>
          </w:tcPr>
          <w:p w:rsidR="00E93CCA" w:rsidRPr="003A3CE7" w:rsidRDefault="00E93CCA" w:rsidP="00D409BD">
            <w:pPr>
              <w:snapToGrid w:val="0"/>
              <w:spacing w:line="360" w:lineRule="auto"/>
              <w:jc w:val="both"/>
              <w:rPr>
                <w:rFonts w:ascii="Arial" w:hAnsi="Arial" w:cs="Arial"/>
                <w:bCs/>
                <w:i/>
                <w:sz w:val="20"/>
                <w:szCs w:val="20"/>
                <w:lang w:val="en-US"/>
              </w:rPr>
            </w:pPr>
            <w:r w:rsidRPr="003A3CE7">
              <w:rPr>
                <w:rFonts w:ascii="Arial" w:hAnsi="Arial" w:cs="Arial"/>
                <w:bCs/>
                <w:i/>
                <w:sz w:val="20"/>
                <w:szCs w:val="20"/>
                <w:lang w:val="en-US"/>
              </w:rPr>
              <w:t>Thermus</w:t>
            </w:r>
          </w:p>
        </w:tc>
        <w:tc>
          <w:tcPr>
            <w:tcW w:w="1228"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sidRPr="003A3CE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{"citationItems":[{"id":"ITEM-1","itemData":{"author":[{"dropping-particle":"","family":"King","given":"Caitlin Elizabeth","non-dropping-particle":"","parse-names":false,"suffix":""}],"id":"ITEM-1","issued":{"date-parts":[["2013"]]},"title":"Diversity and activity of aerobic thermophilic carbon monoxide-oxidizing bacteria on Kilauea Volcano, Hawaii","type":"thesis"},"uris":["http://www.mendeley.com/documents/?uuid=3c401fcb-d769-4868-b879-200198a5aa4c","http://www.mendeley.com/documents/?uuid=7f5a0fdd-8e45-4aee-a89c-a4b7806581c3"]}],"mendeley":{"formattedCitation":"[41]","plainTextFormattedCitation":"[41]","previouslyFormattedCitation":"&lt;sup&gt;41&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[41]</w:t>
            </w:r>
            <w:r>
              <w:rPr>
                <w:rFonts w:ascii="Arial" w:hAnsi="Arial" w:cs="Arial"/>
                <w:b/>
                <w:bCs/>
                <w:sz w:val="20"/>
                <w:szCs w:val="20"/>
                <w:lang w:val="en-US"/>
              </w:rPr>
              <w:fldChar w:fldCharType="end"/>
            </w:r>
          </w:p>
        </w:tc>
        <w:tc>
          <w:tcPr>
            <w:tcW w:w="1701" w:type="dxa"/>
          </w:tcPr>
          <w:p w:rsidR="00E93CCA" w:rsidRPr="003A3CE7" w:rsidRDefault="00E93CCA" w:rsidP="00D409BD">
            <w:pPr>
              <w:snapToGrid w:val="0"/>
              <w:spacing w:line="360" w:lineRule="auto"/>
              <w:jc w:val="both"/>
              <w:rPr>
                <w:rFonts w:ascii="Arial" w:hAnsi="Arial" w:cs="Arial"/>
                <w:bCs/>
                <w:sz w:val="20"/>
                <w:szCs w:val="20"/>
                <w:lang w:val="en-US"/>
              </w:rPr>
            </w:pPr>
            <w:r w:rsidRPr="00D140A2">
              <w:rPr>
                <w:rFonts w:ascii="Arial" w:hAnsi="Arial" w:cs="Arial"/>
                <w:bCs/>
                <w:sz w:val="20"/>
                <w:szCs w:val="20"/>
                <w:lang w:val="en-US"/>
              </w:rPr>
              <w:t>Mixed 1</w:t>
            </w:r>
          </w:p>
        </w:tc>
      </w:tr>
      <w:tr w:rsidR="00E93CCA" w:rsidRPr="00B12147" w:rsidTr="00D409BD">
        <w:tc>
          <w:tcPr>
            <w:tcW w:w="2263"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
        </w:tc>
      </w:tr>
      <w:tr w:rsidR="00E93CCA" w:rsidRPr="00B12147" w:rsidTr="00D409BD">
        <w:tc>
          <w:tcPr>
            <w:tcW w:w="2263" w:type="dxa"/>
            <w:vMerge w:val="restart"/>
          </w:tcPr>
          <w:p w:rsidR="00E93CCA" w:rsidRPr="003223B3"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Gammaproteobacteria</w:t>
            </w:r>
            <w:proofErr w:type="spellEnd"/>
            <w:r>
              <w:rPr>
                <w:rFonts w:ascii="Arial" w:hAnsi="Arial" w:cs="Arial"/>
                <w:bCs/>
                <w:sz w:val="20"/>
                <w:szCs w:val="20"/>
                <w:lang w:val="en-US"/>
              </w:rPr>
              <w:t xml:space="preserve"> (Proteobacteria)</w:t>
            </w: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Hydrogenophaga</w:t>
            </w:r>
            <w:proofErr w:type="spellEnd"/>
            <w:r>
              <w:rPr>
                <w:rFonts w:ascii="Arial" w:hAnsi="Arial" w:cs="Arial"/>
                <w:bCs/>
                <w:i/>
                <w:sz w:val="20"/>
                <w:szCs w:val="20"/>
                <w:lang w:val="en-US"/>
              </w:rPr>
              <w:t xml:space="preserve"> </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{"citationItems":[{"id":"ITEM-1","itemData":{"author":[{"dropping-particle":"","family":"Meyer","given":"O.","non-dropping-particle":"","parse-names":false,"suffix":""},{"dropping-particle":"","family":"Schlegel","given":"Hans G","non-dropping-particle":"","parse-names":false,"suffix":""}],"container-title":"Archives of Microbiology","id":"ITEM-1","issue":"1","issued":{"date-parts":[["1978"]]},"page":"35-43","title":"Reisolation of the carbon monoxide utilizing hydrogen bacterium &lt;i&gt;Pseudomonas carboxydovorans&lt;/i&gt; (Kistner) comb. nov.","type":"article-journal","volume":"118"},"uris":["http://www.mendeley.com/documents/?uuid=0fac2d90-77be-4acf-9b0c-fdc9af3d0e52"]},{"id":"ITEM-2","itemData":{"ISSN":"0378-1097","author":[{"dropping-particle":"","family":"Kiessling","given":"M","non-dropping-particle":"","parse-names":false,"suffix":""},{"dropping-particle":"","family":"Meyer","given":"O","non-dropping-particle":"","parse-names":false,"suffix":""}],"container-title":"FEMS Microbiology Letters","id":"ITEM-2","issue":"3","issued":{"date-parts":[["1982"]]},"page":"333-338","publisher":"Wiley Online Library","title":"Profitable oxidation of carbon monoxide or hydrogen during heterotrophic growth of &lt;i&gt;Pseudomonas carboxydoflava&lt;/i&gt;","type":"article-journal","volume":"13"},"uris":["http://www.mendeley.com/documents/?uuid=5d5590c1-4a38-4159-840d-7b9f6acab898","http://www.mendeley.com/documents/?uuid=c7bf8692-d6cd-44ff-a5a6-0dbff777712a"]},{"id":"ITEM-3","itemData":{"ISSN":"0099-2240","author":[{"dropping-particle":"","family":"Conrad","given":"Ralf","non-dropping-particle":"","parse-names":false,"suffix":""},{"dropping-particle":"","family":"Meyer","given":"Ortwin","non-dropping-particle":"","parse-names":false,"suffix":""},{"dropping-particle":"","family":"Seiler","given":"Wolfgang","non-dropping-particle":"","parse-names":false,"suffix":""}],"container-title":"Applied and environmental microbiology","id":"ITEM-3","issue":"2","issued":{"date-parts":[["1981"]]},"page":"211-215","publisher":"Am Soc Microbiol","title":"Role of carboxydobacteria in consumption of atmospheric carbon monoxide by soil","type":"article-journal","volume":"42"},"uris":["http://www.mendeley.com/documents/?uuid=6e7f0c94-d745-4500-ad75-fb57c0699a3e","http://www.mendeley.com/documents/?uuid=114836cd-1f92-42b6-8f1e-be863cc25acf","http://www.mendeley.com/documents/?uuid=fb076303-af6c-4c7d-9b74-b616bdf6e052"]},{"id":"ITEM-4","itemData":{"ISSN":"0095-3628","author":[{"dropping-particle":"","family":"Zavarzin","given":"G A","non-dropping-particle":"","parse-names":false,"suffix":""},{"dropping-particle":"","family":"Nozhevnikova","given":"A N","non-dropping-particle":"","parse-names":false,"suffix":""}],"container-title":"Microbial ecology","id":"ITEM-4","issue":"4","issued":{"date-parts":[["1977"]]},"page":"305-326","publisher":"Springer","title":"Aerobic carboxydobacteria","type":"article-journal","volume":"3"},"uris":["http://www.mendeley.com/documents/?uuid=1a3ff266-4f36-4090-8045-0c3bd85e5d9a","http://www.mendeley.com/documents/?uuid=3a439a0e-450c-4de3-ae62-c8ee3ac59542","http://www.mendeley.com/documents/?uuid=98bb3b8b-5cef-4374-a811-62a9337281a6"]}],"mendeley":{"formattedCitation":"[12, 13, 15, 27]","plainTextFormattedCitation":"[12, 13, 15, 27]","previouslyFormattedCitation":"&lt;sup&gt;12,13,15,27&lt;/sup&gt;"},"properties":{"noteIndex":0},"schema":"https://github.com/citation-style-language/schema/raw/master/csl-citation.json"}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[12, 13, 15, 27]</w:t>
            </w:r>
            <w:r>
              <w:rPr>
                <w:rFonts w:ascii="Arial" w:hAnsi="Arial" w:cs="Arial"/>
                <w:b/>
                <w:bCs/>
                <w:sz w:val="20"/>
                <w:szCs w:val="20"/>
                <w:lang w:val="en-US"/>
              </w:rPr>
              <w:fldChar w:fldCharType="end"/>
            </w: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Zavarzinia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0302-8933","author":[{"dropping-particle":"","family":"Cypionka","given":"H","non-dropping-particle":"","parse-names":false,"suffix":""},{"dropping-particle":"","family":"Meyer","given":"O","non-dropping-particle":"","parse-names":false,"suffix":""},{"dropping-particle":"","family":"Schlegel","given":"H G","non-dropping-particle":"","parse-names":false,"suffix":""}],"container-title":"Archives of Microbiology","id":"ITEM-1","issue":"3","issued":{"date-parts":[["1980"]]},"page":"301-307","publisher":"Springer","title":"Physiological characteristics of various species of strains of carboxydobacteria","type":"article-journal","volume":"127"},"uris":["http://www.mendeley.com/documents/?uuid=cfdeffbd-7122-477f-863b-a116d7e66cb9","http://www.mendeley.com/documents/?uuid=4f628803-b027-4541-84dd-c5276da60b86"]},{"id":"ITEM-2","itemData":{"ISSN":"0095-3628","author":[{"dropping-particle":"","family":"Zavarzin","given":"G A","non-dropping-particle":"","parse-names":false,"suffix":""},{"dropping-particle":"","family":"Nozhevnikova","given":"A N","non-dropping-particle":"","parse-names":false,"suffix":""}],"container-title":"Microbial ecology","id":"ITEM-2","issue":"4","issued":{"date-parts":[["1977"]]},"page":"305-326","publisher":"Springer","title":"Aerobic carboxydobacteria","type":"article-journal","volume":"3"},"uris":["http://www.mendeley.com/documents/?uuid=1a3ff266-4f36-4090-8045-0c3bd85e5d9a","http://www.mendeley.com/documents/?uuid=3a439a0e-450c-4de3-ae62-c8ee3ac59542","http://www.mendeley.com/documents/?uuid=a702a55e-0bb3-46a7-9c67-b3e4971c6244"]}],"mendeley":{"formattedCitation":"[12, 17]","plainTextFormattedCitation":"[12, 17]","previouslyFormattedCitation":"&lt;sup&gt;12,17&lt;/sup&gt;"},"properties":{"noteIndex":0},"schema":"https://github.com/citation-style-language/schema/raw/master/csl-citation.json"}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[12, 17]</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Alkalispirillum</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{"citationItems":[{"id":"ITEM-1","itemData":{"ISSN":"1465-2080","author":[{"dropping-particle":"","family":"Sorokin","given":"Dimitry Yu","non-dropping-particle":"","parse-names":false,"suffix":""},{"dropping-particle":"","family":"Tourova","given":"Tatjana P","non-dropping-particle":"","parse-names":false,"suffix":""},{"dropping-particle":"","family":"Kovaleva","given":"Olga L","non-dropping-particle":"","parse-names":false,"suffix":""},{"dropping-particle":"","family":"Kuenen","given":"J Gijs","non-dropping-particle":"","parse-names":false,"suffix":""},{"dropping-particle":"","family":"Muyzer","given":"Gerard","non-dropping-particle":"","parse-names":false,"suffix":""}],"container-title":"Microbiology","id":"ITEM-1","issue":"3","issued":{"date-parts":[["2010"]]},"page":"819-827","publisher":"Microbiology Society","title":"Aerobic carboxydotrophy under extremely haloalkaline conditions in &lt;i&gt;Alkalispirillum&lt;/i&gt;/&lt;i&gt;Alkalilimnicola&lt;/i&gt; strains isolated from soda lakes","type":"article-journal","volume":"156"},"uris":["http://www.mendeley.com/documents/?uuid=4973d68b-6e15-4743-9826-b88ec68edd4b","http://www.mendeley.com/documents/?uuid=ad6aa667-99a9-455d-8cb9-908faab96f4e"]}],"mendeley":{"formattedCitation":"[16]","plainTextFormattedCitation":"[16]","previouslyFormattedCitation":"&lt;sup&gt;16&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[16]</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r>
              <w:rPr>
                <w:rFonts w:ascii="Arial" w:hAnsi="Arial" w:cs="Arial"/>
                <w:bCs/>
                <w:i/>
                <w:sz w:val="20"/>
                <w:szCs w:val="20"/>
                <w:lang w:val="en-US"/>
              </w:rPr>
              <w:t>Xanthomonas</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mendeley":{"formattedCitation":"[29]","plainTextFormattedCitation":"[29]","previouslyFormattedCitation":"&lt;sup&gt;29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Unsequenced</w:t>
            </w:r>
            <w:proofErr w:type="spellEnd"/>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Default="00E93CCA" w:rsidP="00D409BD">
            <w:pPr>
              <w:snapToGrid w:val="0"/>
              <w:spacing w:line="360" w:lineRule="auto"/>
              <w:jc w:val="both"/>
              <w:rPr>
                <w:rFonts w:ascii="Arial" w:hAnsi="Arial" w:cs="Arial"/>
                <w:bCs/>
                <w:i/>
                <w:sz w:val="20"/>
                <w:szCs w:val="20"/>
                <w:lang w:val="en-US"/>
              </w:rPr>
            </w:pPr>
            <w:proofErr w:type="spellStart"/>
            <w:r w:rsidRPr="003223B3">
              <w:rPr>
                <w:rFonts w:ascii="Arial" w:hAnsi="Arial" w:cs="Arial"/>
                <w:bCs/>
                <w:i/>
                <w:sz w:val="20"/>
                <w:szCs w:val="20"/>
                <w:lang w:val="en-US"/>
              </w:rPr>
              <w:t>Alkalilimnicola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{"citationItems":[{"id":"ITEM-1","itemData":{"ISSN":"1466-5034","author":[{"dropping-particle":"","family":"Hoeft","given":"Shelley E","non-dropping-particle":"","parse-names":false,"suffix":""},{"dropping-particle":"","family":"Blum","given":"Jodi Switzer","non-dropping-particle":"","parse-names":false,"suffix":""},{"dropping-particle":"","family":"Stolz","given":"John F","non-dropping-particle":"","parse-names":false,"suffix":""},{"dropping-particle":"","family":"Tabita","given":"F Robert","non-dropping-particle":"","parse-names":false,"suffix":""},{"dropping-particle":"","family":"Witte","given":"Brian","non-dropping-particle":"","parse-names":false,"suffix":""},{"dropping-particle":"","family":"King","given":"Gary M","non-dropping-particle":"","parse-names":false,"suffix":""},{"dropping-particle":"","family":"Santini","given":"Joanne M","non-dropping-particle":"","parse-names":false,"suffix":""},{"dropping-particle":"","family":"Oremland","given":"Ronald S","non-dropping-particle":"","parse-names":false,"suffix":""}],"container-title":"International journal of systematic and evolutionary microbiology","id":"ITEM-1","issue":"3","issued":{"date-parts":[["2007"]]},"page":"504-512","publisher":"Microbiology Society","title":"&lt;i&gt;Alkalilimnicola ehrlichii&lt;/i&gt; sp. nov., a novel, arsenite-oxidizing haloalkaliphilic gammaproteobacterium capable of chemoautotrophic or heterotrophic growth with nitrate or oxygen as the electron acceptor","type":"article-journal","volume":"57"},"uris":["http://www.mendeley.com/documents/?uuid=f2e8a6d3-7ec9-48fe-9095-77822ecf8383","http://www.mendeley.com/documents/?uuid=ac3555c1-516b-4bcb-acf2-063f3edae403"]},{"id":"ITEM-2","itemData":{"ISSN":"0027-8424","author":[{"dropping-particle":"","family":"King","given":"Gary M","non-dropping-particle":"","parse-names":false,"suffix":""}],"container-title":"Proceedings of the National Academy of Sciences","id":"ITEM-2","issued":{"date-parts":[["2015"]]},"page":"4465–4470","publisher":"National Acad Sciences","title":"Carbon monoxide as a metabolic energy source for extremely halophilic microbes: implications for microbial activity in Mars regolith","type":"article-journal"},"uris":["http://www.mendeley.com/documents/?uuid=e83ad9b5-1c21-47f9-8ae2-45a0d03b22e5","http://www.mendeley.com/documents/?uuid=4555cae3-ad92-4219-bca3-467b9c0059b0","http://www.mendeley.com/documents/?uuid=94c69f50-dbff-4718-9d9f-e6101e7137ca"]},{"id":"ITEM-3","itemData":{"ISSN":"1465-2080","author":[{"dropping-particle":"","family":"Sorokin","given":"Dimitry Yu","non-dropping-particle":"","parse-names":false,"suffix":""},{"dropping-particle":"","family":"Tourova","given":"Tatjana P","non-dropping-particle":"","parse-names":false,"suffix":""},{"dropping-particle":"","family":"Kovaleva","given":"Olga L","non-dropping-particle":"","parse-names":false,"suffix":""},{"dropping-particle":"","family":"Kuenen","given":"J Gijs","non-dropping-particle":"","parse-names":false,"suffix":""},{"dropping-particle":"","family":"Muyzer","given":"Gerard","non-dropping-particle":"","parse-names":false,"suffix":""}],"container-title":"Microbiology","id":"ITEM-3","issue":"3","issued":{"date-parts":[["2010"]]},"page":"819-827","publisher":"Microbiology Society","title":"Aerobic carboxydotrophy under extremely haloalkaline conditions in &lt;i&gt;Alkalispirillum&lt;/i&gt;/&lt;i&gt;Alkalilimnicola&lt;/i&gt; strains isolated from soda lakes","type":"article-journal","volume":"156"},"uris":["http://www.mendeley.com/documents/?uuid=4973d68b-6e15-4743-9826-b88ec68edd4b","http://www.mendeley.com/documents/?uuid=ad6aa667-99a9-455d-8cb9-908faab96f4e","http://www.mendeley.com/documents/?uuid=8e7125e5-5c4a-472a-b69f-f99734813dd4"]}],"mendeley":{"formattedCitation":"[16, 33, 34]","plainTextFormattedCitation":"[16, 33, 34]","previouslyFormattedCitation":"&lt;sup&gt;16,33,34&lt;/sup&gt;"},"properties":{"noteIndex":0},"schema":"https://github.com/citation-style-language/schema/raw/master/csl-citation.json"}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[16, 33, 34]</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Pr="001B16FC" w:rsidRDefault="00E93CCA" w:rsidP="00D409BD">
            <w:pPr>
              <w:snapToGrid w:val="0"/>
              <w:spacing w:line="360" w:lineRule="auto"/>
              <w:jc w:val="both"/>
              <w:rPr>
                <w:rFonts w:ascii="Arial" w:hAnsi="Arial" w:cs="Arial"/>
                <w:bCs/>
                <w:sz w:val="20"/>
                <w:szCs w:val="20"/>
                <w:vertAlign w:val="superscript"/>
                <w:lang w:val="en-US"/>
              </w:rPr>
            </w:pPr>
            <w:proofErr w:type="spellStart"/>
            <w:r>
              <w:rPr>
                <w:rFonts w:ascii="Arial" w:hAnsi="Arial" w:cs="Arial"/>
                <w:bCs/>
                <w:i/>
                <w:sz w:val="20"/>
                <w:szCs w:val="20"/>
                <w:lang w:val="en-US"/>
              </w:rPr>
              <w:t>Burkholderia</w:t>
            </w:r>
            <w:proofErr w:type="spellEnd"/>
            <w:r>
              <w:rPr>
                <w:rFonts w:ascii="Arial" w:hAnsi="Arial" w:cs="Arial"/>
                <w:bCs/>
                <w:i/>
                <w:sz w:val="20"/>
                <w:szCs w:val="20"/>
                <w:lang w:val="en-US"/>
              </w:rPr>
              <w:t xml:space="preserve"> </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id":"ITEM-2","itemData":{"DOI":"10.1111/j.1574-6941.2011.01206.x","ISSN":"01686496","author":[{"dropping-particle":"","family":"Weber","given":"Carolyn F.","non-dropping-particle":"","parse-names":false,"suffix":""},{"dropping-particle":"","family":"King","given":"Gary M.","non-dropping-particle":"","parse-names":false,"suffix":""}],"container-title":"FEMS Microbiology Ecology","editor":[{"dropping-particle":"","family":"Smalla","given":"Kornelia","non-dropping-particle":"","parse-names":false,"suffix":""}],"id":"ITEM-2","issue":"1","issued":{"date-parts":[["2012","1","1"]]},"page":"167-175","publisher":"Oxford University Press","title":"The phylogenetic distribution and ecological role of carbon monoxide oxidation in the genus Burkholderia","type":"article-journal","volume":"79"},"uris":["http://www.mendeley.com/documents/?uuid=9847c181-db82-32a4-bc8e-bb6ac670be9a"]},{"id":"ITEM-3","itemData":{"ISSN":"1664-302X","author":[{"dropping-particle":"","family":"Weber","given":"Carolyn F","non-dropping-particle":"","parse-names":false,"suffix":""},{"dropping-particle":"","family":"King","given":"Gary M","non-dropping-particle":"","parse-names":false,"suffix":""}],"container-title":"Frontiers in microbiology","id":"ITEM-3","issued":{"date-parts":[["2017"]]},"page":"207","publisher":"Frontiers","title":"Volcanic soils as sources of novel CO-Oxidizing &lt;i&gt;Paraburkholderia&lt;/i&gt; and &lt;i&gt;Burkholderia&lt;/i&gt;: &lt;i&gt;Paraburkholderia hiiakae&lt;/i&gt; sp. nov., &lt;i&gt;Paraburkholderia metrosideri&lt;/i&gt; sp. nov., &lt;i&gt;Paraburkholderia paradisi&lt;/i&gt; sp. nov., &lt;i&gt;Paraburkholderia peleae&lt;","type":"article-journal","volume":"8"},"uris":["http://www.mendeley.com/documents/?uuid=75c7d88d-88b5-41d4-a668-3f519f0b85f9","http://www.mendeley.com/documents/?uuid=6684436a-065e-4a5b-afce-7ab71528c62f"]}],"mendeley":{"formattedCitation":"[29, 35, 36]","plainTextFormattedCitation":"[29, 35, 36]","previouslyFormattedCitation":"&lt;sup&gt;29,35,36&lt;/sup&gt;"},"properties":{"noteIndex":0},"schema":"https://github.com/citation-style-language/schema/raw/master/csl-citation.json"}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 35, 36]</w:t>
            </w:r>
            <w:r>
              <w:rPr>
                <w:rFonts w:ascii="Arial" w:hAnsi="Arial" w:cs="Arial"/>
                <w:b/>
                <w:bCs/>
                <w:sz w:val="20"/>
                <w:szCs w:val="20"/>
                <w:lang w:val="en-US"/>
              </w:rPr>
              <w:fldChar w:fldCharType="end"/>
            </w: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Pr="00327B02"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Paraburkholderia</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{"citationItems":[{"id":"ITEM-1","itemData":{"ISSN":"1664-302X","author":[{"dropping-particle":"","family":"Weber","given":"Carolyn F","non-dropping-particle":"","parse-names":false,"suffix":""},{"dropping-particle":"","family":"King","given":"Gary M","non-dropping-particle":"","parse-names":false,"suffix":""}],"container-title":"Frontiers in microbiology","id":"ITEM-1","issued":{"date-parts":[["2017"]]},"page":"207","publisher":"Frontiers","title":"Volcanic soils as sources of novel CO-Oxidizing &lt;i&gt;Paraburkholderia&lt;/i&gt; and &lt;i&gt;Burkholderia&lt;/i&gt;: &lt;i&gt;Paraburkholderia hiiakae&lt;/i&gt; sp. nov., &lt;i&gt;Paraburkholderia metrosideri&lt;/i&gt; sp. nov., &lt;i&gt;Paraburkholderia paradisi&lt;/i&gt; sp. nov., &lt;i&gt;Paraburkholderia peleae&lt;","type":"article-journal","volume":"8"},"uris":["http://www.mendeley.com/documents/?uuid=75c7d88d-88b5-41d4-a668-3f519f0b85f9","http://www.mendeley.com/documents/?uuid=6684436a-065e-4a5b-afce-7ab71528c62f"]}],"mendeley":{"formattedCitation":"[36]","plainTextFormattedCitation":"[36]","previouslyFormattedCitation":"&lt;sup&gt;36&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[36]</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Proteobacterial</w:t>
            </w:r>
          </w:p>
        </w:tc>
      </w:tr>
      <w:tr w:rsidR="00E93CCA" w:rsidRPr="00B12147" w:rsidTr="00D409BD">
        <w:tc>
          <w:tcPr>
            <w:tcW w:w="2263" w:type="dxa"/>
            <w:vMerge/>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r w:rsidRPr="00327B02">
              <w:rPr>
                <w:rFonts w:ascii="Arial" w:hAnsi="Arial" w:cs="Arial"/>
                <w:bCs/>
                <w:i/>
                <w:sz w:val="20"/>
                <w:szCs w:val="20"/>
                <w:lang w:val="en-US"/>
              </w:rPr>
              <w:t>Stenotrophomonas</w:t>
            </w:r>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{"citationItems":[{"id":"ITEM-1","itemData":{"DOI":"10.1128/AEM.69.12.7257-7265.2003","ISSN":"0099-2240","PMID":"14660374","abstract":"Isolates belonging to six genera not previously known to oxidize CO were obtained from enrichments with aquatic and terrestrial plants. DNA from these and other isolates was used in PCR assays of the gene for the large subunit of carbon monoxide dehydrogenase (coxL). CoxL and putative coxL fragments were amplified from known CO oxidizers (e.g., Oligotropha carboxidovorans and Bradyrhizobium japonicum), from novel CO-oxidizing isolates (e.g., Aminobacter sp. strain COX, Burkholderia sp. strain LUP, Mesorhizobium sp. strain NMB1, Stappia strains M4 and M8, Stenotrophomonas sp. strain LUP, and Xanthobacter sp. strain COX), and from several well-known isolates for which the capacity to oxidize CO is reported here for the first time (e.g., Burkholderia fungorum LB400, Mesorhizobium loti, Stappia stellulata, and Stappia aggregata). PCR products from several taxa, e.g., O. carboxidovorans, B. japonicum, and B. fungorum, yielded sequences with a high degree (&gt;99.6%) of identity to those in GenBank or genome databases. Aligned sequences formed two phylogenetically distinct groups. Group OMP contained sequences from previously known CO oxidizers, including O. carboxidovorans and Pseudomonas thermocarboxydovorans, plus a number of closely related sequences. Group BMS was dominated by putative coxL sequences from genera in the Rhizobiaceae and other alpha-PROTEOBACTERIA: PCR analyses revealed that many CO oxidizers contained two coxL sequences, one from each group. CO oxidation by M. loti, for which whole-genome sequencing has revealed a single BMS-group putative coxL gene, strongly supports the notion that BMS sequences represent functional CO dehydrogenase proteins that are related to but distinct from previously characterized aerobic CO dehydrogenases.","author":[{"dropping-particle":"","family":"King","given":"Gary M","non-dropping-particle":"","parse-names":false,"suffix":""}],"container-title":"Applied and environmental microbiology","id":"ITEM-1","issue":"12","issued":{"date-parts":[["2003","12","1"]]},"page":"7257-7265","publisher":"American Society for Microbiology","title":"Molecular and culture-based analyses of aerobic carbon monoxide oxidizer diversity.","type":"article-journal","volume":"69"},"uris":["http://www.mendeley.com/documents/?uuid=abb82f61-db5f-3173-a035-e4fd731067b3"]}],"mendeley":{"formattedCitation":"[29]","plainTextFormattedCitation":"[29]","previouslyFormattedCitation":"&lt;sup&gt;29&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[29]</w:t>
            </w:r>
            <w:r>
              <w:rPr>
                <w:rFonts w:ascii="Arial" w:hAnsi="Arial" w:cs="Arial"/>
                <w:b/>
                <w:bCs/>
                <w:sz w:val="20"/>
                <w:szCs w:val="20"/>
                <w:lang w:val="en-US"/>
              </w:rPr>
              <w:fldChar w:fldCharType="end"/>
            </w:r>
          </w:p>
        </w:tc>
        <w:tc>
          <w:tcPr>
            <w:tcW w:w="1701" w:type="dxa"/>
          </w:tcPr>
          <w:p w:rsidR="00E93CCA"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Unsequenced</w:t>
            </w:r>
            <w:proofErr w:type="spellEnd"/>
          </w:p>
        </w:tc>
      </w:tr>
      <w:tr w:rsidR="00E93CCA" w:rsidRPr="00B12147" w:rsidTr="00D409BD">
        <w:tc>
          <w:tcPr>
            <w:tcW w:w="2263" w:type="dxa"/>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p>
        </w:tc>
        <w:tc>
          <w:tcPr>
            <w:tcW w:w="1228"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vMerge w:val="restart"/>
          </w:tcPr>
          <w:p w:rsidR="00E93CCA" w:rsidRPr="003223B3" w:rsidRDefault="00E93CCA" w:rsidP="00D409BD">
            <w:pPr>
              <w:snapToGrid w:val="0"/>
              <w:spacing w:line="360" w:lineRule="auto"/>
              <w:jc w:val="both"/>
              <w:rPr>
                <w:rFonts w:ascii="Arial" w:hAnsi="Arial" w:cs="Arial"/>
                <w:bCs/>
                <w:sz w:val="20"/>
                <w:szCs w:val="20"/>
                <w:lang w:val="en-US"/>
              </w:rPr>
            </w:pPr>
            <w:bookmarkStart w:id="1" w:name="_Hlk534218654"/>
            <w:proofErr w:type="spellStart"/>
            <w:r w:rsidRPr="003223B3">
              <w:rPr>
                <w:rFonts w:ascii="Arial" w:hAnsi="Arial" w:cs="Arial"/>
                <w:bCs/>
                <w:sz w:val="20"/>
                <w:szCs w:val="20"/>
                <w:lang w:val="en-US"/>
              </w:rPr>
              <w:t>Ktedonobacteria</w:t>
            </w:r>
            <w:proofErr w:type="spellEnd"/>
            <w:r w:rsidRPr="003223B3">
              <w:rPr>
                <w:rFonts w:ascii="Arial" w:hAnsi="Arial" w:cs="Arial"/>
                <w:bCs/>
                <w:sz w:val="20"/>
                <w:szCs w:val="20"/>
                <w:lang w:val="en-US"/>
              </w:rPr>
              <w:t xml:space="preserve"> (</w:t>
            </w:r>
            <w:proofErr w:type="spellStart"/>
            <w:r w:rsidRPr="003223B3">
              <w:rPr>
                <w:rFonts w:ascii="Arial" w:hAnsi="Arial" w:cs="Arial"/>
                <w:bCs/>
                <w:sz w:val="20"/>
                <w:szCs w:val="20"/>
                <w:lang w:val="en-US"/>
              </w:rPr>
              <w:t>Chloroflexota</w:t>
            </w:r>
            <w:proofErr w:type="spellEnd"/>
            <w:r w:rsidRPr="003223B3">
              <w:rPr>
                <w:rFonts w:ascii="Arial" w:hAnsi="Arial" w:cs="Arial"/>
                <w:bCs/>
                <w:sz w:val="20"/>
                <w:szCs w:val="20"/>
                <w:lang w:val="en-US"/>
              </w:rPr>
              <w:t>)</w:t>
            </w: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proofErr w:type="spellStart"/>
            <w:r w:rsidRPr="003223B3">
              <w:rPr>
                <w:rFonts w:ascii="Arial" w:hAnsi="Arial" w:cs="Arial"/>
                <w:bCs/>
                <w:i/>
                <w:sz w:val="20"/>
                <w:szCs w:val="20"/>
                <w:lang w:val="en-US"/>
              </w:rPr>
              <w:t>Thermogemmatispora</w:t>
            </w:r>
            <w:proofErr w:type="spellEnd"/>
          </w:p>
        </w:tc>
        <w:tc>
          <w:tcPr>
            <w:tcW w:w="1228"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r w:rsidRPr="003223B3">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{"citationItems":[{"id":"ITEM-1","itemData":{"ISSN":"1466-5034","author":[{"dropping-particle":"","family":"King","given":"C E","non-dropping-particle":"","parse-names":false,"suffix":""},{"dropping-particle":"","family":"King","given":"G M","non-dropping-particle":"","parse-names":false,"suffix":""}],"container-title":"International journal of systematic and evolutionary microbiology","id":"ITEM-1","issue":"4","issued":{"date-parts":[["2014"]]},"page":"1244-1251","publisher":"Microbiology Society","title":"Description of &lt;i&gt;Thermogemmatispora carboxidivorans&lt;/i&gt; sp. nov., a carbon-monoxide-oxidizing member of the class Ktedonobacteria isolated from a geothermally heated biofilm, and analysis of carbon monoxide oxidation by members of the class Ktedonobacter","type":"article-journal","volume":"64"},"uris":["http://www.mendeley.com/documents/?uuid=5f41e648-872d-40d5-a927-db6be841a15b"]},{"id":"ITEM-2","itemData":{"author":[{"dropping-particle":"","family":"Islam","given":"Zahra F","non-dropping-particle":"","parse-names":false,"suffix":""},{"dropping-particle":"","family":"Cordero","given":"Paul R F","non-dropping-particle":"","parse-names":false,"suffix":""},{"dropping-particle":"","family":"Feng","given":"Joanna","non-dropping-particle":"","parse-names":false,"suffix":""},{"dropping-particle":"","family":"Chen","given":"Ya-Jou","non-dropping-particle":"","parse-names":false,"suffix":""},{"dropping-particle":"","family":"Bay","given":"Sean","non-dropping-particle":"","parse-names":false,"suffix":""},{"dropping-particle":"","family":"Gleadow","given":"Roslyn M","non-dropping-particle":"","parse-names":false,"suffix":""},{"dropping-particle":"","family":"Jirapanjawat","given":"Thanavit","non-dropping-particle":"","parse-names":false,"suffix":""},{"dropping-particle":"","family":"Carere","given":"Carlo R","non-dropping-particle":"","parse-names":false,"suffix":""},{"dropping-particle":"","family":"Stott","given":"Matthew B","non-dropping-particle":"","parse-names":false,"suffix":""},{"dropping-particle":"","family":"Chiri","given":"Eleonora","non-dropping-particle":"","parse-names":false,"suffix":""},{"dropping-particle":"","family":"Greening","given":"Chris","non-dropping-particle":"","parse-names":false,"suffix":""}],"container-title":"ISME Journal","id":"ITEM-2","issued":{"date-parts":[["2019"]]},"page":"in press","publisher":"Cold Spring Harbor Laboratory","title":"Two Chloroflexi classes independently evolved the ability to persist on atmospheric hydrogen and carbon monoxide","type":"article-journal"},"uris":["http://www.mendeley.com/documents/?uuid=b53cdb5b-4f92-4a1b-92f9-cfb7f7d0f419","http://www.mendeley.com/documents/?uuid=74b9fede-2e49-4a5d-b5be-dd0596fe5da7"]}],"mendeley":{"formattedCitation":"[44, 45]","plainTextFormattedCitation":"[44, 45]","previouslyFormattedCitation":"&lt;sup&gt;44,45&lt;/sup&gt;"},"properties":{"noteIndex":0},"schema":"https://github.com/citation-style-language/schema/raw/master/csl-citation.json"}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[44, 45]</w:t>
            </w:r>
            <w:r>
              <w:rPr>
                <w:rFonts w:ascii="Arial" w:hAnsi="Arial" w:cs="Arial"/>
                <w:b/>
                <w:bCs/>
                <w:sz w:val="20"/>
                <w:szCs w:val="20"/>
                <w:lang w:val="en-US"/>
              </w:rPr>
              <w:fldChar w:fldCharType="end"/>
            </w: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Mixed 1</w:t>
            </w:r>
          </w:p>
        </w:tc>
      </w:tr>
      <w:bookmarkEnd w:id="1"/>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
        </w:tc>
      </w:tr>
      <w:tr w:rsidR="00E93CCA" w:rsidRPr="00B12147" w:rsidTr="00D409BD">
        <w:tc>
          <w:tcPr>
            <w:tcW w:w="2263" w:type="dxa"/>
            <w:vMerge w:val="restart"/>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sz w:val="20"/>
                <w:szCs w:val="20"/>
                <w:lang w:val="en-US"/>
              </w:rPr>
              <w:t>Halobacteria</w:t>
            </w:r>
            <w:proofErr w:type="spellEnd"/>
            <w:r w:rsidRPr="00B12147">
              <w:rPr>
                <w:rFonts w:ascii="Arial" w:hAnsi="Arial" w:cs="Arial"/>
                <w:bCs/>
                <w:sz w:val="20"/>
                <w:szCs w:val="20"/>
                <w:lang w:val="en-US"/>
              </w:rPr>
              <w:t xml:space="preserve"> (</w:t>
            </w:r>
            <w:proofErr w:type="spellStart"/>
            <w:r w:rsidRPr="00B12147">
              <w:rPr>
                <w:rFonts w:ascii="Arial" w:hAnsi="Arial" w:cs="Arial"/>
                <w:bCs/>
                <w:sz w:val="20"/>
                <w:szCs w:val="20"/>
                <w:lang w:val="en-US"/>
              </w:rPr>
              <w:t>Halobacterota</w:t>
            </w:r>
            <w:proofErr w:type="spellEnd"/>
            <w:r w:rsidRPr="00B12147">
              <w:rPr>
                <w:rFonts w:ascii="Arial" w:hAnsi="Arial" w:cs="Arial"/>
                <w:bCs/>
                <w:sz w:val="20"/>
                <w:szCs w:val="20"/>
                <w:lang w:val="en-US"/>
              </w:rPr>
              <w:t>)</w:t>
            </w: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i/>
                <w:sz w:val="20"/>
                <w:szCs w:val="20"/>
                <w:lang w:val="en-US"/>
              </w:rPr>
              <w:t>Halorubrum</w:t>
            </w:r>
            <w:proofErr w:type="spellEnd"/>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sidRPr="00601C2D">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sidRPr="003A3CE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{"citationItems":[{"id":"ITEM-1","itemData":{"ISSN":"0027-8424","author":[{"dropping-particle":"","family":"King","given":"Gary M","non-dropping-particle":"","parse-names":false,"suffix":""}],"container-title":"Proceedings of the National Academy of Sciences","id":"ITEM-1","issued":{"date-parts":[["2015"]]},"page":"4465–4470","publisher":"National Acad Sciences","title":"Carbon monoxide as a metabolic energy source for extremely halophilic microbes: implications for microbial activity in Mars regolith","type":"article-journal"},"uris":["http://www.mendeley.com/documents/?uuid=e83ad9b5-1c21-47f9-8ae2-45a0d03b22e5","http://www.mendeley.com/documents/?uuid=4555cae3-ad92-4219-bca3-467b9c0059b0"]},{"id":"ITEM-2","itemData":{"ISSN":"0168-6496","author":[{"dropping-particle":"","family":"McDuff","given":"S","non-dropping-particle":"","parse-names":false,"suffix":""},{"dropping-particle":"","family":"King","given":"G M","non-dropping-particle":"","parse-names":false,"suffix":""},{"dropping-particle":"","family":"Neupane","given":"S","non-dropping-particle":"","parse-names":false,"suffix":""},{"dropping-particle":"","family":"Myers","given":"M R","non-dropping-particle":"","parse-names":false,"suffix":""}],"container-title":"FEMS microbiology ecology","id":"ITEM-2","issue":"4","issued":{"date-parts":[["2016"]]},"publisher":"Oxford University Press","title":"Isolation and characterization of extremely halophilic CO-oxidizing Euryarchaeota from hypersaline cinders, sediments and soils and description of a novel CO oxidizer, &lt;i&gt;Haloferax namakaokahaiae&lt;/i&gt; Mke2. 3T, sp. nov.","type":"article-journal","volume":"92"},"uris":["http://www.mendeley.com/documents/?uuid=df65e637-9f5e-434c-9551-781f9d102bf0","http://www.mendeley.com/documents/?uuid=d43ca50a-0da1-4d1c-aea3-310120ee0991","http://www.mendeley.com/documents/?uuid=e77c2ae4-ba08-4659-b408-82fe9861502a"]}],"mendeley":{"formattedCitation":"[33, 48]","plainTextFormattedCitation":"[33, 48]","previouslyFormattedCitation":"&lt;sup&gt;33,48&lt;/sup&gt;"},"properties":{"noteIndex":0},"schema":"https://github.com/citation-style-language/schema/raw/master/csl-citation.json"}</w:instrText>
            </w:r>
            <w:r w:rsidRPr="00B12147">
              <w:rPr>
                <w:rFonts w:ascii="Arial" w:hAnsi="Arial" w:cs="Arial"/>
                <w:b/>
                <w:bCs/>
                <w:sz w:val="20"/>
                <w:szCs w:val="20"/>
                <w:lang w:val="en-US"/>
              </w:rPr>
              <w:fldChar w:fldCharType="separate"/>
            </w:r>
            <w:r w:rsidRPr="0003700B">
              <w:rPr>
                <w:rFonts w:ascii="Arial" w:hAnsi="Arial" w:cs="Arial"/>
                <w:bCs/>
                <w:noProof/>
                <w:sz w:val="20"/>
                <w:szCs w:val="20"/>
                <w:lang w:val="en-US"/>
              </w:rPr>
              <w:t>[33, 48]</w:t>
            </w:r>
            <w:r w:rsidRPr="00B12147">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Cs/>
                <w:sz w:val="20"/>
                <w:szCs w:val="20"/>
                <w:lang w:val="en-US"/>
              </w:rPr>
            </w:pPr>
            <w:proofErr w:type="spellStart"/>
            <w:r w:rsidRPr="00B12147">
              <w:rPr>
                <w:rFonts w:ascii="Arial" w:hAnsi="Arial" w:cs="Arial"/>
                <w:bCs/>
                <w:sz w:val="20"/>
                <w:szCs w:val="20"/>
                <w:lang w:val="en-US"/>
              </w:rPr>
              <w:t>Halobacterial</w:t>
            </w:r>
            <w:proofErr w:type="spellEnd"/>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Haloferax</w:t>
            </w:r>
            <w:proofErr w:type="spellEnd"/>
          </w:p>
        </w:tc>
        <w:tc>
          <w:tcPr>
            <w:tcW w:w="1228" w:type="dxa"/>
          </w:tcPr>
          <w:p w:rsidR="00E93CCA" w:rsidRPr="00B12147" w:rsidRDefault="00E93CCA" w:rsidP="00D409BD">
            <w:pPr>
              <w:snapToGrid w:val="0"/>
              <w:spacing w:line="360" w:lineRule="auto"/>
              <w:jc w:val="both"/>
              <w:rPr>
                <w:rFonts w:ascii="Arial" w:hAnsi="Arial" w:cs="Arial"/>
                <w:bCs/>
                <w:sz w:val="20"/>
                <w:szCs w:val="20"/>
                <w:lang w:val="en-US"/>
              </w:rPr>
            </w:pPr>
            <w:r w:rsidRPr="00601C2D">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Cs/>
                <w:sz w:val="20"/>
                <w:szCs w:val="20"/>
                <w:lang w:val="en-US"/>
              </w:rPr>
            </w:pPr>
            <w:r w:rsidRPr="00B1214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{"citationItems":[{"id":"ITEM-1","itemData":{"ISSN":"0168-6496","author":[{"dropping-particle":"","family":"McDuff","given":"S","non-dropping-particle":"","parse-names":false,"suffix":""},{"dropping-particle":"","family":"King","given":"G M","non-dropping-particle":"","parse-names":false,"suffix":""},{"dropping-particle":"","family":"Neupane","given":"S","non-dropping-particle":"","parse-names":false,"suffix":""},{"dropping-particle":"","family":"Myers","given":"M R","non-dropping-particle":"","parse-names":false,"suffix":""}],"container-title":"FEMS microbiology ecology","id":"ITEM-1","issue":"4","issued":{"date-parts":[["2016"]]},"publisher":"Oxford University Press","title":"Isolation and characterization of extremely halophilic CO-oxidizing Euryarchaeota from hypersaline cinders, sediments and soils and description of a novel CO oxidizer, &lt;i&gt;Haloferax namakaokahaiae&lt;/i&gt; Mke2. 3T, sp. nov.","type":"article-journal","volume":"92"},"uris":["http://www.mendeley.com/documents/?uuid=df65e637-9f5e-434c-9551-781f9d102bf0","http://www.mendeley.com/documents/?uuid=d43ca50a-0da1-4d1c-aea3-310120ee0991"]}],"mendeley":{"formattedCitation":"[48]","plainTextFormattedCitation":"[48]","previouslyFormattedCitation":"&lt;sup&gt;48&lt;/sup&gt;"},"properties":{"noteIndex":0},"schema":"https://github.com/citation-style-language/schema/raw/master/csl-citation.json"}</w:instrText>
            </w:r>
            <w:r w:rsidRPr="00B12147">
              <w:rPr>
                <w:rFonts w:ascii="Arial" w:hAnsi="Arial" w:cs="Arial"/>
                <w:b/>
                <w:bCs/>
                <w:sz w:val="20"/>
                <w:szCs w:val="20"/>
                <w:lang w:val="en-US"/>
              </w:rPr>
              <w:fldChar w:fldCharType="separate"/>
            </w:r>
            <w:r w:rsidRPr="0003700B">
              <w:rPr>
                <w:rFonts w:ascii="Arial" w:hAnsi="Arial" w:cs="Arial"/>
                <w:bCs/>
                <w:noProof/>
                <w:sz w:val="20"/>
                <w:szCs w:val="20"/>
                <w:lang w:val="en-US"/>
              </w:rPr>
              <w:t>[48]</w:t>
            </w:r>
            <w:r w:rsidRPr="00B12147">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sz w:val="20"/>
                <w:szCs w:val="20"/>
                <w:lang w:val="en-US"/>
              </w:rPr>
              <w:t>Halobacterial</w:t>
            </w:r>
            <w:proofErr w:type="spellEnd"/>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i/>
                <w:sz w:val="20"/>
                <w:szCs w:val="20"/>
                <w:lang w:val="en-US"/>
              </w:rPr>
              <w:t>Haloterrigena</w:t>
            </w:r>
            <w:proofErr w:type="spellEnd"/>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sidRPr="00601C2D">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Cs/>
                <w:sz w:val="20"/>
                <w:szCs w:val="20"/>
                <w:lang w:val="en-US"/>
              </w:rPr>
            </w:pPr>
            <w:r w:rsidRPr="00B1214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{"citationItems":[{"id":"ITEM-1","itemData":{"ISSN":"0168-6496","author":[{"dropping-particle":"","family":"McDuff","given":"S","non-dropping-particle":"","parse-names":false,"suffix":""},{"dropping-particle":"","family":"King","given":"G M","non-dropping-particle":"","parse-names":false,"suffix":""},{"dropping-particle":"","family":"Neupane","given":"S","non-dropping-particle":"","parse-names":false,"suffix":""},{"dropping-particle":"","family":"Myers","given":"M R","non-dropping-particle":"","parse-names":false,"suffix":""}],"container-title":"FEMS microbiology ecology","id":"ITEM-1","issue":"4","issued":{"date-parts":[["2016"]]},"publisher":"Oxford University Press","title":"Isolation and characterization of extremely halophilic CO-oxidizing Euryarchaeota from hypersaline cinders, sediments and soils and description of a novel CO oxidizer, &lt;i&gt;Haloferax namakaokahaiae&lt;/i&gt; Mke2. 3T, sp. nov.","type":"article-journal","volume":"92"},"uris":["http://www.mendeley.com/documents/?uuid=df65e637-9f5e-434c-9551-781f9d102bf0","http://www.mendeley.com/documents/?uuid=d43ca50a-0da1-4d1c-aea3-310120ee0991"]}],"mendeley":{"formattedCitation":"[48]","plainTextFormattedCitation":"[48]","previouslyFormattedCitation":"&lt;sup&gt;48&lt;/sup&gt;"},"properties":{"noteIndex":0},"schema":"https://github.com/citation-style-language/schema/raw/master/csl-citation.json"}</w:instrText>
            </w:r>
            <w:r w:rsidRPr="00B12147">
              <w:rPr>
                <w:rFonts w:ascii="Arial" w:hAnsi="Arial" w:cs="Arial"/>
                <w:b/>
                <w:bCs/>
                <w:sz w:val="20"/>
                <w:szCs w:val="20"/>
                <w:lang w:val="en-US"/>
              </w:rPr>
              <w:fldChar w:fldCharType="separate"/>
            </w:r>
            <w:r w:rsidRPr="0003700B">
              <w:rPr>
                <w:rFonts w:ascii="Arial" w:hAnsi="Arial" w:cs="Arial"/>
                <w:bCs/>
                <w:noProof/>
                <w:sz w:val="20"/>
                <w:szCs w:val="20"/>
                <w:lang w:val="en-US"/>
              </w:rPr>
              <w:t>[48]</w:t>
            </w:r>
            <w:r w:rsidRPr="00B12147">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sz w:val="20"/>
                <w:szCs w:val="20"/>
                <w:lang w:val="en-US"/>
              </w:rPr>
              <w:t>Halobacterial</w:t>
            </w:r>
            <w:proofErr w:type="spellEnd"/>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i/>
                <w:sz w:val="20"/>
                <w:szCs w:val="20"/>
                <w:lang w:val="en-US"/>
              </w:rPr>
              <w:t>Haloarcula</w:t>
            </w:r>
            <w:proofErr w:type="spellEnd"/>
          </w:p>
        </w:tc>
        <w:tc>
          <w:tcPr>
            <w:tcW w:w="1228" w:type="dxa"/>
          </w:tcPr>
          <w:p w:rsidR="00E93CCA" w:rsidRPr="00B12147" w:rsidRDefault="00E93CCA" w:rsidP="00D409BD">
            <w:pPr>
              <w:snapToGrid w:val="0"/>
              <w:spacing w:line="360" w:lineRule="auto"/>
              <w:jc w:val="both"/>
              <w:rPr>
                <w:rFonts w:ascii="Arial" w:hAnsi="Arial" w:cs="Arial"/>
                <w:b/>
                <w:bCs/>
                <w:sz w:val="20"/>
                <w:szCs w:val="20"/>
                <w:lang w:val="en-US"/>
              </w:rPr>
            </w:pPr>
            <w:r w:rsidRPr="00601C2D">
              <w:rPr>
                <w:rFonts w:ascii="Arial" w:hAnsi="Arial" w:cs="Arial"/>
                <w:bCs/>
                <w:sz w:val="20"/>
                <w:szCs w:val="20"/>
                <w:lang w:val="en-US"/>
              </w:rPr>
              <w:t>?</w:t>
            </w:r>
          </w:p>
        </w:tc>
        <w:tc>
          <w:tcPr>
            <w:tcW w:w="1229" w:type="dxa"/>
          </w:tcPr>
          <w:p w:rsidR="00E93CCA" w:rsidRPr="003A3CE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{"citationItems":[{"id":"ITEM-1","itemData":{"ISSN":"0168-6496","author":[{"dropping-particle":"","family":"McDuff","given":"S","non-dropping-particle":"","parse-names":false,"suffix":""},{"dropping-particle":"","family":"King","given":"G M","non-dropping-particle":"","parse-names":false,"suffix":""},{"dropping-particle":"","family":"Neupane","given":"S","non-dropping-particle":"","parse-names":false,"suffix":""},{"dropping-particle":"","family":"Myers","given":"M R","non-dropping-particle":"","parse-names":false,"suffix":""}],"container-title":"FEMS microbiology ecology","id":"ITEM-1","issue":"4","issued":{"date-parts":[["2016"]]},"publisher":"Oxford University Press","title":"Isolation and characterization of extremely halophilic CO-oxidizing Euryarchaeota from hypersaline cinders, sediments and soils and description of a novel CO oxidizer, &lt;i&gt;Haloferax namakaokahaiae&lt;/i&gt; Mke2. 3T, sp. nov.","type":"article-journal","volume":"92"},"uris":["http://www.mendeley.com/documents/?uuid=df65e637-9f5e-434c-9551-781f9d102bf0","http://www.mendeley.com/documents/?uuid=d43ca50a-0da1-4d1c-aea3-310120ee0991"]}],"mendeley":{"formattedCitation":"[48]","plainTextFormattedCitation":"[48]","previouslyFormattedCitation":"&lt;sup&gt;48&lt;/sup&gt;"},"properties":{"noteIndex":0},"schema":"https://github.com/citation-style-language/schema/raw/master/csl-citation.json"}</w:instrText>
            </w:r>
            <w:r w:rsidRPr="00B12147">
              <w:rPr>
                <w:rFonts w:ascii="Arial" w:hAnsi="Arial" w:cs="Arial"/>
                <w:b/>
                <w:bCs/>
                <w:sz w:val="20"/>
                <w:szCs w:val="20"/>
                <w:lang w:val="en-US"/>
              </w:rPr>
              <w:fldChar w:fldCharType="separate"/>
            </w:r>
            <w:r w:rsidRPr="0003700B">
              <w:rPr>
                <w:rFonts w:ascii="Arial" w:hAnsi="Arial" w:cs="Arial"/>
                <w:bCs/>
                <w:noProof/>
                <w:sz w:val="20"/>
                <w:szCs w:val="20"/>
                <w:lang w:val="en-US"/>
              </w:rPr>
              <w:t>[48]</w:t>
            </w:r>
            <w:r w:rsidRPr="00B12147">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sz w:val="20"/>
                <w:szCs w:val="20"/>
                <w:lang w:val="en-US"/>
              </w:rPr>
              <w:t>Halobacterial</w:t>
            </w:r>
            <w:proofErr w:type="spellEnd"/>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Cs/>
                <w:i/>
                <w:sz w:val="20"/>
                <w:szCs w:val="20"/>
                <w:lang w:val="en-US"/>
              </w:rPr>
            </w:pPr>
            <w:proofErr w:type="spellStart"/>
            <w:r w:rsidRPr="00B12147">
              <w:rPr>
                <w:rFonts w:ascii="Arial" w:hAnsi="Arial" w:cs="Arial"/>
                <w:bCs/>
                <w:i/>
                <w:sz w:val="20"/>
                <w:szCs w:val="20"/>
                <w:lang w:val="en-US"/>
              </w:rPr>
              <w:t>Natronorubrum</w:t>
            </w:r>
            <w:proofErr w:type="spellEnd"/>
          </w:p>
        </w:tc>
        <w:tc>
          <w:tcPr>
            <w:tcW w:w="1228" w:type="dxa"/>
          </w:tcPr>
          <w:p w:rsidR="00E93CCA" w:rsidRPr="00B12147" w:rsidRDefault="00E93CCA" w:rsidP="00D409BD">
            <w:pPr>
              <w:snapToGrid w:val="0"/>
              <w:spacing w:line="360" w:lineRule="auto"/>
              <w:jc w:val="both"/>
              <w:rPr>
                <w:rFonts w:ascii="Arial" w:hAnsi="Arial" w:cs="Arial"/>
                <w:bCs/>
                <w:sz w:val="20"/>
                <w:szCs w:val="20"/>
                <w:lang w:val="en-US"/>
              </w:rPr>
            </w:pPr>
            <w:r w:rsidRPr="00601C2D">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Cs/>
                <w:sz w:val="20"/>
                <w:szCs w:val="20"/>
                <w:lang w:val="en-US"/>
              </w:rPr>
            </w:pPr>
            <w:r w:rsidRPr="00B12147">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sidRPr="00B12147">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{"citationItems":[{"id":"ITEM-1","itemData":{"ISSN":"0027-8424","author":[{"dropping-particle":"","family":"King","given":"Gary M","non-dropping-particle":"","parse-names":false,"suffix":""}],"container-title":"Proceedings of the National Academy of Sciences","id":"ITEM-1","issued":{"date-parts":[["2015"]]},"page":"4465–4470","publisher":"National Acad Sciences","title":"Carbon monoxide as a metabolic energy source for extremely halophilic microbes: implications for microbial activity in Mars regolith","type":"article-journal"},"uris":["http://www.mendeley.com/documents/?uuid=e83ad9b5-1c21-47f9-8ae2-45a0d03b22e5","http://www.mendeley.com/documents/?uuid=4555cae3-ad92-4219-bca3-467b9c0059b0"]},{"id":"ITEM-2","itemData":{"ISSN":"0168-6496","author":[{"dropping-particle":"","family":"McDuff","given":"S","non-dropping-particle":"","parse-names":false,"suffix":""},{"dropping-particle":"","family":"King","given":"G M","non-dropping-particle":"","parse-names":false,"suffix":""},{"dropping-particle":"","family":"Neupane","given":"S","non-dropping-particle":"","parse-names":false,"suffix":""},{"dropping-particle":"","family":"Myers","given":"M R","non-dropping-particle":"","parse-names":false,"suffix":""}],"container-title":"FEMS microbiology ecology","id":"ITEM-2","issue":"4","issued":{"date-parts":[["2016"]]},"publisher":"Oxford University Press","title":"Isolation and characterization of extremely halophilic CO-oxidizing Euryarchaeota from hypersaline cinders, sediments and soils and description of a novel CO oxidizer, &lt;i&gt;Haloferax namakaokahaiae&lt;/i&gt; Mke2. 3T, sp. nov.","type":"article-journal","volume":"92"},"uris":["http://www.mendeley.com/documents/?uuid=df65e637-9f5e-434c-9551-781f9d102bf0","http://www.mendeley.com/documents/?uuid=d43ca50a-0da1-4d1c-aea3-310120ee0991","http://www.mendeley.com/documents/?uuid=1d441fa5-d78d-4ac7-8880-e8005a6a9ad6"]}],"mendeley":{"formattedCitation":"[33, 48]","plainTextFormattedCitation":"[33, 48]","previouslyFormattedCitation":"&lt;sup&gt;33,48&lt;/sup&gt;"},"properties":{"noteIndex":0},"schema":"https://github.com/citation-style-language/schema/raw/master/csl-citation.json"}</w:instrText>
            </w:r>
            <w:r w:rsidRPr="00B12147">
              <w:rPr>
                <w:rFonts w:ascii="Arial" w:hAnsi="Arial" w:cs="Arial"/>
                <w:b/>
                <w:bCs/>
                <w:sz w:val="20"/>
                <w:szCs w:val="20"/>
                <w:lang w:val="en-US"/>
              </w:rPr>
              <w:fldChar w:fldCharType="separate"/>
            </w:r>
            <w:r w:rsidRPr="0003700B">
              <w:rPr>
                <w:rFonts w:ascii="Arial" w:hAnsi="Arial" w:cs="Arial"/>
                <w:bCs/>
                <w:noProof/>
                <w:sz w:val="20"/>
                <w:szCs w:val="20"/>
                <w:lang w:val="en-US"/>
              </w:rPr>
              <w:t>[33, 48]</w:t>
            </w:r>
            <w:r w:rsidRPr="00B12147">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
                <w:bCs/>
                <w:sz w:val="20"/>
                <w:szCs w:val="20"/>
                <w:lang w:val="en-US"/>
              </w:rPr>
            </w:pPr>
            <w:proofErr w:type="spellStart"/>
            <w:r w:rsidRPr="00B12147">
              <w:rPr>
                <w:rFonts w:ascii="Arial" w:hAnsi="Arial" w:cs="Arial"/>
                <w:bCs/>
                <w:sz w:val="20"/>
                <w:szCs w:val="20"/>
                <w:lang w:val="en-US"/>
              </w:rPr>
              <w:t>Halobacterial</w:t>
            </w:r>
            <w:proofErr w:type="spellEnd"/>
          </w:p>
        </w:tc>
      </w:tr>
      <w:tr w:rsidR="00E93CCA" w:rsidRPr="00B12147" w:rsidTr="00D409BD">
        <w:tc>
          <w:tcPr>
            <w:tcW w:w="2263" w:type="dxa"/>
          </w:tcPr>
          <w:p w:rsidR="00E93CCA" w:rsidRPr="003223B3" w:rsidRDefault="00E93CCA" w:rsidP="00D409BD">
            <w:pPr>
              <w:snapToGrid w:val="0"/>
              <w:spacing w:line="360" w:lineRule="auto"/>
              <w:jc w:val="both"/>
              <w:rPr>
                <w:rFonts w:ascii="Arial" w:hAnsi="Arial" w:cs="Arial"/>
                <w:bCs/>
                <w:sz w:val="20"/>
                <w:szCs w:val="20"/>
                <w:lang w:val="en-US"/>
              </w:rPr>
            </w:pP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p>
        </w:tc>
        <w:tc>
          <w:tcPr>
            <w:tcW w:w="1228" w:type="dxa"/>
          </w:tcPr>
          <w:p w:rsidR="00E93CCA" w:rsidRDefault="00E93CCA" w:rsidP="00D409BD">
            <w:pPr>
              <w:snapToGrid w:val="0"/>
              <w:spacing w:line="360" w:lineRule="auto"/>
              <w:jc w:val="both"/>
              <w:rPr>
                <w:rFonts w:ascii="Arial" w:hAnsi="Arial" w:cs="Arial"/>
                <w:bCs/>
                <w:sz w:val="20"/>
                <w:szCs w:val="20"/>
                <w:lang w:val="en-US"/>
              </w:rPr>
            </w:pP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p>
        </w:tc>
        <w:tc>
          <w:tcPr>
            <w:tcW w:w="1229" w:type="dxa"/>
          </w:tcPr>
          <w:p w:rsidR="00E93CCA" w:rsidRDefault="00E93CCA" w:rsidP="00D409BD">
            <w:pPr>
              <w:snapToGrid w:val="0"/>
              <w:spacing w:line="360" w:lineRule="auto"/>
              <w:jc w:val="both"/>
              <w:rPr>
                <w:rFonts w:ascii="Arial" w:hAnsi="Arial" w:cs="Arial"/>
                <w:b/>
                <w:bCs/>
                <w:sz w:val="20"/>
                <w:szCs w:val="20"/>
                <w:lang w:val="en-US"/>
              </w:rPr>
            </w:pP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p>
        </w:tc>
      </w:tr>
      <w:tr w:rsidR="00E93CCA" w:rsidRPr="00B12147" w:rsidTr="00D409BD">
        <w:tc>
          <w:tcPr>
            <w:tcW w:w="2263" w:type="dxa"/>
            <w:vMerge w:val="restart"/>
          </w:tcPr>
          <w:p w:rsidR="00E93CCA" w:rsidRPr="003223B3"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Thermoprotei</w:t>
            </w:r>
            <w:proofErr w:type="spellEnd"/>
            <w:r>
              <w:rPr>
                <w:rFonts w:ascii="Arial" w:hAnsi="Arial" w:cs="Arial"/>
                <w:bCs/>
                <w:sz w:val="20"/>
                <w:szCs w:val="20"/>
                <w:lang w:val="en-US"/>
              </w:rPr>
              <w:t xml:space="preserve"> </w:t>
            </w:r>
            <w:r w:rsidRPr="003223B3">
              <w:rPr>
                <w:rFonts w:ascii="Arial" w:hAnsi="Arial" w:cs="Arial"/>
                <w:bCs/>
                <w:sz w:val="20"/>
                <w:szCs w:val="20"/>
                <w:lang w:val="en-US"/>
              </w:rPr>
              <w:t>(</w:t>
            </w:r>
            <w:proofErr w:type="spellStart"/>
            <w:r>
              <w:rPr>
                <w:rFonts w:ascii="Arial" w:hAnsi="Arial" w:cs="Arial"/>
                <w:bCs/>
                <w:sz w:val="20"/>
                <w:szCs w:val="20"/>
                <w:lang w:val="en-US"/>
              </w:rPr>
              <w:t>Crenarchaeota</w:t>
            </w:r>
            <w:proofErr w:type="spellEnd"/>
            <w:r w:rsidRPr="003223B3">
              <w:rPr>
                <w:rFonts w:ascii="Arial" w:hAnsi="Arial" w:cs="Arial"/>
                <w:bCs/>
                <w:sz w:val="20"/>
                <w:szCs w:val="20"/>
                <w:lang w:val="en-US"/>
              </w:rPr>
              <w:t>)</w:t>
            </w:r>
          </w:p>
        </w:tc>
        <w:tc>
          <w:tcPr>
            <w:tcW w:w="2268" w:type="dxa"/>
          </w:tcPr>
          <w:p w:rsidR="00E93CCA" w:rsidRPr="003223B3"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Sulfolobus</w:t>
            </w:r>
            <w:proofErr w:type="spellEnd"/>
          </w:p>
        </w:tc>
        <w:tc>
          <w:tcPr>
            <w:tcW w:w="1228"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3223B3"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{"citationItems":[{"id":"ITEM-1","itemData":{"ISSN":"0026-2617","author":[{"dropping-particle":"","family":"Sokolova","given":"T G","non-dropping-particle":"","parse-names":false,"suffix":""},{"dropping-particle":"","family":"Yakimov","given":"M M","non-dropping-particle":"","parse-names":false,"suffix":""},{"dropping-particle":"","family":"Chernyh","given":"N A","non-dropping-particle":"","parse-names":false,"suffix":""},{"dropping-particle":"","family":"Lun’kova","given":"E Yu","non-dropping-particle":"","parse-names":false,"suffix":""},{"dropping-particle":"","family":"Kostrikina","given":"N A","non-dropping-particle":"","parse-names":false,"suffix":""},{"dropping-particle":"","family":"Taranov","given":"E A","non-dropping-particle":"","parse-names":false,"suffix":""},{"dropping-particle":"V","family":"Lebedinskii","given":"A","non-dropping-particle":"","parse-names":false,"suffix":""},{"dropping-particle":"","family":"Bonch-Osmolovskaya","given":"E A","non-dropping-particle":"","parse-names":false,"suffix":""}],"container-title":"Microbiology","id":"ITEM-1","issue":"5","issued":{"date-parts":[["2017"]]},"page":"539-548","publisher":"Springer","title":"Aerobic carbon monoxide oxidation in the course of growth of a hyperthermophilic archaeon, &lt;i&gt;Sulfolobus&lt;/i&gt; sp. ETSY","type":"article-journal","volume":"86"},"uris":["http://www.mendeley.com/documents/?uuid=d54758c7-7e68-4ccd-93ce-b3b2d910c032","http://www.mendeley.com/documents/?uuid=bf0d5119-3b7b-474a-b862-0133785a914e"]}],"mendeley":{"formattedCitation":"[47]","plainTextFormattedCitation":"[47]","previouslyFormattedCitation":"&lt;sup&gt;47&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[47]</w:t>
            </w:r>
            <w:r>
              <w:rPr>
                <w:rFonts w:ascii="Arial" w:hAnsi="Arial" w:cs="Arial"/>
                <w:b/>
                <w:bCs/>
                <w:sz w:val="20"/>
                <w:szCs w:val="20"/>
                <w:lang w:val="en-US"/>
              </w:rPr>
              <w:fldChar w:fldCharType="end"/>
            </w:r>
          </w:p>
        </w:tc>
        <w:tc>
          <w:tcPr>
            <w:tcW w:w="1701" w:type="dxa"/>
          </w:tcPr>
          <w:p w:rsidR="00E93CCA" w:rsidRPr="003223B3" w:rsidRDefault="00E93CCA" w:rsidP="00D409BD">
            <w:pPr>
              <w:snapToGrid w:val="0"/>
              <w:spacing w:line="360" w:lineRule="auto"/>
              <w:jc w:val="both"/>
              <w:rPr>
                <w:rFonts w:ascii="Arial" w:hAnsi="Arial" w:cs="Arial"/>
                <w:bCs/>
                <w:sz w:val="20"/>
                <w:szCs w:val="20"/>
                <w:lang w:val="en-US"/>
              </w:rPr>
            </w:pPr>
            <w:r w:rsidRPr="00177E1A">
              <w:rPr>
                <w:rFonts w:ascii="Arial" w:hAnsi="Arial" w:cs="Arial"/>
                <w:bCs/>
                <w:sz w:val="20"/>
                <w:szCs w:val="20"/>
                <w:lang w:val="en-US"/>
              </w:rPr>
              <w:t>Mixed 1</w:t>
            </w:r>
          </w:p>
        </w:tc>
      </w:tr>
      <w:tr w:rsidR="00E93CCA" w:rsidRPr="00B12147" w:rsidTr="00D409BD">
        <w:tc>
          <w:tcPr>
            <w:tcW w:w="2263" w:type="dxa"/>
            <w:vMerge/>
          </w:tcPr>
          <w:p w:rsidR="00E93CCA" w:rsidRPr="00B12147" w:rsidRDefault="00E93CCA" w:rsidP="00D409BD">
            <w:pPr>
              <w:snapToGrid w:val="0"/>
              <w:spacing w:line="360" w:lineRule="auto"/>
              <w:jc w:val="both"/>
              <w:rPr>
                <w:rFonts w:ascii="Arial" w:hAnsi="Arial" w:cs="Arial"/>
                <w:b/>
                <w:bCs/>
                <w:sz w:val="20"/>
                <w:szCs w:val="20"/>
                <w:lang w:val="en-US"/>
              </w:rPr>
            </w:pPr>
          </w:p>
        </w:tc>
        <w:tc>
          <w:tcPr>
            <w:tcW w:w="2268" w:type="dxa"/>
          </w:tcPr>
          <w:p w:rsidR="00E93CCA" w:rsidRPr="00B12147" w:rsidRDefault="00E93CCA" w:rsidP="00D409BD">
            <w:pPr>
              <w:snapToGrid w:val="0"/>
              <w:spacing w:line="360" w:lineRule="auto"/>
              <w:jc w:val="both"/>
              <w:rPr>
                <w:rFonts w:ascii="Arial" w:hAnsi="Arial" w:cs="Arial"/>
                <w:bCs/>
                <w:i/>
                <w:sz w:val="20"/>
                <w:szCs w:val="20"/>
                <w:lang w:val="en-US"/>
              </w:rPr>
            </w:pPr>
            <w:proofErr w:type="spellStart"/>
            <w:r>
              <w:rPr>
                <w:rFonts w:ascii="Arial" w:hAnsi="Arial" w:cs="Arial"/>
                <w:bCs/>
                <w:i/>
                <w:sz w:val="20"/>
                <w:szCs w:val="20"/>
                <w:lang w:val="en-US"/>
              </w:rPr>
              <w:t>Aeropyrum</w:t>
            </w:r>
            <w:proofErr w:type="spellEnd"/>
          </w:p>
        </w:tc>
        <w:tc>
          <w:tcPr>
            <w:tcW w:w="1228"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w:t>
            </w:r>
          </w:p>
        </w:tc>
        <w:tc>
          <w:tcPr>
            <w:tcW w:w="122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0919-9268","author":[{"dropping-particle":"","family":"Nishimura","given":"Hiroshi","non-dropping-particle":"","parse-names":false,"suffix":""},{"dropping-particle":"","family":"Nomura","given":"Yoshiko","non-dropping-particle":"","parse-names":false,"suffix":""},{"dropping-particle":"","family":"Iwata","given":"Eri","non-dropping-particle":"","parse-names":false,"suffix":""},{"dropping-particle":"","family":"Sato","given":"Nozomi","non-dropping-particle":"","parse-names":false,"suffix":""},{"dropping-particle":"","family":"Sako","given":"Yoshihiko","non-dropping-particle":"","parse-names":false,"suffix":""}],"container-title":"Fisheries Science","id":"ITEM-1","issue":"6","issued":{"date-parts":[["2010"]]},"page":"999-1006","publisher":"Springer","title":"Purification and characterization of carbon monoxide dehydrogenase from the aerobic hyperthermophilic archaeon &lt;i&gt;Aeropyrum pernix&lt;/i&gt;","type":"article-journal","volume":"76"},"uris":["http://www.mendeley.com/documents/?uuid=25e9a7a3-b2bb-4f7c-b3e6-1462aeccd6b7","http://www.mendeley.com/documents/?uuid=85e408fa-7051-4204-97b3-09ef80020180"]}],"mendeley":{"formattedCitation":"[46]","plainTextFormattedCitation":"[46]","previouslyFormattedCitation":"&lt;sup&gt;46&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[46]</w:t>
            </w:r>
            <w:r>
              <w:rPr>
                <w:rFonts w:ascii="Arial" w:hAnsi="Arial" w:cs="Arial"/>
                <w:b/>
                <w:bCs/>
                <w:sz w:val="20"/>
                <w:szCs w:val="20"/>
                <w:lang w:val="en-US"/>
              </w:rPr>
              <w:fldChar w:fldCharType="end"/>
            </w:r>
          </w:p>
        </w:tc>
        <w:tc>
          <w:tcPr>
            <w:tcW w:w="1701" w:type="dxa"/>
          </w:tcPr>
          <w:p w:rsidR="00E93CCA" w:rsidRPr="00B12147" w:rsidRDefault="00E93CCA" w:rsidP="00D409BD">
            <w:pPr>
              <w:snapToGrid w:val="0"/>
              <w:spacing w:line="360" w:lineRule="auto"/>
              <w:jc w:val="both"/>
              <w:rPr>
                <w:rFonts w:ascii="Arial" w:hAnsi="Arial" w:cs="Arial"/>
                <w:bCs/>
                <w:sz w:val="20"/>
                <w:szCs w:val="20"/>
                <w:lang w:val="en-US"/>
              </w:rPr>
            </w:pPr>
            <w:r w:rsidRPr="00177E1A">
              <w:rPr>
                <w:rFonts w:ascii="Arial" w:hAnsi="Arial" w:cs="Arial"/>
                <w:bCs/>
                <w:sz w:val="20"/>
                <w:szCs w:val="20"/>
                <w:lang w:val="en-US"/>
              </w:rPr>
              <w:t>Mixed 1</w:t>
            </w:r>
          </w:p>
        </w:tc>
      </w:tr>
      <w:bookmarkEnd w:id="0"/>
    </w:tbl>
    <w:p w:rsidR="00E93CCA" w:rsidRDefault="00E93CCA" w:rsidP="00E93CCA">
      <w:pPr>
        <w:spacing w:after="0" w:line="360" w:lineRule="auto"/>
        <w:jc w:val="both"/>
        <w:rPr>
          <w:rFonts w:asciiTheme="minorBidi" w:hAnsiTheme="minorBidi"/>
          <w:b/>
          <w:bCs/>
          <w:sz w:val="24"/>
          <w:szCs w:val="24"/>
          <w:lang w:val="en-US"/>
        </w:rPr>
      </w:pPr>
    </w:p>
    <w:p w:rsidR="00E93CCA" w:rsidRDefault="00E93CCA" w:rsidP="00E93CCA">
      <w:pPr>
        <w:spacing w:after="0" w:line="360" w:lineRule="auto"/>
        <w:jc w:val="both"/>
        <w:rPr>
          <w:rFonts w:asciiTheme="minorBidi" w:hAnsiTheme="minorBidi"/>
          <w:b/>
          <w:bCs/>
          <w:sz w:val="24"/>
          <w:szCs w:val="24"/>
          <w:lang w:val="en-US"/>
        </w:rPr>
        <w:sectPr w:rsidR="00E93CCA" w:rsidSect="00D438A8">
          <w:pgSz w:w="11906" w:h="16838"/>
          <w:pgMar w:top="1440" w:right="1440" w:bottom="1440" w:left="1440" w:header="709" w:footer="709" w:gutter="0"/>
          <w:lnNumType w:countBy="1" w:restart="continuous"/>
          <w:cols w:space="708"/>
          <w:docGrid w:linePitch="360"/>
        </w:sectPr>
      </w:pPr>
    </w:p>
    <w:p w:rsidR="00E93CCA" w:rsidRPr="000E49A0" w:rsidRDefault="00E93CCA" w:rsidP="00E93CCA">
      <w:pPr>
        <w:spacing w:after="0" w:line="360" w:lineRule="auto"/>
        <w:jc w:val="both"/>
        <w:rPr>
          <w:rFonts w:ascii="Arial" w:hAnsi="Arial" w:cs="Arial"/>
          <w:bCs/>
          <w:sz w:val="24"/>
          <w:szCs w:val="24"/>
          <w:lang w:val="en-US"/>
        </w:rPr>
      </w:pPr>
      <w:r w:rsidRPr="000E49A0">
        <w:rPr>
          <w:rFonts w:ascii="Arial" w:hAnsi="Arial" w:cs="Arial"/>
          <w:b/>
          <w:bCs/>
          <w:sz w:val="24"/>
          <w:szCs w:val="24"/>
          <w:lang w:val="en-US"/>
        </w:rPr>
        <w:lastRenderedPageBreak/>
        <w:t xml:space="preserve">Table </w:t>
      </w:r>
      <w:proofErr w:type="spellStart"/>
      <w:r w:rsidRPr="000E49A0">
        <w:rPr>
          <w:rFonts w:ascii="Arial" w:hAnsi="Arial" w:cs="Arial"/>
          <w:b/>
          <w:bCs/>
          <w:sz w:val="24"/>
          <w:szCs w:val="24"/>
          <w:lang w:val="en-US"/>
        </w:rPr>
        <w:t>S2</w:t>
      </w:r>
      <w:proofErr w:type="spellEnd"/>
      <w:r w:rsidRPr="000E49A0">
        <w:rPr>
          <w:rFonts w:ascii="Arial" w:hAnsi="Arial" w:cs="Arial"/>
          <w:b/>
          <w:bCs/>
          <w:sz w:val="24"/>
          <w:szCs w:val="24"/>
          <w:lang w:val="en-US"/>
        </w:rPr>
        <w:t xml:space="preserve"> (xlsx). Summary of proteome data. </w:t>
      </w:r>
      <w:r w:rsidRPr="000E49A0">
        <w:rPr>
          <w:rFonts w:ascii="Arial" w:hAnsi="Arial" w:cs="Arial"/>
          <w:bCs/>
          <w:sz w:val="24"/>
          <w:szCs w:val="24"/>
          <w:lang w:val="en-US"/>
        </w:rPr>
        <w:t xml:space="preserve">Results are shown for a shotgun proteomic experiment that compared relative protein content of three carbon-replete (mid-exponential phase) and three carbon-limited (mid-stationary phase) cultures of </w:t>
      </w:r>
      <w:r w:rsidRPr="000E49A0">
        <w:rPr>
          <w:rFonts w:ascii="Arial" w:hAnsi="Arial" w:cs="Arial"/>
          <w:bCs/>
          <w:i/>
          <w:sz w:val="24"/>
          <w:szCs w:val="24"/>
          <w:lang w:val="en-US"/>
        </w:rPr>
        <w:t>Mycobacterium smegmatis</w:t>
      </w:r>
      <w:r w:rsidRPr="000E49A0">
        <w:rPr>
          <w:rFonts w:ascii="Arial" w:hAnsi="Arial" w:cs="Arial"/>
          <w:bCs/>
          <w:sz w:val="24"/>
          <w:szCs w:val="24"/>
          <w:lang w:val="en-US"/>
        </w:rPr>
        <w:t>.</w:t>
      </w:r>
    </w:p>
    <w:p w:rsidR="00E93CCA" w:rsidRPr="000E49A0" w:rsidRDefault="00E93CCA" w:rsidP="00E93CCA">
      <w:pPr>
        <w:spacing w:after="0" w:line="360" w:lineRule="auto"/>
        <w:jc w:val="both"/>
        <w:rPr>
          <w:rFonts w:ascii="Arial" w:hAnsi="Arial" w:cs="Arial"/>
          <w:bCs/>
          <w:sz w:val="24"/>
          <w:szCs w:val="24"/>
          <w:lang w:val="en-US"/>
        </w:rPr>
      </w:pPr>
    </w:p>
    <w:p w:rsidR="00E93CCA" w:rsidRPr="000E49A0" w:rsidRDefault="00E93CCA" w:rsidP="00E93CCA">
      <w:pPr>
        <w:spacing w:after="0" w:line="360" w:lineRule="auto"/>
        <w:jc w:val="both"/>
        <w:rPr>
          <w:rFonts w:ascii="Arial" w:hAnsi="Arial" w:cs="Arial"/>
          <w:bCs/>
          <w:sz w:val="24"/>
          <w:szCs w:val="24"/>
          <w:lang w:val="en-US"/>
        </w:rPr>
      </w:pPr>
      <w:r w:rsidRPr="000E49A0">
        <w:rPr>
          <w:rFonts w:ascii="Arial" w:hAnsi="Arial" w:cs="Arial"/>
          <w:b/>
          <w:bCs/>
          <w:sz w:val="24"/>
          <w:szCs w:val="24"/>
          <w:lang w:val="en-US"/>
        </w:rPr>
        <w:t xml:space="preserve">Table </w:t>
      </w:r>
      <w:proofErr w:type="spellStart"/>
      <w:r w:rsidRPr="000E49A0">
        <w:rPr>
          <w:rFonts w:ascii="Arial" w:hAnsi="Arial" w:cs="Arial"/>
          <w:b/>
          <w:bCs/>
          <w:sz w:val="24"/>
          <w:szCs w:val="24"/>
          <w:lang w:val="en-US"/>
        </w:rPr>
        <w:t>S3</w:t>
      </w:r>
      <w:proofErr w:type="spellEnd"/>
      <w:r w:rsidRPr="000E49A0">
        <w:rPr>
          <w:rFonts w:ascii="Arial" w:hAnsi="Arial" w:cs="Arial"/>
          <w:b/>
          <w:bCs/>
          <w:sz w:val="24"/>
          <w:szCs w:val="24"/>
          <w:lang w:val="en-US"/>
        </w:rPr>
        <w:t xml:space="preserve"> (xlsx). List of carbon monoxide dehydrogenase sequences retrieved in this work.</w:t>
      </w:r>
      <w:r w:rsidRPr="000E49A0">
        <w:rPr>
          <w:rFonts w:ascii="Arial" w:hAnsi="Arial" w:cs="Arial"/>
          <w:bCs/>
          <w:sz w:val="24"/>
          <w:szCs w:val="24"/>
          <w:lang w:val="en-US"/>
        </w:rPr>
        <w:t xml:space="preserve"> A total of 709 sequences were retrieved of the form I CO dehydrogenase catalytic subunit (</w:t>
      </w:r>
      <w:proofErr w:type="spellStart"/>
      <w:r w:rsidRPr="000E49A0">
        <w:rPr>
          <w:rFonts w:ascii="Arial" w:hAnsi="Arial" w:cs="Arial"/>
          <w:bCs/>
          <w:sz w:val="24"/>
          <w:szCs w:val="24"/>
          <w:lang w:val="en-US"/>
        </w:rPr>
        <w:t>CoxL</w:t>
      </w:r>
      <w:proofErr w:type="spellEnd"/>
      <w:r w:rsidRPr="000E49A0">
        <w:rPr>
          <w:rFonts w:ascii="Arial" w:hAnsi="Arial" w:cs="Arial"/>
          <w:bCs/>
          <w:sz w:val="24"/>
          <w:szCs w:val="24"/>
          <w:lang w:val="en-US"/>
        </w:rPr>
        <w:t xml:space="preserve">). Results are provided in table and </w:t>
      </w:r>
      <w:proofErr w:type="spellStart"/>
      <w:r w:rsidRPr="000E49A0">
        <w:rPr>
          <w:rFonts w:ascii="Arial" w:hAnsi="Arial" w:cs="Arial"/>
          <w:bCs/>
          <w:sz w:val="24"/>
          <w:szCs w:val="24"/>
          <w:lang w:val="en-US"/>
        </w:rPr>
        <w:t>FASTA</w:t>
      </w:r>
      <w:proofErr w:type="spellEnd"/>
      <w:r w:rsidRPr="000E49A0">
        <w:rPr>
          <w:rFonts w:ascii="Arial" w:hAnsi="Arial" w:cs="Arial"/>
          <w:bCs/>
          <w:sz w:val="24"/>
          <w:szCs w:val="24"/>
          <w:lang w:val="en-US"/>
        </w:rPr>
        <w:t xml:space="preserve"> format. </w:t>
      </w:r>
    </w:p>
    <w:p w:rsidR="00E93CCA" w:rsidRPr="000E49A0" w:rsidRDefault="00E93CCA" w:rsidP="00E93CCA">
      <w:pPr>
        <w:tabs>
          <w:tab w:val="left" w:pos="6944"/>
        </w:tabs>
        <w:spacing w:line="360" w:lineRule="auto"/>
        <w:jc w:val="both"/>
        <w:rPr>
          <w:rFonts w:ascii="Arial" w:hAnsi="Arial" w:cs="Arial"/>
          <w:sz w:val="24"/>
          <w:szCs w:val="24"/>
          <w:lang w:val="en-US"/>
        </w:rPr>
      </w:pPr>
    </w:p>
    <w:p w:rsidR="00E93CCA" w:rsidRDefault="00E93CCA" w:rsidP="00E93CCA">
      <w:pPr>
        <w:pStyle w:val="EndNoteBibliography"/>
        <w:spacing w:after="120" w:line="360" w:lineRule="auto"/>
        <w:jc w:val="both"/>
        <w:rPr>
          <w:rFonts w:ascii="Arial" w:hAnsi="Arial" w:cs="Arial"/>
          <w:bCs/>
          <w:sz w:val="24"/>
          <w:szCs w:val="24"/>
        </w:rPr>
      </w:pPr>
      <w:r w:rsidRPr="000E49A0">
        <w:rPr>
          <w:rFonts w:ascii="Arial" w:hAnsi="Arial" w:cs="Arial"/>
          <w:b/>
          <w:bCs/>
          <w:sz w:val="24"/>
          <w:szCs w:val="24"/>
        </w:rPr>
        <w:t>Table S4.</w:t>
      </w:r>
      <w:r w:rsidRPr="000E49A0">
        <w:rPr>
          <w:rFonts w:ascii="Arial" w:hAnsi="Arial" w:cs="Arial"/>
          <w:bCs/>
          <w:sz w:val="24"/>
          <w:szCs w:val="24"/>
        </w:rPr>
        <w:t xml:space="preserve"> </w:t>
      </w:r>
      <w:r w:rsidRPr="000E49A0">
        <w:rPr>
          <w:rFonts w:ascii="Arial" w:hAnsi="Arial" w:cs="Arial"/>
          <w:b/>
          <w:bCs/>
          <w:sz w:val="24"/>
          <w:szCs w:val="24"/>
        </w:rPr>
        <w:t xml:space="preserve">Comparison of four methods to determine apparent kinetic parameters for CO oxidation for whole cells of </w:t>
      </w:r>
      <w:r w:rsidRPr="000E49A0">
        <w:rPr>
          <w:rFonts w:ascii="Arial" w:hAnsi="Arial" w:cs="Arial"/>
          <w:b/>
          <w:bCs/>
          <w:i/>
          <w:sz w:val="24"/>
          <w:szCs w:val="24"/>
        </w:rPr>
        <w:t>Mycobacterium</w:t>
      </w:r>
      <w:r w:rsidRPr="000D7429">
        <w:rPr>
          <w:rFonts w:ascii="Arial" w:hAnsi="Arial" w:cs="Arial"/>
          <w:b/>
          <w:bCs/>
          <w:i/>
          <w:sz w:val="24"/>
          <w:szCs w:val="24"/>
        </w:rPr>
        <w:t xml:space="preserve"> smegmatis</w:t>
      </w:r>
      <w:r w:rsidRPr="000D7429">
        <w:rPr>
          <w:rFonts w:ascii="Arial" w:hAnsi="Arial" w:cs="Arial"/>
          <w:b/>
          <w:bCs/>
          <w:sz w:val="24"/>
          <w:szCs w:val="24"/>
        </w:rPr>
        <w:t>.</w:t>
      </w:r>
    </w:p>
    <w:p w:rsidR="00E93CCA" w:rsidRDefault="00E93CCA" w:rsidP="00E93CCA">
      <w:pPr>
        <w:pStyle w:val="EndNoteBibliography"/>
        <w:spacing w:after="120" w:line="360" w:lineRule="auto"/>
        <w:jc w:val="both"/>
        <w:rPr>
          <w:rFonts w:ascii="Arial" w:hAnsi="Arial" w:cs="Arial"/>
          <w:bCs/>
          <w:sz w:val="24"/>
          <w:szCs w:val="24"/>
        </w:rPr>
      </w:pPr>
      <w:r>
        <w:rPr>
          <w:rFonts w:ascii="Arial" w:hAnsi="Arial" w:cs="Arial"/>
          <w:bCs/>
          <w:sz w:val="24"/>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gridCol w:w="2693"/>
      </w:tblGrid>
      <w:tr w:rsidR="00E93CCA" w:rsidRPr="00C83038" w:rsidTr="00D409BD">
        <w:tc>
          <w:tcPr>
            <w:tcW w:w="2977" w:type="dxa"/>
          </w:tcPr>
          <w:p w:rsidR="00E93CCA" w:rsidRPr="00C83038" w:rsidRDefault="00E93CCA" w:rsidP="00D409BD">
            <w:pPr>
              <w:pStyle w:val="EndNoteBibliography"/>
              <w:spacing w:after="120" w:line="360" w:lineRule="auto"/>
              <w:rPr>
                <w:rFonts w:ascii="Arial" w:hAnsi="Arial" w:cs="Arial"/>
                <w:b/>
                <w:bCs/>
                <w:sz w:val="24"/>
                <w:szCs w:val="24"/>
              </w:rPr>
            </w:pPr>
            <w:r w:rsidRPr="00C83038">
              <w:rPr>
                <w:rFonts w:ascii="Arial" w:hAnsi="Arial" w:cs="Arial"/>
                <w:b/>
                <w:bCs/>
                <w:sz w:val="24"/>
                <w:szCs w:val="24"/>
              </w:rPr>
              <w:t>Method</w:t>
            </w:r>
          </w:p>
        </w:tc>
        <w:tc>
          <w:tcPr>
            <w:tcW w:w="3402" w:type="dxa"/>
          </w:tcPr>
          <w:p w:rsidR="00E93CCA" w:rsidRPr="00C83038" w:rsidRDefault="00E93CCA" w:rsidP="00D409BD">
            <w:pPr>
              <w:pStyle w:val="EndNoteBibliography"/>
              <w:spacing w:after="120" w:line="360" w:lineRule="auto"/>
              <w:rPr>
                <w:rFonts w:ascii="Arial" w:hAnsi="Arial" w:cs="Arial"/>
                <w:b/>
                <w:bCs/>
                <w:sz w:val="24"/>
                <w:szCs w:val="24"/>
                <w:vertAlign w:val="subscript"/>
              </w:rPr>
            </w:pPr>
            <w:r w:rsidRPr="006C2983">
              <w:rPr>
                <w:rFonts w:ascii="Arial" w:hAnsi="Arial" w:cs="Arial"/>
                <w:b/>
                <w:bCs/>
                <w:i/>
                <w:sz w:val="24"/>
                <w:szCs w:val="24"/>
              </w:rPr>
              <w:t>V</w:t>
            </w:r>
            <w:r w:rsidRPr="00C83038">
              <w:rPr>
                <w:rFonts w:ascii="Arial" w:hAnsi="Arial" w:cs="Arial"/>
                <w:b/>
                <w:bCs/>
                <w:sz w:val="24"/>
                <w:szCs w:val="24"/>
                <w:vertAlign w:val="subscript"/>
              </w:rPr>
              <w:t>max app</w:t>
            </w:r>
            <w:r w:rsidRPr="00C83038">
              <w:rPr>
                <w:rFonts w:ascii="Arial" w:hAnsi="Arial" w:cs="Arial"/>
                <w:b/>
                <w:bCs/>
                <w:sz w:val="24"/>
                <w:szCs w:val="24"/>
              </w:rPr>
              <w:t xml:space="preserve"> </w:t>
            </w:r>
            <w:r>
              <w:rPr>
                <w:rFonts w:ascii="Arial" w:hAnsi="Arial" w:cs="Arial"/>
                <w:b/>
                <w:bCs/>
                <w:sz w:val="24"/>
                <w:szCs w:val="24"/>
              </w:rPr>
              <w:t xml:space="preserve">CO </w:t>
            </w:r>
            <w:r w:rsidRPr="000D7429">
              <w:rPr>
                <w:rFonts w:ascii="Arial" w:hAnsi="Arial" w:cs="Arial"/>
                <w:b/>
                <w:bCs/>
                <w:sz w:val="24"/>
                <w:szCs w:val="24"/>
              </w:rPr>
              <w:t>(nmol min g</w:t>
            </w:r>
            <w:r>
              <w:rPr>
                <w:rFonts w:ascii="Arial" w:hAnsi="Arial" w:cs="Arial"/>
                <w:b/>
                <w:bCs/>
                <w:sz w:val="24"/>
                <w:szCs w:val="24"/>
                <w:vertAlign w:val="subscript"/>
              </w:rPr>
              <w:t>dw</w:t>
            </w:r>
            <w:r w:rsidRPr="000D7429">
              <w:rPr>
                <w:rFonts w:ascii="Arial" w:hAnsi="Arial" w:cs="Arial"/>
                <w:b/>
                <w:bCs/>
                <w:sz w:val="24"/>
                <w:szCs w:val="24"/>
                <w:vertAlign w:val="superscript"/>
              </w:rPr>
              <w:t>-1</w:t>
            </w:r>
            <w:r w:rsidRPr="000D7429">
              <w:rPr>
                <w:rFonts w:ascii="Arial" w:hAnsi="Arial" w:cs="Arial"/>
                <w:b/>
                <w:bCs/>
                <w:sz w:val="24"/>
                <w:szCs w:val="24"/>
              </w:rPr>
              <w:t>)</w:t>
            </w:r>
          </w:p>
        </w:tc>
        <w:tc>
          <w:tcPr>
            <w:tcW w:w="2693" w:type="dxa"/>
          </w:tcPr>
          <w:p w:rsidR="00E93CCA" w:rsidRPr="000D7429" w:rsidRDefault="00E93CCA" w:rsidP="00D409BD">
            <w:pPr>
              <w:pStyle w:val="EndNoteBibliography"/>
              <w:spacing w:after="120" w:line="360" w:lineRule="auto"/>
              <w:rPr>
                <w:rFonts w:ascii="Arial" w:hAnsi="Arial" w:cs="Arial"/>
                <w:b/>
                <w:bCs/>
                <w:sz w:val="24"/>
                <w:szCs w:val="24"/>
              </w:rPr>
            </w:pPr>
            <w:r w:rsidRPr="00C83038">
              <w:rPr>
                <w:rFonts w:ascii="Arial" w:hAnsi="Arial" w:cs="Arial"/>
                <w:b/>
                <w:bCs/>
                <w:i/>
                <w:sz w:val="24"/>
                <w:szCs w:val="24"/>
              </w:rPr>
              <w:t>K</w:t>
            </w:r>
            <w:r w:rsidRPr="00C83038">
              <w:rPr>
                <w:rFonts w:ascii="Arial" w:hAnsi="Arial" w:cs="Arial"/>
                <w:b/>
                <w:bCs/>
                <w:sz w:val="24"/>
                <w:szCs w:val="24"/>
                <w:vertAlign w:val="subscript"/>
              </w:rPr>
              <w:t>m app</w:t>
            </w:r>
            <w:r w:rsidRPr="00C83038">
              <w:rPr>
                <w:rFonts w:ascii="Arial" w:hAnsi="Arial" w:cs="Arial"/>
                <w:b/>
                <w:bCs/>
                <w:sz w:val="24"/>
                <w:szCs w:val="24"/>
              </w:rPr>
              <w:t xml:space="preserve"> </w:t>
            </w:r>
            <w:r>
              <w:rPr>
                <w:rFonts w:ascii="Arial" w:hAnsi="Arial" w:cs="Arial"/>
                <w:b/>
                <w:bCs/>
                <w:sz w:val="24"/>
                <w:szCs w:val="24"/>
              </w:rPr>
              <w:t>CO (nM)</w:t>
            </w:r>
          </w:p>
        </w:tc>
      </w:tr>
      <w:tr w:rsidR="00E93CCA" w:rsidTr="00D409BD">
        <w:tc>
          <w:tcPr>
            <w:tcW w:w="2977"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Nonlinear regression</w:t>
            </w:r>
          </w:p>
        </w:tc>
        <w:tc>
          <w:tcPr>
            <w:tcW w:w="3402"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3.13</w:t>
            </w:r>
          </w:p>
        </w:tc>
        <w:tc>
          <w:tcPr>
            <w:tcW w:w="2693"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350</w:t>
            </w:r>
          </w:p>
        </w:tc>
      </w:tr>
      <w:tr w:rsidR="00E93CCA" w:rsidTr="00D409BD">
        <w:tc>
          <w:tcPr>
            <w:tcW w:w="2977"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Lineweaver-Burk plot</w:t>
            </w:r>
          </w:p>
        </w:tc>
        <w:tc>
          <w:tcPr>
            <w:tcW w:w="3402"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2.97</w:t>
            </w:r>
          </w:p>
        </w:tc>
        <w:tc>
          <w:tcPr>
            <w:tcW w:w="2693"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310</w:t>
            </w:r>
          </w:p>
        </w:tc>
      </w:tr>
      <w:tr w:rsidR="00E93CCA" w:rsidTr="00D409BD">
        <w:tc>
          <w:tcPr>
            <w:tcW w:w="2977"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Hanes-Woolf plot</w:t>
            </w:r>
          </w:p>
        </w:tc>
        <w:tc>
          <w:tcPr>
            <w:tcW w:w="3402"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3.08</w:t>
            </w:r>
          </w:p>
        </w:tc>
        <w:tc>
          <w:tcPr>
            <w:tcW w:w="2693"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339</w:t>
            </w:r>
          </w:p>
        </w:tc>
      </w:tr>
      <w:tr w:rsidR="00E93CCA" w:rsidTr="00D409BD">
        <w:tc>
          <w:tcPr>
            <w:tcW w:w="2977"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Eadie-Hofstee plot</w:t>
            </w:r>
          </w:p>
        </w:tc>
        <w:tc>
          <w:tcPr>
            <w:tcW w:w="3402"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2.90</w:t>
            </w:r>
          </w:p>
        </w:tc>
        <w:tc>
          <w:tcPr>
            <w:tcW w:w="2693"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291</w:t>
            </w:r>
          </w:p>
        </w:tc>
      </w:tr>
      <w:tr w:rsidR="00E93CCA" w:rsidTr="00D409BD">
        <w:tc>
          <w:tcPr>
            <w:tcW w:w="2977"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Average</w:t>
            </w:r>
          </w:p>
        </w:tc>
        <w:tc>
          <w:tcPr>
            <w:tcW w:w="3402"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3.02</w:t>
            </w:r>
          </w:p>
        </w:tc>
        <w:tc>
          <w:tcPr>
            <w:tcW w:w="2693" w:type="dxa"/>
          </w:tcPr>
          <w:p w:rsidR="00E93CCA" w:rsidRDefault="00E93CCA" w:rsidP="00D409BD">
            <w:pPr>
              <w:pStyle w:val="EndNoteBibliography"/>
              <w:spacing w:after="120" w:line="360" w:lineRule="auto"/>
              <w:rPr>
                <w:rFonts w:ascii="Arial" w:hAnsi="Arial" w:cs="Arial"/>
                <w:bCs/>
                <w:sz w:val="24"/>
                <w:szCs w:val="24"/>
              </w:rPr>
            </w:pPr>
            <w:r>
              <w:rPr>
                <w:rFonts w:ascii="Arial" w:hAnsi="Arial" w:cs="Arial"/>
                <w:bCs/>
                <w:sz w:val="24"/>
                <w:szCs w:val="24"/>
              </w:rPr>
              <w:t>323</w:t>
            </w:r>
          </w:p>
        </w:tc>
      </w:tr>
    </w:tbl>
    <w:p w:rsidR="00E93CCA" w:rsidRDefault="00E93CCA" w:rsidP="00E93CCA">
      <w:pPr>
        <w:tabs>
          <w:tab w:val="left" w:pos="6944"/>
        </w:tabs>
        <w:spacing w:line="360" w:lineRule="auto"/>
        <w:jc w:val="both"/>
        <w:rPr>
          <w:rFonts w:ascii="Arial" w:hAnsi="Arial" w:cs="Arial"/>
          <w:sz w:val="24"/>
          <w:szCs w:val="24"/>
          <w:lang w:val="en-US"/>
        </w:rPr>
      </w:pPr>
    </w:p>
    <w:p w:rsidR="00E93CCA" w:rsidRDefault="00E93CCA" w:rsidP="00E93CCA">
      <w:pPr>
        <w:tabs>
          <w:tab w:val="left" w:pos="6944"/>
        </w:tabs>
        <w:spacing w:line="360" w:lineRule="auto"/>
        <w:jc w:val="both"/>
        <w:rPr>
          <w:rFonts w:ascii="Arial" w:hAnsi="Arial" w:cs="Arial"/>
          <w:b/>
          <w:sz w:val="24"/>
          <w:szCs w:val="24"/>
          <w:lang w:val="en-US"/>
        </w:rPr>
      </w:pPr>
      <w:r>
        <w:rPr>
          <w:rFonts w:ascii="Arial" w:hAnsi="Arial" w:cs="Arial"/>
          <w:b/>
          <w:sz w:val="24"/>
          <w:szCs w:val="24"/>
          <w:lang w:val="en-US"/>
        </w:rPr>
        <w:t xml:space="preserve">Table </w:t>
      </w:r>
      <w:proofErr w:type="spellStart"/>
      <w:r>
        <w:rPr>
          <w:rFonts w:ascii="Arial" w:hAnsi="Arial" w:cs="Arial"/>
          <w:b/>
          <w:sz w:val="24"/>
          <w:szCs w:val="24"/>
          <w:lang w:val="en-US"/>
        </w:rPr>
        <w:t>S5</w:t>
      </w:r>
      <w:proofErr w:type="spellEnd"/>
      <w:r>
        <w:rPr>
          <w:rFonts w:ascii="Arial" w:hAnsi="Arial" w:cs="Arial"/>
          <w:b/>
          <w:sz w:val="24"/>
          <w:szCs w:val="24"/>
          <w:lang w:val="en-US"/>
        </w:rPr>
        <w:t xml:space="preserve"> (xlsx). Details of the metagenome and </w:t>
      </w:r>
      <w:proofErr w:type="spellStart"/>
      <w:r>
        <w:rPr>
          <w:rFonts w:ascii="Arial" w:hAnsi="Arial" w:cs="Arial"/>
          <w:b/>
          <w:sz w:val="24"/>
          <w:szCs w:val="24"/>
          <w:lang w:val="en-US"/>
        </w:rPr>
        <w:t>metatranscriptome</w:t>
      </w:r>
      <w:proofErr w:type="spellEnd"/>
      <w:r>
        <w:rPr>
          <w:rFonts w:ascii="Arial" w:hAnsi="Arial" w:cs="Arial"/>
          <w:b/>
          <w:sz w:val="24"/>
          <w:szCs w:val="24"/>
          <w:lang w:val="en-US"/>
        </w:rPr>
        <w:t xml:space="preserve"> samples analyzed in this work.</w:t>
      </w:r>
    </w:p>
    <w:p w:rsidR="00E93CCA" w:rsidRDefault="00E93CCA" w:rsidP="00E93CCA">
      <w:pPr>
        <w:tabs>
          <w:tab w:val="left" w:pos="6944"/>
        </w:tabs>
        <w:spacing w:line="360" w:lineRule="auto"/>
        <w:jc w:val="both"/>
        <w:rPr>
          <w:rFonts w:ascii="Arial" w:hAnsi="Arial" w:cs="Arial"/>
          <w:b/>
          <w:sz w:val="24"/>
          <w:szCs w:val="24"/>
          <w:lang w:val="en-US"/>
        </w:rPr>
      </w:pPr>
      <w:bookmarkStart w:id="2" w:name="_GoBack"/>
      <w:bookmarkEnd w:id="2"/>
    </w:p>
    <w:p w:rsidR="00E93CCA" w:rsidRPr="00780108" w:rsidRDefault="00E93CCA" w:rsidP="00E93CCA">
      <w:pPr>
        <w:tabs>
          <w:tab w:val="left" w:pos="6944"/>
        </w:tabs>
        <w:spacing w:line="360" w:lineRule="auto"/>
        <w:jc w:val="both"/>
        <w:rPr>
          <w:rFonts w:ascii="Arial" w:hAnsi="Arial" w:cs="Arial"/>
          <w:sz w:val="24"/>
          <w:szCs w:val="24"/>
          <w:lang w:val="en-US"/>
        </w:rPr>
        <w:sectPr w:rsidR="00E93CCA" w:rsidRPr="00780108" w:rsidSect="00D438A8">
          <w:pgSz w:w="11906" w:h="16838"/>
          <w:pgMar w:top="1440" w:right="1440" w:bottom="1440" w:left="1440" w:header="709" w:footer="709" w:gutter="0"/>
          <w:lnNumType w:countBy="1" w:restart="continuous"/>
          <w:cols w:space="708"/>
          <w:docGrid w:linePitch="360"/>
        </w:sectPr>
      </w:pPr>
      <w:r>
        <w:rPr>
          <w:rFonts w:ascii="Arial" w:hAnsi="Arial" w:cs="Arial"/>
          <w:b/>
          <w:sz w:val="24"/>
          <w:szCs w:val="24"/>
          <w:lang w:val="en-US"/>
        </w:rPr>
        <w:t xml:space="preserve">Table </w:t>
      </w:r>
      <w:proofErr w:type="spellStart"/>
      <w:r>
        <w:rPr>
          <w:rFonts w:ascii="Arial" w:hAnsi="Arial" w:cs="Arial"/>
          <w:b/>
          <w:sz w:val="24"/>
          <w:szCs w:val="24"/>
          <w:lang w:val="en-US"/>
        </w:rPr>
        <w:t>S6</w:t>
      </w:r>
      <w:proofErr w:type="spellEnd"/>
      <w:r>
        <w:rPr>
          <w:rFonts w:ascii="Arial" w:hAnsi="Arial" w:cs="Arial"/>
          <w:b/>
          <w:sz w:val="24"/>
          <w:szCs w:val="24"/>
          <w:lang w:val="en-US"/>
        </w:rPr>
        <w:t xml:space="preserve"> (xlsx). Relative abundance of carbon monoxide dehydrogenase and hydrogenase sequences in the analyzed metagenome and </w:t>
      </w:r>
      <w:proofErr w:type="spellStart"/>
      <w:r>
        <w:rPr>
          <w:rFonts w:ascii="Arial" w:hAnsi="Arial" w:cs="Arial"/>
          <w:b/>
          <w:sz w:val="24"/>
          <w:szCs w:val="24"/>
          <w:lang w:val="en-US"/>
        </w:rPr>
        <w:t>metatranscriptome</w:t>
      </w:r>
      <w:proofErr w:type="spellEnd"/>
      <w:r>
        <w:rPr>
          <w:rFonts w:ascii="Arial" w:hAnsi="Arial" w:cs="Arial"/>
          <w:b/>
          <w:sz w:val="24"/>
          <w:szCs w:val="24"/>
          <w:lang w:val="en-US"/>
        </w:rPr>
        <w:t xml:space="preserve"> datasets. </w:t>
      </w:r>
      <w:r>
        <w:rPr>
          <w:rFonts w:ascii="Arial" w:hAnsi="Arial" w:cs="Arial"/>
          <w:sz w:val="24"/>
          <w:szCs w:val="24"/>
          <w:lang w:val="en-US"/>
        </w:rPr>
        <w:t>The relative abundance of CO dehydrogenase large subunit gene is shown by clade. The relative abundance of the hydrogenase large subunit genes, divided by subgroup, is also shown for comparison.</w:t>
      </w:r>
    </w:p>
    <w:p w:rsidR="00E93CCA" w:rsidRDefault="00E93CCA" w:rsidP="00E93CCA">
      <w:pPr>
        <w:tabs>
          <w:tab w:val="left" w:pos="6944"/>
        </w:tabs>
        <w:rPr>
          <w:rFonts w:ascii="Arial" w:hAnsi="Arial" w:cs="Arial"/>
          <w:b/>
          <w:sz w:val="24"/>
          <w:szCs w:val="24"/>
          <w:lang w:val="en-US"/>
        </w:rPr>
      </w:pPr>
      <w:r>
        <w:rPr>
          <w:rFonts w:ascii="Arial" w:hAnsi="Arial" w:cs="Arial"/>
          <w:b/>
          <w:sz w:val="24"/>
          <w:szCs w:val="24"/>
          <w:lang w:val="en-US"/>
        </w:rPr>
        <w:lastRenderedPageBreak/>
        <w:t xml:space="preserve">Table </w:t>
      </w:r>
      <w:proofErr w:type="spellStart"/>
      <w:r>
        <w:rPr>
          <w:rFonts w:ascii="Arial" w:hAnsi="Arial" w:cs="Arial"/>
          <w:b/>
          <w:sz w:val="24"/>
          <w:szCs w:val="24"/>
          <w:lang w:val="en-US"/>
        </w:rPr>
        <w:t>S7</w:t>
      </w:r>
      <w:proofErr w:type="spellEnd"/>
      <w:r w:rsidRPr="00566A5A">
        <w:rPr>
          <w:rFonts w:ascii="Arial" w:hAnsi="Arial" w:cs="Arial"/>
          <w:b/>
          <w:sz w:val="24"/>
          <w:szCs w:val="24"/>
          <w:lang w:val="en-US"/>
        </w:rPr>
        <w:t xml:space="preserve">. List of bacterial strains </w:t>
      </w:r>
      <w:r>
        <w:rPr>
          <w:rFonts w:ascii="Arial" w:hAnsi="Arial" w:cs="Arial"/>
          <w:b/>
          <w:sz w:val="24"/>
          <w:szCs w:val="24"/>
          <w:lang w:val="en-US"/>
        </w:rPr>
        <w:t xml:space="preserve">and plasmids </w:t>
      </w:r>
      <w:r w:rsidRPr="00566A5A">
        <w:rPr>
          <w:rFonts w:ascii="Arial" w:hAnsi="Arial" w:cs="Arial"/>
          <w:b/>
          <w:sz w:val="24"/>
          <w:szCs w:val="24"/>
          <w:lang w:val="en-US"/>
        </w:rPr>
        <w:t>used in this wor</w:t>
      </w:r>
      <w:r>
        <w:rPr>
          <w:rFonts w:ascii="Arial" w:hAnsi="Arial" w:cs="Arial"/>
          <w:b/>
          <w:sz w:val="24"/>
          <w:szCs w:val="24"/>
          <w:lang w:val="en-US"/>
        </w:rPr>
        <w:t>k.</w:t>
      </w:r>
    </w:p>
    <w:p w:rsidR="00E93CCA" w:rsidRDefault="00E93CCA" w:rsidP="00E93CCA">
      <w:pPr>
        <w:tabs>
          <w:tab w:val="left" w:pos="6944"/>
        </w:tabs>
        <w:rPr>
          <w:rFonts w:ascii="Arial" w:hAnsi="Arial" w:cs="Arial"/>
          <w:b/>
          <w:sz w:val="24"/>
          <w:szCs w:val="24"/>
          <w:lang w:val="en-U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954"/>
        <w:gridCol w:w="1559"/>
      </w:tblGrid>
      <w:tr w:rsidR="00E93CCA" w:rsidRPr="00B12147" w:rsidTr="00D409BD">
        <w:trPr>
          <w:trHeight w:val="333"/>
        </w:trPr>
        <w:tc>
          <w:tcPr>
            <w:tcW w:w="1843"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Name</w:t>
            </w:r>
          </w:p>
        </w:tc>
        <w:tc>
          <w:tcPr>
            <w:tcW w:w="5954"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Description</w:t>
            </w:r>
          </w:p>
        </w:tc>
        <w:tc>
          <w:tcPr>
            <w:tcW w:w="1559"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Reference</w:t>
            </w:r>
          </w:p>
        </w:tc>
      </w:tr>
      <w:tr w:rsidR="00E93CCA" w:rsidRPr="00B12147" w:rsidTr="00D409BD">
        <w:trPr>
          <w:trHeight w:val="343"/>
        </w:trPr>
        <w:tc>
          <w:tcPr>
            <w:tcW w:w="1843" w:type="dxa"/>
          </w:tcPr>
          <w:p w:rsidR="00E93CCA" w:rsidRPr="008F2BF6" w:rsidRDefault="00E93CCA" w:rsidP="00D409BD">
            <w:pPr>
              <w:snapToGrid w:val="0"/>
              <w:spacing w:line="360" w:lineRule="auto"/>
              <w:jc w:val="both"/>
              <w:rPr>
                <w:rFonts w:ascii="Arial" w:hAnsi="Arial" w:cs="Arial"/>
                <w:bCs/>
                <w:i/>
                <w:sz w:val="20"/>
                <w:szCs w:val="20"/>
                <w:lang w:val="en-US"/>
              </w:rPr>
            </w:pPr>
          </w:p>
        </w:tc>
        <w:tc>
          <w:tcPr>
            <w:tcW w:w="5954" w:type="dxa"/>
          </w:tcPr>
          <w:p w:rsidR="00E93CCA" w:rsidRPr="00B12147" w:rsidRDefault="00E93CCA" w:rsidP="00D409BD">
            <w:pPr>
              <w:snapToGrid w:val="0"/>
              <w:spacing w:line="360" w:lineRule="auto"/>
              <w:jc w:val="both"/>
              <w:rPr>
                <w:rFonts w:ascii="Arial" w:hAnsi="Arial" w:cs="Arial"/>
                <w:bCs/>
                <w:i/>
                <w:sz w:val="20"/>
                <w:szCs w:val="20"/>
                <w:lang w:val="en-US"/>
              </w:rPr>
            </w:pPr>
          </w:p>
        </w:tc>
        <w:tc>
          <w:tcPr>
            <w:tcW w:w="1559" w:type="dxa"/>
          </w:tcPr>
          <w:p w:rsidR="00E93CCA" w:rsidRDefault="00E93CCA" w:rsidP="00D409BD">
            <w:pPr>
              <w:snapToGrid w:val="0"/>
              <w:spacing w:line="360" w:lineRule="auto"/>
              <w:jc w:val="both"/>
              <w:rPr>
                <w:rFonts w:ascii="Arial" w:hAnsi="Arial" w:cs="Arial"/>
                <w:bCs/>
                <w:sz w:val="20"/>
                <w:szCs w:val="20"/>
                <w:lang w:val="en-US"/>
              </w:rPr>
            </w:pPr>
          </w:p>
        </w:tc>
      </w:tr>
      <w:tr w:rsidR="00E93CCA" w:rsidTr="00D409BD">
        <w:trPr>
          <w:trHeight w:val="333"/>
        </w:trPr>
        <w:tc>
          <w:tcPr>
            <w:tcW w:w="7797" w:type="dxa"/>
            <w:gridSpan w:val="2"/>
          </w:tcPr>
          <w:p w:rsidR="00E93CCA" w:rsidRPr="00595854" w:rsidRDefault="00E93CCA" w:rsidP="00D409BD">
            <w:pPr>
              <w:snapToGrid w:val="0"/>
              <w:spacing w:line="360" w:lineRule="auto"/>
              <w:jc w:val="both"/>
              <w:rPr>
                <w:rFonts w:ascii="Arial" w:hAnsi="Arial" w:cs="Arial"/>
                <w:b/>
                <w:bCs/>
                <w:i/>
                <w:sz w:val="20"/>
                <w:szCs w:val="20"/>
                <w:lang w:val="en-US"/>
              </w:rPr>
            </w:pPr>
            <w:r w:rsidRPr="00595854">
              <w:rPr>
                <w:rFonts w:ascii="Arial" w:hAnsi="Arial" w:cs="Arial"/>
                <w:b/>
                <w:bCs/>
                <w:i/>
                <w:sz w:val="20"/>
                <w:szCs w:val="20"/>
                <w:lang w:val="en-US"/>
              </w:rPr>
              <w:t>Mycobacterium smegmatis</w:t>
            </w:r>
          </w:p>
        </w:tc>
        <w:tc>
          <w:tcPr>
            <w:tcW w:w="1559" w:type="dxa"/>
          </w:tcPr>
          <w:p w:rsidR="00E93CCA" w:rsidRDefault="00E93CCA" w:rsidP="00D409BD">
            <w:pPr>
              <w:snapToGrid w:val="0"/>
              <w:spacing w:line="360" w:lineRule="auto"/>
              <w:jc w:val="both"/>
              <w:rPr>
                <w:rFonts w:ascii="Arial" w:hAnsi="Arial" w:cs="Arial"/>
                <w:b/>
                <w:bCs/>
                <w:sz w:val="20"/>
                <w:szCs w:val="20"/>
                <w:lang w:val="en-US"/>
              </w:rPr>
            </w:pPr>
          </w:p>
        </w:tc>
      </w:tr>
      <w:tr w:rsidR="00E93CCA" w:rsidRPr="00FF06CF" w:rsidTr="00D409BD">
        <w:trPr>
          <w:trHeight w:val="333"/>
        </w:trPr>
        <w:tc>
          <w:tcPr>
            <w:tcW w:w="1843" w:type="dxa"/>
          </w:tcPr>
          <w:p w:rsidR="00E93CCA" w:rsidRPr="008F2BF6"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sz w:val="20"/>
                <w:szCs w:val="20"/>
                <w:lang w:val="en-US"/>
              </w:rPr>
              <w:t>mc</w:t>
            </w:r>
            <w:r>
              <w:rPr>
                <w:rFonts w:ascii="Arial" w:hAnsi="Arial" w:cs="Arial"/>
                <w:bCs/>
                <w:sz w:val="20"/>
                <w:szCs w:val="20"/>
                <w:vertAlign w:val="superscript"/>
                <w:lang w:val="en-US"/>
              </w:rPr>
              <w:t>2</w:t>
            </w:r>
            <w:r>
              <w:rPr>
                <w:rFonts w:ascii="Arial" w:hAnsi="Arial" w:cs="Arial"/>
                <w:bCs/>
                <w:sz w:val="20"/>
                <w:szCs w:val="20"/>
                <w:lang w:val="en-US"/>
              </w:rPr>
              <w:t>155</w:t>
            </w:r>
            <w:proofErr w:type="spellEnd"/>
          </w:p>
        </w:tc>
        <w:tc>
          <w:tcPr>
            <w:tcW w:w="5954" w:type="dxa"/>
          </w:tcPr>
          <w:p w:rsidR="00E93CCA" w:rsidRPr="000F4105" w:rsidRDefault="00E93CCA" w:rsidP="00D409BD">
            <w:pPr>
              <w:snapToGrid w:val="0"/>
              <w:spacing w:line="360" w:lineRule="auto"/>
              <w:jc w:val="both"/>
              <w:rPr>
                <w:rFonts w:ascii="Arial" w:hAnsi="Arial" w:cs="Arial"/>
                <w:b/>
                <w:bCs/>
                <w:sz w:val="20"/>
                <w:szCs w:val="20"/>
                <w:lang w:val="en-US"/>
              </w:rPr>
            </w:pPr>
            <w:proofErr w:type="spellStart"/>
            <w:r w:rsidRPr="000F4105">
              <w:rPr>
                <w:rFonts w:ascii="Arial" w:hAnsi="Arial" w:cs="Arial"/>
                <w:bCs/>
                <w:i/>
                <w:sz w:val="20"/>
                <w:szCs w:val="20"/>
                <w:lang w:val="en-US"/>
              </w:rPr>
              <w:t>ept</w:t>
            </w:r>
            <w:proofErr w:type="spellEnd"/>
            <w:r w:rsidRPr="000F4105">
              <w:rPr>
                <w:rFonts w:ascii="Arial" w:hAnsi="Arial" w:cs="Arial"/>
                <w:bCs/>
                <w:i/>
                <w:sz w:val="20"/>
                <w:szCs w:val="20"/>
                <w:lang w:val="en-US"/>
              </w:rPr>
              <w:t>-1</w:t>
            </w:r>
            <w:r w:rsidRPr="000F4105">
              <w:rPr>
                <w:rFonts w:ascii="Arial" w:hAnsi="Arial" w:cs="Arial"/>
                <w:bCs/>
                <w:sz w:val="20"/>
                <w:szCs w:val="20"/>
                <w:lang w:val="en-US"/>
              </w:rPr>
              <w:t xml:space="preserve">, </w:t>
            </w:r>
            <w:r>
              <w:rPr>
                <w:rFonts w:ascii="Arial" w:hAnsi="Arial" w:cs="Arial"/>
                <w:bCs/>
                <w:sz w:val="20"/>
                <w:szCs w:val="20"/>
                <w:lang w:val="en-US"/>
              </w:rPr>
              <w:t xml:space="preserve">efficient plasmid transformation mutant of </w:t>
            </w:r>
            <w:proofErr w:type="spellStart"/>
            <w:r>
              <w:rPr>
                <w:rFonts w:ascii="Arial" w:hAnsi="Arial" w:cs="Arial"/>
                <w:bCs/>
                <w:sz w:val="20"/>
                <w:szCs w:val="20"/>
                <w:lang w:val="en-US"/>
              </w:rPr>
              <w:t>mc</w:t>
            </w:r>
            <w:r>
              <w:rPr>
                <w:rFonts w:ascii="Arial" w:hAnsi="Arial" w:cs="Arial"/>
                <w:bCs/>
                <w:sz w:val="20"/>
                <w:szCs w:val="20"/>
                <w:vertAlign w:val="superscript"/>
                <w:lang w:val="en-US"/>
              </w:rPr>
              <w:t>2</w:t>
            </w:r>
            <w:r>
              <w:rPr>
                <w:rFonts w:ascii="Arial" w:hAnsi="Arial" w:cs="Arial"/>
                <w:bCs/>
                <w:sz w:val="20"/>
                <w:szCs w:val="20"/>
                <w:lang w:val="en-US"/>
              </w:rPr>
              <w:t>6</w:t>
            </w:r>
            <w:proofErr w:type="spellEnd"/>
          </w:p>
        </w:tc>
        <w:tc>
          <w:tcPr>
            <w:tcW w:w="1559" w:type="dxa"/>
          </w:tcPr>
          <w:p w:rsidR="00E93CCA" w:rsidRPr="00FF06CF"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{"citationItems":[{"id":"ITEM-1","itemData":{"ISSN":"0950-382X (Print)","PMID":"2082148","abstract":"Recent development of vectors and methodologies to introduce recombinant DNA into members of the genus Mycobacterium has provided new approaches for investigating these important bacteria. While most pathogenic mycobacteria are slow-growing, Mycobacterium smegmatis is a fast-growing, non-pathogenic species that has been used for many years as a host for mycobacteriophage propagation and, recently, as a host for the introduction of recombinant DNA. Its use as a cloning host for the analysis of mycobacterial genes has been limited by its inability to be efficiently transformed with plasmid vectors. This work describes the isolation and characterization of mutants of M. smegmatis that can be transformed, using electroporation, at efficiencies 10(4) to 10(5) times greater than those of the parent strain, yielding more than 10(5) transformants per microgram of plasmid DNA. The mutations conferring this efficient plasmid transformation (Ept) phenotype do not affect phage transfection or the integration of DNA into the M. smegmatis chromosome, but seem to be specific for plasmid transformation. Such Ept mutants have been used to characterize plasmid DNA sequences essential for replication of the Mycobacterium fortuitum plasmid pAL5000 in mycobacteria by permitting the transformation of a library of hybrid plasmid constructs. Efficient plasmid transformation of M. smegmatis will facilitate the analysis of mycobacterial gene function, expression and replication and thus aid in the development of BCG as a multivalent recombinant vaccine vector and in the genetic analysis of the virulence determinants of pathogenic mycobacteria.","author":[{"dropping-particle":"","family":"Snapper","given":"S B","non-dropping-particle":"","parse-names":false,"suffix":""},{"dropping-particle":"","family":"Melton","given":"R E","non-dropping-particle":"","parse-names":false,"suffix":""},{"dropping-particle":"","family":"Mustafa","given":"S","non-dropping-particle":"","parse-names":false,"suffix":""},{"dropping-particle":"","family":"Kieser","given":"T","non-dropping-particle":"","parse-names":false,"suffix":""},{"dropping-particle":"","family":"Jacobs","given":"W R Jr","non-dropping-particle":"","parse-names":false,"suffix":""}],"container-title":"Molecular Microbiology","id":"ITEM-1","issue":"11","issued":{"date-parts":[["1990","11"]]},"language":"eng","page":"1911-1919","publisher-place":"ENGLAND","title":"Isolation and characterization of efficient plasmid transformation mutants of &lt;i&gt;Mycobacterium smegmatis&lt;/i&gt;.","type":"article-journal","volume":"4"},"uris":["http://www.mendeley.com/documents/?uuid=2921a9cb-7d6b-4be0-aa38-f5a57385c899"]}],"mendeley":{"formattedCitation":"[66]","plainTextFormattedCitation":"[66]","previouslyFormattedCitation":"&lt;sup&gt;72&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[66]</w:t>
            </w:r>
            <w:r>
              <w:rPr>
                <w:rFonts w:ascii="Arial" w:hAnsi="Arial" w:cs="Arial"/>
                <w:b/>
                <w:bCs/>
                <w:sz w:val="20"/>
                <w:szCs w:val="20"/>
                <w:lang w:val="en-US"/>
              </w:rPr>
              <w:fldChar w:fldCharType="end"/>
            </w:r>
          </w:p>
        </w:tc>
      </w:tr>
      <w:tr w:rsidR="00E93CCA" w:rsidRPr="00FF06CF" w:rsidTr="00D409BD">
        <w:trPr>
          <w:trHeight w:val="333"/>
        </w:trPr>
        <w:tc>
          <w:tcPr>
            <w:tcW w:w="1843" w:type="dxa"/>
          </w:tcPr>
          <w:p w:rsidR="00E93CCA" w:rsidRPr="008F2BF6"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sz w:val="20"/>
                <w:szCs w:val="20"/>
                <w:lang w:val="en-US"/>
              </w:rPr>
              <w:t>Δ</w:t>
            </w:r>
            <w:r>
              <w:rPr>
                <w:rFonts w:ascii="Arial" w:hAnsi="Arial" w:cs="Arial"/>
                <w:bCs/>
                <w:i/>
                <w:sz w:val="20"/>
                <w:szCs w:val="20"/>
                <w:lang w:val="en-US"/>
              </w:rPr>
              <w:t>coxL</w:t>
            </w:r>
            <w:proofErr w:type="spellEnd"/>
          </w:p>
        </w:tc>
        <w:tc>
          <w:tcPr>
            <w:tcW w:w="5954" w:type="dxa"/>
          </w:tcPr>
          <w:p w:rsidR="00E93CCA" w:rsidRPr="008F2BF6"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sz w:val="20"/>
                <w:szCs w:val="20"/>
                <w:lang w:val="en-US"/>
              </w:rPr>
              <w:t>mc</w:t>
            </w:r>
            <w:r>
              <w:rPr>
                <w:rFonts w:ascii="Arial" w:hAnsi="Arial" w:cs="Arial"/>
                <w:bCs/>
                <w:sz w:val="20"/>
                <w:szCs w:val="20"/>
                <w:vertAlign w:val="superscript"/>
                <w:lang w:val="en-US"/>
              </w:rPr>
              <w:t>2</w:t>
            </w:r>
            <w:r>
              <w:rPr>
                <w:rFonts w:ascii="Arial" w:hAnsi="Arial" w:cs="Arial"/>
                <w:bCs/>
                <w:sz w:val="20"/>
                <w:szCs w:val="20"/>
                <w:lang w:val="en-US"/>
              </w:rPr>
              <w:t>155</w:t>
            </w:r>
            <w:proofErr w:type="spellEnd"/>
            <w:r>
              <w:rPr>
                <w:rFonts w:ascii="Arial" w:hAnsi="Arial" w:cs="Arial"/>
                <w:bCs/>
                <w:sz w:val="20"/>
                <w:szCs w:val="20"/>
                <w:lang w:val="en-US"/>
              </w:rPr>
              <w:t xml:space="preserve"> with </w:t>
            </w:r>
            <w:proofErr w:type="spellStart"/>
            <w:r>
              <w:rPr>
                <w:rFonts w:ascii="Arial" w:hAnsi="Arial" w:cs="Arial"/>
                <w:bCs/>
                <w:sz w:val="20"/>
                <w:szCs w:val="20"/>
                <w:lang w:val="en-US"/>
              </w:rPr>
              <w:t>markerless</w:t>
            </w:r>
            <w:proofErr w:type="spellEnd"/>
            <w:r>
              <w:rPr>
                <w:rFonts w:ascii="Arial" w:hAnsi="Arial" w:cs="Arial"/>
                <w:bCs/>
                <w:sz w:val="20"/>
                <w:szCs w:val="20"/>
                <w:lang w:val="en-US"/>
              </w:rPr>
              <w:t xml:space="preserve"> deletion in </w:t>
            </w:r>
            <w:proofErr w:type="spellStart"/>
            <w:r>
              <w:rPr>
                <w:rFonts w:ascii="Arial" w:hAnsi="Arial" w:cs="Arial"/>
                <w:bCs/>
                <w:i/>
                <w:sz w:val="20"/>
                <w:szCs w:val="20"/>
                <w:lang w:val="en-US"/>
              </w:rPr>
              <w:t>coxL</w:t>
            </w:r>
            <w:proofErr w:type="spellEnd"/>
            <w:r>
              <w:rPr>
                <w:rFonts w:ascii="Arial" w:hAnsi="Arial" w:cs="Arial"/>
                <w:bCs/>
                <w:i/>
                <w:sz w:val="20"/>
                <w:szCs w:val="20"/>
                <w:lang w:val="en-US"/>
              </w:rPr>
              <w:t xml:space="preserve"> </w:t>
            </w:r>
            <w:r>
              <w:rPr>
                <w:rFonts w:ascii="Arial" w:hAnsi="Arial" w:cs="Arial"/>
                <w:bCs/>
                <w:sz w:val="20"/>
                <w:szCs w:val="20"/>
                <w:lang w:val="en-US"/>
              </w:rPr>
              <w:t>gene (</w:t>
            </w:r>
            <w:proofErr w:type="spellStart"/>
            <w:r w:rsidRPr="000F4105">
              <w:rPr>
                <w:rFonts w:ascii="Arial" w:hAnsi="Arial" w:cs="Arial"/>
                <w:bCs/>
                <w:sz w:val="20"/>
                <w:szCs w:val="20"/>
                <w:lang w:val="en-US"/>
              </w:rPr>
              <w:t>MSMEG_0746</w:t>
            </w:r>
            <w:proofErr w:type="spellEnd"/>
            <w:r>
              <w:rPr>
                <w:rFonts w:ascii="Arial" w:hAnsi="Arial" w:cs="Arial"/>
                <w:bCs/>
                <w:sz w:val="20"/>
                <w:szCs w:val="20"/>
                <w:lang w:val="en-US"/>
              </w:rPr>
              <w:t>)</w:t>
            </w:r>
          </w:p>
        </w:tc>
        <w:tc>
          <w:tcPr>
            <w:tcW w:w="1559" w:type="dxa"/>
          </w:tcPr>
          <w:p w:rsidR="00E93CCA" w:rsidRPr="002E3C9A" w:rsidRDefault="00E93CCA" w:rsidP="00D409BD">
            <w:pPr>
              <w:snapToGrid w:val="0"/>
              <w:spacing w:line="360" w:lineRule="auto"/>
              <w:jc w:val="both"/>
              <w:rPr>
                <w:rFonts w:ascii="Arial" w:hAnsi="Arial" w:cs="Arial"/>
                <w:sz w:val="20"/>
                <w:szCs w:val="20"/>
                <w:lang w:val="en-US"/>
              </w:rPr>
            </w:pPr>
            <w:r w:rsidRPr="002E3C9A">
              <w:rPr>
                <w:rFonts w:ascii="Arial" w:hAnsi="Arial" w:cs="Arial"/>
                <w:sz w:val="20"/>
                <w:szCs w:val="20"/>
                <w:lang w:val="en-US"/>
              </w:rPr>
              <w:t>This work</w:t>
            </w:r>
          </w:p>
        </w:tc>
      </w:tr>
      <w:tr w:rsidR="00E93CCA" w:rsidRPr="00B12147" w:rsidTr="00D409BD">
        <w:trPr>
          <w:trHeight w:val="333"/>
        </w:trPr>
        <w:tc>
          <w:tcPr>
            <w:tcW w:w="7797" w:type="dxa"/>
            <w:gridSpan w:val="2"/>
          </w:tcPr>
          <w:p w:rsidR="00E93CCA" w:rsidRDefault="00E93CCA" w:rsidP="00D409BD">
            <w:pPr>
              <w:snapToGrid w:val="0"/>
              <w:spacing w:line="360" w:lineRule="auto"/>
              <w:jc w:val="both"/>
              <w:rPr>
                <w:rFonts w:ascii="Arial" w:hAnsi="Arial" w:cs="Arial"/>
                <w:bCs/>
                <w:i/>
                <w:sz w:val="20"/>
                <w:szCs w:val="20"/>
                <w:lang w:val="en-US"/>
              </w:rPr>
            </w:pPr>
          </w:p>
        </w:tc>
        <w:tc>
          <w:tcPr>
            <w:tcW w:w="1559" w:type="dxa"/>
          </w:tcPr>
          <w:p w:rsidR="00E93CCA" w:rsidRDefault="00E93CCA" w:rsidP="00D409BD">
            <w:pPr>
              <w:snapToGrid w:val="0"/>
              <w:spacing w:line="360" w:lineRule="auto"/>
              <w:jc w:val="both"/>
              <w:rPr>
                <w:rFonts w:ascii="Arial" w:hAnsi="Arial" w:cs="Arial"/>
                <w:b/>
                <w:bCs/>
                <w:sz w:val="20"/>
                <w:szCs w:val="20"/>
                <w:lang w:val="en-US"/>
              </w:rPr>
            </w:pPr>
          </w:p>
        </w:tc>
      </w:tr>
      <w:tr w:rsidR="00E93CCA" w:rsidRPr="00B12147" w:rsidTr="00D409BD">
        <w:trPr>
          <w:trHeight w:val="333"/>
        </w:trPr>
        <w:tc>
          <w:tcPr>
            <w:tcW w:w="7797" w:type="dxa"/>
            <w:gridSpan w:val="2"/>
          </w:tcPr>
          <w:p w:rsidR="00E93CCA" w:rsidRPr="00595854" w:rsidRDefault="00E93CCA" w:rsidP="00D409BD">
            <w:pPr>
              <w:snapToGrid w:val="0"/>
              <w:spacing w:line="360" w:lineRule="auto"/>
              <w:jc w:val="both"/>
              <w:rPr>
                <w:rFonts w:ascii="Arial" w:hAnsi="Arial" w:cs="Arial"/>
                <w:b/>
                <w:bCs/>
                <w:i/>
                <w:sz w:val="20"/>
                <w:szCs w:val="20"/>
                <w:lang w:val="en-US"/>
              </w:rPr>
            </w:pPr>
            <w:r w:rsidRPr="00595854">
              <w:rPr>
                <w:rFonts w:ascii="Arial" w:hAnsi="Arial" w:cs="Arial"/>
                <w:b/>
                <w:bCs/>
                <w:i/>
                <w:sz w:val="20"/>
                <w:szCs w:val="20"/>
                <w:lang w:val="en-US"/>
              </w:rPr>
              <w:t>Escherichia coli</w:t>
            </w:r>
          </w:p>
        </w:tc>
        <w:tc>
          <w:tcPr>
            <w:tcW w:w="1559" w:type="dxa"/>
          </w:tcPr>
          <w:p w:rsidR="00E93CCA" w:rsidRDefault="00E93CCA" w:rsidP="00D409BD">
            <w:pPr>
              <w:snapToGrid w:val="0"/>
              <w:spacing w:line="360" w:lineRule="auto"/>
              <w:jc w:val="both"/>
              <w:rPr>
                <w:rFonts w:ascii="Arial" w:hAnsi="Arial" w:cs="Arial"/>
                <w:b/>
                <w:bCs/>
                <w:sz w:val="20"/>
                <w:szCs w:val="20"/>
                <w:lang w:val="en-US"/>
              </w:rPr>
            </w:pPr>
          </w:p>
        </w:tc>
      </w:tr>
      <w:tr w:rsidR="00E93CCA" w:rsidRPr="00B12147" w:rsidTr="00D409BD">
        <w:trPr>
          <w:trHeight w:val="333"/>
        </w:trPr>
        <w:tc>
          <w:tcPr>
            <w:tcW w:w="1843" w:type="dxa"/>
          </w:tcPr>
          <w:p w:rsidR="00E93CCA" w:rsidRPr="008F2BF6" w:rsidRDefault="00E93CCA" w:rsidP="00D409BD">
            <w:pPr>
              <w:snapToGrid w:val="0"/>
              <w:spacing w:line="360" w:lineRule="auto"/>
              <w:jc w:val="both"/>
              <w:rPr>
                <w:rFonts w:ascii="Arial" w:hAnsi="Arial" w:cs="Arial"/>
                <w:b/>
                <w:bCs/>
                <w:sz w:val="20"/>
                <w:szCs w:val="20"/>
                <w:lang w:val="en-US"/>
              </w:rPr>
            </w:pPr>
            <w:proofErr w:type="spellStart"/>
            <w:r>
              <w:rPr>
                <w:rFonts w:ascii="Arial" w:hAnsi="Arial" w:cs="Arial"/>
                <w:bCs/>
                <w:sz w:val="20"/>
                <w:szCs w:val="20"/>
                <w:lang w:val="en-US"/>
              </w:rPr>
              <w:t>TOP10</w:t>
            </w:r>
            <w:proofErr w:type="spellEnd"/>
          </w:p>
        </w:tc>
        <w:tc>
          <w:tcPr>
            <w:tcW w:w="5954" w:type="dxa"/>
          </w:tcPr>
          <w:p w:rsidR="00E93CCA" w:rsidRPr="000F4105" w:rsidRDefault="00E93CCA" w:rsidP="00D409BD">
            <w:pPr>
              <w:rPr>
                <w:rFonts w:ascii="Arial" w:hAnsi="Arial" w:cs="Arial"/>
                <w:b/>
                <w:bCs/>
                <w:sz w:val="20"/>
                <w:szCs w:val="20"/>
                <w:lang w:val="en-US"/>
              </w:rPr>
            </w:pPr>
            <w:r w:rsidRPr="000F4105">
              <w:rPr>
                <w:rFonts w:ascii="Arial" w:hAnsi="Arial" w:cs="Arial"/>
                <w:color w:val="333333"/>
                <w:sz w:val="20"/>
                <w:szCs w:val="20"/>
                <w:shd w:val="clear" w:color="auto" w:fill="FFFFFF"/>
              </w:rPr>
              <w:t>F- </w:t>
            </w:r>
            <w:proofErr w:type="spellStart"/>
            <w:r w:rsidRPr="000F4105">
              <w:rPr>
                <w:rFonts w:ascii="Arial" w:hAnsi="Arial" w:cs="Arial"/>
                <w:i/>
                <w:iCs/>
                <w:color w:val="333333"/>
                <w:sz w:val="20"/>
                <w:szCs w:val="20"/>
                <w:shd w:val="clear" w:color="auto" w:fill="FFFFFF"/>
              </w:rPr>
              <w:t>mcrA</w:t>
            </w:r>
            <w:proofErr w:type="spellEnd"/>
            <w:r w:rsidRPr="000F4105">
              <w:rPr>
                <w:rFonts w:ascii="Arial" w:hAnsi="Arial" w:cs="Arial"/>
                <w:color w:val="333333"/>
                <w:sz w:val="20"/>
                <w:szCs w:val="20"/>
                <w:shd w:val="clear" w:color="auto" w:fill="FFFFFF"/>
              </w:rPr>
              <w:t> </w:t>
            </w:r>
            <w:proofErr w:type="gramStart"/>
            <w:r w:rsidRPr="000F4105">
              <w:rPr>
                <w:rFonts w:ascii="Arial" w:hAnsi="Arial" w:cs="Arial"/>
                <w:color w:val="333333"/>
                <w:sz w:val="20"/>
                <w:szCs w:val="20"/>
                <w:shd w:val="clear" w:color="auto" w:fill="FFFFFF"/>
              </w:rPr>
              <w:t>Δ( </w:t>
            </w:r>
            <w:proofErr w:type="spellStart"/>
            <w:r w:rsidRPr="000F4105">
              <w:rPr>
                <w:rFonts w:ascii="Arial" w:hAnsi="Arial" w:cs="Arial"/>
                <w:i/>
                <w:iCs/>
                <w:color w:val="333333"/>
                <w:sz w:val="20"/>
                <w:szCs w:val="20"/>
                <w:shd w:val="clear" w:color="auto" w:fill="FFFFFF"/>
              </w:rPr>
              <w:t>mrr</w:t>
            </w:r>
            <w:proofErr w:type="gramEnd"/>
            <w:r w:rsidRPr="000F4105">
              <w:rPr>
                <w:rFonts w:ascii="Arial" w:hAnsi="Arial" w:cs="Arial"/>
                <w:i/>
                <w:iCs/>
                <w:color w:val="333333"/>
                <w:sz w:val="20"/>
                <w:szCs w:val="20"/>
                <w:shd w:val="clear" w:color="auto" w:fill="FFFFFF"/>
              </w:rPr>
              <w:t>-hsd</w:t>
            </w:r>
            <w:r w:rsidRPr="000F4105">
              <w:rPr>
                <w:rFonts w:ascii="Arial" w:hAnsi="Arial" w:cs="Arial"/>
                <w:color w:val="333333"/>
                <w:sz w:val="20"/>
                <w:szCs w:val="20"/>
                <w:shd w:val="clear" w:color="auto" w:fill="FFFFFF"/>
              </w:rPr>
              <w:t>RMS-</w:t>
            </w:r>
            <w:r w:rsidRPr="000F4105">
              <w:rPr>
                <w:rFonts w:ascii="Arial" w:hAnsi="Arial" w:cs="Arial"/>
                <w:i/>
                <w:iCs/>
                <w:color w:val="333333"/>
                <w:sz w:val="20"/>
                <w:szCs w:val="20"/>
                <w:shd w:val="clear" w:color="auto" w:fill="FFFFFF"/>
              </w:rPr>
              <w:t>mcr</w:t>
            </w:r>
            <w:r w:rsidRPr="000F4105">
              <w:rPr>
                <w:rFonts w:ascii="Arial" w:hAnsi="Arial" w:cs="Arial"/>
                <w:color w:val="333333"/>
                <w:sz w:val="20"/>
                <w:szCs w:val="20"/>
                <w:shd w:val="clear" w:color="auto" w:fill="FFFFFF"/>
              </w:rPr>
              <w:t>BC</w:t>
            </w:r>
            <w:proofErr w:type="spellEnd"/>
            <w:r w:rsidRPr="000F4105">
              <w:rPr>
                <w:rFonts w:ascii="Arial" w:hAnsi="Arial" w:cs="Arial"/>
                <w:color w:val="333333"/>
                <w:sz w:val="20"/>
                <w:szCs w:val="20"/>
                <w:shd w:val="clear" w:color="auto" w:fill="FFFFFF"/>
              </w:rPr>
              <w:t xml:space="preserve">) </w:t>
            </w:r>
            <w:proofErr w:type="spellStart"/>
            <w:r w:rsidRPr="000F4105">
              <w:rPr>
                <w:rFonts w:ascii="Arial" w:hAnsi="Arial" w:cs="Arial"/>
                <w:color w:val="333333"/>
                <w:sz w:val="20"/>
                <w:szCs w:val="20"/>
                <w:shd w:val="clear" w:color="auto" w:fill="FFFFFF"/>
              </w:rPr>
              <w:t>Φ80</w:t>
            </w:r>
            <w:r w:rsidRPr="000F4105">
              <w:rPr>
                <w:rFonts w:ascii="Arial" w:hAnsi="Arial" w:cs="Arial"/>
                <w:i/>
                <w:iCs/>
                <w:color w:val="333333"/>
                <w:sz w:val="20"/>
                <w:szCs w:val="20"/>
                <w:shd w:val="clear" w:color="auto" w:fill="FFFFFF"/>
              </w:rPr>
              <w:t>lac</w:t>
            </w:r>
            <w:r>
              <w:rPr>
                <w:rFonts w:ascii="Arial" w:hAnsi="Arial" w:cs="Arial"/>
                <w:color w:val="333333"/>
                <w:sz w:val="20"/>
                <w:szCs w:val="20"/>
                <w:shd w:val="clear" w:color="auto" w:fill="FFFFFF"/>
              </w:rPr>
              <w:t>ZΔM15</w:t>
            </w:r>
            <w:proofErr w:type="spellEnd"/>
            <w:r>
              <w:rPr>
                <w:rFonts w:ascii="Arial" w:hAnsi="Arial" w:cs="Arial"/>
                <w:color w:val="333333"/>
                <w:sz w:val="20"/>
                <w:szCs w:val="20"/>
                <w:shd w:val="clear" w:color="auto" w:fill="FFFFFF"/>
              </w:rPr>
              <w:t xml:space="preserve"> </w:t>
            </w:r>
            <w:r w:rsidRPr="000F4105">
              <w:rPr>
                <w:rFonts w:ascii="Arial" w:hAnsi="Arial" w:cs="Arial"/>
                <w:color w:val="333333"/>
                <w:sz w:val="20"/>
                <w:szCs w:val="20"/>
                <w:shd w:val="clear" w:color="auto" w:fill="FFFFFF"/>
              </w:rPr>
              <w:t>Δ </w:t>
            </w:r>
            <w:proofErr w:type="spellStart"/>
            <w:r w:rsidRPr="000F4105">
              <w:rPr>
                <w:rFonts w:ascii="Arial" w:hAnsi="Arial" w:cs="Arial"/>
                <w:i/>
                <w:iCs/>
                <w:color w:val="333333"/>
                <w:sz w:val="20"/>
                <w:szCs w:val="20"/>
                <w:shd w:val="clear" w:color="auto" w:fill="FFFFFF"/>
              </w:rPr>
              <w:t>lac</w:t>
            </w:r>
            <w:r w:rsidRPr="000F4105">
              <w:rPr>
                <w:rFonts w:ascii="Arial" w:hAnsi="Arial" w:cs="Arial"/>
                <w:color w:val="333333"/>
                <w:sz w:val="20"/>
                <w:szCs w:val="20"/>
                <w:shd w:val="clear" w:color="auto" w:fill="FFFFFF"/>
              </w:rPr>
              <w:t>X74</w:t>
            </w:r>
            <w:proofErr w:type="spellEnd"/>
            <w:r w:rsidRPr="000F4105">
              <w:rPr>
                <w:rFonts w:ascii="Arial" w:hAnsi="Arial" w:cs="Arial"/>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rec</w:t>
            </w:r>
            <w:r w:rsidRPr="000F4105">
              <w:rPr>
                <w:rFonts w:ascii="Arial" w:hAnsi="Arial" w:cs="Arial"/>
                <w:color w:val="333333"/>
                <w:sz w:val="20"/>
                <w:szCs w:val="20"/>
                <w:shd w:val="clear" w:color="auto" w:fill="FFFFFF"/>
              </w:rPr>
              <w:t>A1</w:t>
            </w:r>
            <w:proofErr w:type="spellEnd"/>
            <w:r w:rsidRPr="000F4105">
              <w:rPr>
                <w:rFonts w:ascii="Arial" w:hAnsi="Arial" w:cs="Arial"/>
                <w:i/>
                <w:iCs/>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ara</w:t>
            </w:r>
            <w:r w:rsidRPr="000F4105">
              <w:rPr>
                <w:rFonts w:ascii="Arial" w:hAnsi="Arial" w:cs="Arial"/>
                <w:color w:val="333333"/>
                <w:sz w:val="20"/>
                <w:szCs w:val="20"/>
                <w:shd w:val="clear" w:color="auto" w:fill="FFFFFF"/>
              </w:rPr>
              <w:t>D139</w:t>
            </w:r>
            <w:proofErr w:type="spellEnd"/>
            <w:r w:rsidRPr="000F4105">
              <w:rPr>
                <w:rFonts w:ascii="Arial" w:hAnsi="Arial" w:cs="Arial"/>
                <w:color w:val="333333"/>
                <w:sz w:val="20"/>
                <w:szCs w:val="20"/>
                <w:shd w:val="clear" w:color="auto" w:fill="FFFFFF"/>
              </w:rPr>
              <w:t xml:space="preserve"> Δ( </w:t>
            </w:r>
            <w:proofErr w:type="spellStart"/>
            <w:r w:rsidRPr="000F4105">
              <w:rPr>
                <w:rFonts w:ascii="Arial" w:hAnsi="Arial" w:cs="Arial"/>
                <w:i/>
                <w:iCs/>
                <w:color w:val="333333"/>
                <w:sz w:val="20"/>
                <w:szCs w:val="20"/>
                <w:shd w:val="clear" w:color="auto" w:fill="FFFFFF"/>
              </w:rPr>
              <w:t>araleu</w:t>
            </w:r>
            <w:proofErr w:type="spellEnd"/>
            <w:r w:rsidRPr="000F4105">
              <w:rPr>
                <w:rFonts w:ascii="Arial" w:hAnsi="Arial" w:cs="Arial"/>
                <w:color w:val="333333"/>
                <w:sz w:val="20"/>
                <w:szCs w:val="20"/>
                <w:shd w:val="clear" w:color="auto" w:fill="FFFFFF"/>
              </w:rPr>
              <w:t>)7697 </w:t>
            </w:r>
            <w:proofErr w:type="spellStart"/>
            <w:r w:rsidRPr="000F4105">
              <w:rPr>
                <w:rFonts w:ascii="Arial" w:hAnsi="Arial" w:cs="Arial"/>
                <w:i/>
                <w:iCs/>
                <w:color w:val="333333"/>
                <w:sz w:val="20"/>
                <w:szCs w:val="20"/>
                <w:shd w:val="clear" w:color="auto" w:fill="FFFFFF"/>
              </w:rPr>
              <w:t>gal</w:t>
            </w:r>
            <w:r w:rsidRPr="000F4105">
              <w:rPr>
                <w:rFonts w:ascii="Arial" w:hAnsi="Arial" w:cs="Arial"/>
                <w:color w:val="333333"/>
                <w:sz w:val="20"/>
                <w:szCs w:val="20"/>
                <w:shd w:val="clear" w:color="auto" w:fill="FFFFFF"/>
              </w:rPr>
              <w:t>U</w:t>
            </w:r>
            <w:proofErr w:type="spellEnd"/>
            <w:r w:rsidRPr="000F4105">
              <w:rPr>
                <w:rFonts w:ascii="Arial" w:hAnsi="Arial" w:cs="Arial"/>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gal</w:t>
            </w:r>
            <w:r w:rsidRPr="000F4105">
              <w:rPr>
                <w:rFonts w:ascii="Arial" w:hAnsi="Arial" w:cs="Arial"/>
                <w:color w:val="333333"/>
                <w:sz w:val="20"/>
                <w:szCs w:val="20"/>
                <w:shd w:val="clear" w:color="auto" w:fill="FFFFFF"/>
              </w:rPr>
              <w:t>K</w:t>
            </w:r>
            <w:proofErr w:type="spellEnd"/>
            <w:r w:rsidRPr="000F4105">
              <w:rPr>
                <w:rFonts w:ascii="Arial" w:hAnsi="Arial" w:cs="Arial"/>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rps</w:t>
            </w:r>
            <w:r w:rsidRPr="000F4105">
              <w:rPr>
                <w:rFonts w:ascii="Arial" w:hAnsi="Arial" w:cs="Arial"/>
                <w:color w:val="333333"/>
                <w:sz w:val="20"/>
                <w:szCs w:val="20"/>
                <w:shd w:val="clear" w:color="auto" w:fill="FFFFFF"/>
              </w:rPr>
              <w:t>L</w:t>
            </w:r>
            <w:proofErr w:type="spellEnd"/>
            <w:r w:rsidRPr="000F4105">
              <w:rPr>
                <w:rFonts w:ascii="Arial" w:hAnsi="Arial" w:cs="Arial"/>
                <w:color w:val="333333"/>
                <w:sz w:val="20"/>
                <w:szCs w:val="20"/>
                <w:shd w:val="clear" w:color="auto" w:fill="FFFFFF"/>
              </w:rPr>
              <w:t xml:space="preserve"> (</w:t>
            </w:r>
            <w:proofErr w:type="spellStart"/>
            <w:r w:rsidRPr="000F4105">
              <w:rPr>
                <w:rFonts w:ascii="Arial" w:hAnsi="Arial" w:cs="Arial"/>
                <w:color w:val="333333"/>
                <w:sz w:val="20"/>
                <w:szCs w:val="20"/>
                <w:shd w:val="clear" w:color="auto" w:fill="FFFFFF"/>
              </w:rPr>
              <w:t>StrR</w:t>
            </w:r>
            <w:proofErr w:type="spellEnd"/>
            <w:r w:rsidRPr="000F4105">
              <w:rPr>
                <w:rFonts w:ascii="Arial" w:hAnsi="Arial" w:cs="Arial"/>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end</w:t>
            </w:r>
            <w:r w:rsidRPr="000F4105">
              <w:rPr>
                <w:rFonts w:ascii="Arial" w:hAnsi="Arial" w:cs="Arial"/>
                <w:color w:val="333333"/>
                <w:sz w:val="20"/>
                <w:szCs w:val="20"/>
                <w:shd w:val="clear" w:color="auto" w:fill="FFFFFF"/>
              </w:rPr>
              <w:t>A1</w:t>
            </w:r>
            <w:proofErr w:type="spellEnd"/>
            <w:r w:rsidRPr="000F4105">
              <w:rPr>
                <w:rFonts w:ascii="Arial" w:hAnsi="Arial" w:cs="Arial"/>
                <w:color w:val="333333"/>
                <w:sz w:val="20"/>
                <w:szCs w:val="20"/>
                <w:shd w:val="clear" w:color="auto" w:fill="FFFFFF"/>
              </w:rPr>
              <w:t> </w:t>
            </w:r>
            <w:proofErr w:type="spellStart"/>
            <w:r w:rsidRPr="000F4105">
              <w:rPr>
                <w:rFonts w:ascii="Arial" w:hAnsi="Arial" w:cs="Arial"/>
                <w:i/>
                <w:iCs/>
                <w:color w:val="333333"/>
                <w:sz w:val="20"/>
                <w:szCs w:val="20"/>
                <w:shd w:val="clear" w:color="auto" w:fill="FFFFFF"/>
              </w:rPr>
              <w:t>nup</w:t>
            </w:r>
            <w:r w:rsidRPr="000F4105">
              <w:rPr>
                <w:rFonts w:ascii="Arial" w:hAnsi="Arial" w:cs="Arial"/>
                <w:color w:val="333333"/>
                <w:sz w:val="20"/>
                <w:szCs w:val="20"/>
                <w:shd w:val="clear" w:color="auto" w:fill="FFFFFF"/>
              </w:rPr>
              <w:t>G</w:t>
            </w:r>
            <w:proofErr w:type="spellEnd"/>
          </w:p>
        </w:tc>
        <w:tc>
          <w:tcPr>
            <w:tcW w:w="1559" w:type="dxa"/>
          </w:tcPr>
          <w:p w:rsidR="00E93CCA" w:rsidRPr="00072146" w:rsidRDefault="00E93CCA" w:rsidP="00D409BD">
            <w:pPr>
              <w:snapToGrid w:val="0"/>
              <w:spacing w:line="360" w:lineRule="auto"/>
              <w:jc w:val="both"/>
              <w:rPr>
                <w:rFonts w:ascii="Arial" w:hAnsi="Arial" w:cs="Arial"/>
                <w:bCs/>
                <w:sz w:val="20"/>
                <w:szCs w:val="20"/>
                <w:lang w:val="en-US"/>
              </w:rPr>
            </w:pPr>
            <w:r w:rsidRPr="00072146">
              <w:rPr>
                <w:rFonts w:ascii="Arial" w:hAnsi="Arial" w:cs="Arial"/>
                <w:bCs/>
                <w:sz w:val="20"/>
                <w:szCs w:val="20"/>
                <w:lang w:val="en-US"/>
              </w:rPr>
              <w:t>Thermo Fisher</w:t>
            </w:r>
          </w:p>
        </w:tc>
      </w:tr>
      <w:tr w:rsidR="00E93CCA" w:rsidRPr="00B12147" w:rsidTr="00D409BD">
        <w:trPr>
          <w:trHeight w:val="343"/>
        </w:trPr>
        <w:tc>
          <w:tcPr>
            <w:tcW w:w="1843"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5954"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1559" w:type="dxa"/>
          </w:tcPr>
          <w:p w:rsidR="00E93CCA" w:rsidRPr="00FF06CF" w:rsidRDefault="00E93CCA" w:rsidP="00D409BD">
            <w:pPr>
              <w:snapToGrid w:val="0"/>
              <w:spacing w:line="360" w:lineRule="auto"/>
              <w:jc w:val="both"/>
              <w:rPr>
                <w:rFonts w:ascii="Arial" w:hAnsi="Arial" w:cs="Arial"/>
                <w:b/>
                <w:bCs/>
                <w:sz w:val="20"/>
                <w:szCs w:val="20"/>
                <w:lang w:val="en-US"/>
              </w:rPr>
            </w:pPr>
          </w:p>
        </w:tc>
      </w:tr>
      <w:tr w:rsidR="00E93CCA" w:rsidRPr="00B12147" w:rsidTr="00D409BD">
        <w:trPr>
          <w:trHeight w:val="343"/>
        </w:trPr>
        <w:tc>
          <w:tcPr>
            <w:tcW w:w="1843" w:type="dxa"/>
          </w:tcPr>
          <w:p w:rsidR="00E93CCA" w:rsidRPr="00595854" w:rsidRDefault="00E93CCA" w:rsidP="00D409BD">
            <w:pPr>
              <w:snapToGrid w:val="0"/>
              <w:spacing w:line="360" w:lineRule="auto"/>
              <w:jc w:val="both"/>
              <w:rPr>
                <w:rFonts w:ascii="Arial" w:hAnsi="Arial" w:cs="Arial"/>
                <w:b/>
                <w:bCs/>
                <w:i/>
                <w:sz w:val="20"/>
                <w:szCs w:val="20"/>
                <w:lang w:val="en-US"/>
              </w:rPr>
            </w:pPr>
            <w:r w:rsidRPr="00595854">
              <w:rPr>
                <w:rFonts w:ascii="Arial" w:hAnsi="Arial" w:cs="Arial"/>
                <w:b/>
                <w:bCs/>
                <w:i/>
                <w:sz w:val="20"/>
                <w:szCs w:val="20"/>
                <w:lang w:val="en-US"/>
              </w:rPr>
              <w:t>Plasmids</w:t>
            </w:r>
          </w:p>
        </w:tc>
        <w:tc>
          <w:tcPr>
            <w:tcW w:w="5954"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1559" w:type="dxa"/>
          </w:tcPr>
          <w:p w:rsidR="00E93CCA" w:rsidRPr="00FF06CF" w:rsidRDefault="00E93CCA" w:rsidP="00D409BD">
            <w:pPr>
              <w:snapToGrid w:val="0"/>
              <w:spacing w:line="360" w:lineRule="auto"/>
              <w:jc w:val="both"/>
              <w:rPr>
                <w:rFonts w:ascii="Arial" w:hAnsi="Arial" w:cs="Arial"/>
                <w:b/>
                <w:bCs/>
                <w:sz w:val="20"/>
                <w:szCs w:val="20"/>
                <w:lang w:val="en-US"/>
              </w:rPr>
            </w:pPr>
          </w:p>
        </w:tc>
      </w:tr>
      <w:tr w:rsidR="00E93CCA" w:rsidRPr="00B12147" w:rsidTr="00D409BD">
        <w:trPr>
          <w:trHeight w:val="343"/>
        </w:trPr>
        <w:tc>
          <w:tcPr>
            <w:tcW w:w="1843" w:type="dxa"/>
          </w:tcPr>
          <w:p w:rsidR="00E93CCA" w:rsidRPr="000F4105"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pX33</w:t>
            </w:r>
            <w:proofErr w:type="spellEnd"/>
          </w:p>
        </w:tc>
        <w:tc>
          <w:tcPr>
            <w:tcW w:w="5954" w:type="dxa"/>
          </w:tcPr>
          <w:p w:rsidR="00E93CCA" w:rsidRPr="000F4105" w:rsidRDefault="00E93CCA" w:rsidP="00D409BD">
            <w:pPr>
              <w:snapToGrid w:val="0"/>
              <w:spacing w:line="360" w:lineRule="auto"/>
              <w:jc w:val="both"/>
              <w:rPr>
                <w:rFonts w:ascii="Arial" w:hAnsi="Arial" w:cs="Arial"/>
                <w:bCs/>
                <w:sz w:val="20"/>
                <w:szCs w:val="20"/>
                <w:lang w:val="en-US"/>
              </w:rPr>
            </w:pPr>
            <w:proofErr w:type="spellStart"/>
            <w:r w:rsidRPr="000F4105">
              <w:rPr>
                <w:rFonts w:ascii="Arial" w:hAnsi="Arial" w:cs="Arial"/>
                <w:bCs/>
                <w:sz w:val="20"/>
                <w:szCs w:val="20"/>
              </w:rPr>
              <w:t>Gm</w:t>
            </w:r>
            <w:r w:rsidRPr="000F4105">
              <w:rPr>
                <w:rFonts w:ascii="Arial" w:hAnsi="Arial" w:cs="Arial"/>
                <w:bCs/>
                <w:sz w:val="20"/>
                <w:szCs w:val="20"/>
                <w:vertAlign w:val="superscript"/>
              </w:rPr>
              <w:t>r</w:t>
            </w:r>
            <w:proofErr w:type="spellEnd"/>
            <w:r w:rsidRPr="000F4105">
              <w:rPr>
                <w:rFonts w:ascii="Arial" w:hAnsi="Arial" w:cs="Arial"/>
                <w:bCs/>
                <w:sz w:val="20"/>
                <w:szCs w:val="20"/>
              </w:rPr>
              <w:t xml:space="preserve">, </w:t>
            </w:r>
            <w:proofErr w:type="spellStart"/>
            <w:r w:rsidRPr="000F4105">
              <w:rPr>
                <w:rFonts w:ascii="Arial" w:hAnsi="Arial" w:cs="Arial"/>
                <w:bCs/>
                <w:i/>
                <w:sz w:val="20"/>
                <w:szCs w:val="20"/>
              </w:rPr>
              <w:t>sacB</w:t>
            </w:r>
            <w:proofErr w:type="spellEnd"/>
            <w:r w:rsidRPr="000F4105">
              <w:rPr>
                <w:rFonts w:ascii="Arial" w:hAnsi="Arial" w:cs="Arial"/>
                <w:bCs/>
                <w:sz w:val="20"/>
                <w:szCs w:val="20"/>
              </w:rPr>
              <w:t xml:space="preserve">, mycobacterial Ts </w:t>
            </w:r>
            <w:proofErr w:type="spellStart"/>
            <w:r w:rsidRPr="000F4105">
              <w:rPr>
                <w:rFonts w:ascii="Arial" w:hAnsi="Arial" w:cs="Arial"/>
                <w:bCs/>
                <w:i/>
                <w:sz w:val="20"/>
                <w:szCs w:val="20"/>
              </w:rPr>
              <w:t>ori</w:t>
            </w:r>
            <w:proofErr w:type="spellEnd"/>
            <w:r w:rsidRPr="000F4105">
              <w:rPr>
                <w:rFonts w:ascii="Arial" w:hAnsi="Arial" w:cs="Arial"/>
                <w:bCs/>
                <w:sz w:val="20"/>
                <w:szCs w:val="20"/>
              </w:rPr>
              <w:t xml:space="preserve">, </w:t>
            </w:r>
            <w:proofErr w:type="spellStart"/>
            <w:r w:rsidRPr="000F4105">
              <w:rPr>
                <w:rFonts w:ascii="Arial" w:hAnsi="Arial" w:cs="Arial"/>
                <w:bCs/>
                <w:sz w:val="20"/>
                <w:szCs w:val="20"/>
              </w:rPr>
              <w:t>p15A</w:t>
            </w:r>
            <w:proofErr w:type="spellEnd"/>
            <w:r w:rsidRPr="000F4105">
              <w:rPr>
                <w:rFonts w:ascii="Arial" w:hAnsi="Arial" w:cs="Arial"/>
                <w:bCs/>
                <w:sz w:val="20"/>
                <w:szCs w:val="20"/>
              </w:rPr>
              <w:t xml:space="preserve"> </w:t>
            </w:r>
            <w:proofErr w:type="spellStart"/>
            <w:r w:rsidRPr="000F4105">
              <w:rPr>
                <w:rFonts w:ascii="Arial" w:hAnsi="Arial" w:cs="Arial"/>
                <w:bCs/>
                <w:i/>
                <w:sz w:val="20"/>
                <w:szCs w:val="20"/>
              </w:rPr>
              <w:t>ori</w:t>
            </w:r>
            <w:proofErr w:type="spellEnd"/>
            <w:r w:rsidRPr="000F4105">
              <w:rPr>
                <w:rFonts w:ascii="Arial" w:hAnsi="Arial" w:cs="Arial"/>
                <w:bCs/>
                <w:sz w:val="20"/>
                <w:szCs w:val="20"/>
              </w:rPr>
              <w:t xml:space="preserve">, </w:t>
            </w:r>
            <w:proofErr w:type="spellStart"/>
            <w:r w:rsidRPr="000F4105">
              <w:rPr>
                <w:rFonts w:ascii="Arial" w:hAnsi="Arial" w:cs="Arial"/>
                <w:bCs/>
                <w:i/>
                <w:sz w:val="20"/>
                <w:szCs w:val="20"/>
              </w:rPr>
              <w:t>xylE</w:t>
            </w:r>
            <w:proofErr w:type="spellEnd"/>
          </w:p>
        </w:tc>
        <w:tc>
          <w:tcPr>
            <w:tcW w:w="1559" w:type="dxa"/>
          </w:tcPr>
          <w:p w:rsidR="00E93CCA" w:rsidRPr="00FF06CF"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{"citationItems":[{"id":"ITEM-1","itemData":{"ISSN":"1465-2080","author":[{"dropping-particle":"","family":"Gebhard","given":"Susanne","non-dropping-particle":"","parse-names":false,"suffix":""},{"dropping-particle":"","family":"Tran","given":"Sieu L","non-dropping-particle":"","parse-names":false,"suffix":""},{"dropping-particle":"","family":"Cook","given":"Gregory M","non-dropping-particle":"","parse-names":false,"suffix":""}],"container-title":"Microbiology","id":"ITEM-1","issue":"11","issued":{"date-parts":[["2006"]]},"page":"3453-3465","publisher":"Microbiology Society","title":"The Phn system of &lt;i&gt;Mycobacterium smegmatis&lt;/i&gt;: a second high-affinity ABC-transporter for phosphate","type":"article-journal","volume":"152"},"uris":["http://www.mendeley.com/documents/?uuid=9c01672b-09f0-4906-b685-67c131ff005e"]}],"mendeley":{"formattedCitation":"[68]","plainTextFormattedCitation":"[68]","previouslyFormattedCitation":"&lt;sup&gt;74&lt;/sup&gt;"},"properties":{"noteIndex":0},"schema":"https://github.com/citation-style-language/schema/raw/master/csl-citation.json"}</w:instrText>
            </w:r>
            <w:r>
              <w:rPr>
                <w:rFonts w:ascii="Arial" w:hAnsi="Arial" w:cs="Arial"/>
                <w:b/>
                <w:bCs/>
                <w:sz w:val="20"/>
                <w:szCs w:val="20"/>
                <w:lang w:val="en-US"/>
              </w:rPr>
              <w:fldChar w:fldCharType="separate"/>
            </w:r>
            <w:r w:rsidRPr="0003700B">
              <w:rPr>
                <w:rFonts w:ascii="Arial" w:hAnsi="Arial" w:cs="Arial"/>
                <w:bCs/>
                <w:noProof/>
                <w:sz w:val="20"/>
                <w:szCs w:val="20"/>
                <w:lang w:val="en-US"/>
              </w:rPr>
              <w:t>[68]</w:t>
            </w:r>
            <w:r>
              <w:rPr>
                <w:rFonts w:ascii="Arial" w:hAnsi="Arial" w:cs="Arial"/>
                <w:b/>
                <w:bCs/>
                <w:sz w:val="20"/>
                <w:szCs w:val="20"/>
                <w:lang w:val="en-US"/>
              </w:rPr>
              <w:fldChar w:fldCharType="end"/>
            </w:r>
          </w:p>
        </w:tc>
      </w:tr>
      <w:tr w:rsidR="00E93CCA" w:rsidTr="00D409BD">
        <w:trPr>
          <w:trHeight w:val="333"/>
        </w:trPr>
        <w:tc>
          <w:tcPr>
            <w:tcW w:w="1843" w:type="dxa"/>
          </w:tcPr>
          <w:p w:rsidR="00E93CCA" w:rsidRPr="000F4105" w:rsidRDefault="00E93CCA" w:rsidP="00D409BD">
            <w:pPr>
              <w:snapToGrid w:val="0"/>
              <w:spacing w:line="360" w:lineRule="auto"/>
              <w:jc w:val="both"/>
              <w:rPr>
                <w:rFonts w:ascii="Arial" w:hAnsi="Arial" w:cs="Arial"/>
                <w:bCs/>
                <w:sz w:val="20"/>
                <w:szCs w:val="20"/>
                <w:lang w:val="en-US"/>
              </w:rPr>
            </w:pPr>
            <w:proofErr w:type="spellStart"/>
            <w:r>
              <w:rPr>
                <w:rFonts w:ascii="Arial" w:hAnsi="Arial" w:cs="Arial"/>
                <w:bCs/>
                <w:sz w:val="20"/>
                <w:szCs w:val="20"/>
                <w:lang w:val="en-US"/>
              </w:rPr>
              <w:t>pX33_coxL</w:t>
            </w:r>
            <w:proofErr w:type="spellEnd"/>
          </w:p>
        </w:tc>
        <w:tc>
          <w:tcPr>
            <w:tcW w:w="5954" w:type="dxa"/>
          </w:tcPr>
          <w:p w:rsidR="00E93CCA" w:rsidRPr="000F4105" w:rsidRDefault="00E93CCA" w:rsidP="00D409BD">
            <w:pPr>
              <w:snapToGrid w:val="0"/>
              <w:spacing w:line="360" w:lineRule="auto"/>
              <w:jc w:val="both"/>
              <w:rPr>
                <w:rFonts w:ascii="Arial" w:hAnsi="Arial" w:cs="Arial"/>
                <w:bCs/>
                <w:sz w:val="20"/>
                <w:szCs w:val="20"/>
                <w:lang w:val="en-US"/>
              </w:rPr>
            </w:pPr>
            <w:r w:rsidRPr="00072146">
              <w:rPr>
                <w:rFonts w:ascii="Arial" w:hAnsi="Arial" w:cs="Arial"/>
                <w:bCs/>
                <w:sz w:val="20"/>
                <w:szCs w:val="20"/>
                <w:lang w:val="en-US"/>
              </w:rPr>
              <w:t>2245</w:t>
            </w:r>
            <w:r>
              <w:rPr>
                <w:rFonts w:ascii="Arial" w:hAnsi="Arial" w:cs="Arial"/>
                <w:bCs/>
                <w:sz w:val="20"/>
                <w:szCs w:val="20"/>
                <w:lang w:val="en-US"/>
              </w:rPr>
              <w:t xml:space="preserve"> bp fragment of left and right flanks of </w:t>
            </w:r>
            <w:proofErr w:type="spellStart"/>
            <w:r>
              <w:rPr>
                <w:rFonts w:ascii="Arial" w:hAnsi="Arial" w:cs="Arial"/>
                <w:bCs/>
                <w:i/>
                <w:sz w:val="20"/>
                <w:szCs w:val="20"/>
                <w:lang w:val="en-US"/>
              </w:rPr>
              <w:t>coxL</w:t>
            </w:r>
            <w:proofErr w:type="spellEnd"/>
            <w:r>
              <w:rPr>
                <w:rFonts w:ascii="Arial" w:hAnsi="Arial" w:cs="Arial"/>
                <w:bCs/>
                <w:i/>
                <w:sz w:val="20"/>
                <w:szCs w:val="20"/>
                <w:lang w:val="en-US"/>
              </w:rPr>
              <w:t xml:space="preserve"> </w:t>
            </w:r>
            <w:r>
              <w:rPr>
                <w:rFonts w:ascii="Arial" w:hAnsi="Arial" w:cs="Arial"/>
                <w:bCs/>
                <w:sz w:val="20"/>
                <w:szCs w:val="20"/>
                <w:lang w:val="en-US"/>
              </w:rPr>
              <w:t>gene (</w:t>
            </w:r>
            <w:proofErr w:type="spellStart"/>
            <w:r>
              <w:rPr>
                <w:rFonts w:ascii="Arial" w:hAnsi="Arial" w:cs="Arial"/>
                <w:bCs/>
                <w:sz w:val="20"/>
                <w:szCs w:val="20"/>
                <w:lang w:val="en-US"/>
              </w:rPr>
              <w:t>MSMEG_0746</w:t>
            </w:r>
            <w:proofErr w:type="spellEnd"/>
            <w:r>
              <w:rPr>
                <w:rFonts w:ascii="Arial" w:hAnsi="Arial" w:cs="Arial"/>
                <w:bCs/>
                <w:sz w:val="20"/>
                <w:szCs w:val="20"/>
                <w:lang w:val="en-US"/>
              </w:rPr>
              <w:t xml:space="preserve">) in </w:t>
            </w:r>
            <w:proofErr w:type="spellStart"/>
            <w:r>
              <w:rPr>
                <w:rFonts w:ascii="Arial" w:hAnsi="Arial" w:cs="Arial"/>
                <w:bCs/>
                <w:sz w:val="20"/>
                <w:szCs w:val="20"/>
                <w:lang w:val="en-US"/>
              </w:rPr>
              <w:t>pX33</w:t>
            </w:r>
            <w:proofErr w:type="spellEnd"/>
          </w:p>
        </w:tc>
        <w:tc>
          <w:tcPr>
            <w:tcW w:w="1559" w:type="dxa"/>
          </w:tcPr>
          <w:p w:rsidR="00E93CCA"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This work</w:t>
            </w:r>
          </w:p>
        </w:tc>
      </w:tr>
    </w:tbl>
    <w:p w:rsidR="00E93CCA" w:rsidRPr="006A6F1A" w:rsidRDefault="00E93CCA" w:rsidP="00E93CCA">
      <w:pPr>
        <w:tabs>
          <w:tab w:val="left" w:pos="6944"/>
        </w:tabs>
        <w:rPr>
          <w:rFonts w:ascii="Arial" w:hAnsi="Arial" w:cs="Arial"/>
          <w:b/>
          <w:sz w:val="24"/>
          <w:szCs w:val="24"/>
          <w:lang w:val="en-US"/>
        </w:rPr>
      </w:pPr>
    </w:p>
    <w:p w:rsidR="00E93CCA" w:rsidRDefault="00E93CCA" w:rsidP="00E93CCA">
      <w:pPr>
        <w:tabs>
          <w:tab w:val="left" w:pos="6944"/>
        </w:tabs>
        <w:rPr>
          <w:rFonts w:ascii="Arial" w:hAnsi="Arial" w:cs="Arial"/>
          <w:b/>
          <w:sz w:val="24"/>
          <w:szCs w:val="24"/>
          <w:lang w:val="en-US"/>
        </w:rPr>
      </w:pPr>
    </w:p>
    <w:p w:rsidR="00E93CCA" w:rsidRDefault="00E93CCA" w:rsidP="00E93CCA">
      <w:pPr>
        <w:tabs>
          <w:tab w:val="left" w:pos="6944"/>
        </w:tabs>
        <w:rPr>
          <w:rFonts w:ascii="Arial" w:hAnsi="Arial" w:cs="Arial"/>
          <w:b/>
          <w:sz w:val="24"/>
          <w:szCs w:val="24"/>
          <w:lang w:val="en-US"/>
        </w:rPr>
      </w:pPr>
      <w:r>
        <w:rPr>
          <w:rFonts w:ascii="Arial" w:hAnsi="Arial" w:cs="Arial"/>
          <w:b/>
          <w:sz w:val="24"/>
          <w:szCs w:val="24"/>
          <w:lang w:val="en-US"/>
        </w:rPr>
        <w:t xml:space="preserve">Table </w:t>
      </w:r>
      <w:proofErr w:type="spellStart"/>
      <w:r>
        <w:rPr>
          <w:rFonts w:ascii="Arial" w:hAnsi="Arial" w:cs="Arial"/>
          <w:b/>
          <w:sz w:val="24"/>
          <w:szCs w:val="24"/>
          <w:lang w:val="en-US"/>
        </w:rPr>
        <w:t>S8</w:t>
      </w:r>
      <w:proofErr w:type="spellEnd"/>
      <w:r>
        <w:rPr>
          <w:rFonts w:ascii="Arial" w:hAnsi="Arial" w:cs="Arial"/>
          <w:b/>
          <w:sz w:val="24"/>
          <w:szCs w:val="24"/>
          <w:lang w:val="en-US"/>
        </w:rPr>
        <w:t>. List of primers used in this work.</w:t>
      </w:r>
    </w:p>
    <w:p w:rsidR="00E93CCA" w:rsidRPr="00566A5A" w:rsidRDefault="00E93CCA" w:rsidP="00E93CCA">
      <w:pPr>
        <w:tabs>
          <w:tab w:val="left" w:pos="6944"/>
        </w:tabs>
        <w:rPr>
          <w:rFonts w:ascii="Arial" w:hAnsi="Arial" w:cs="Arial"/>
          <w:b/>
          <w:sz w:val="24"/>
          <w:szCs w:val="24"/>
          <w:lang w:val="en-US"/>
        </w:rPr>
      </w:pPr>
    </w:p>
    <w:tbl>
      <w:tblPr>
        <w:tblStyle w:val="TableGrid"/>
        <w:tblW w:w="8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706"/>
        <w:gridCol w:w="3260"/>
        <w:gridCol w:w="1420"/>
      </w:tblGrid>
      <w:tr w:rsidR="00E93CCA" w:rsidRPr="00B12147" w:rsidTr="00D409BD">
        <w:trPr>
          <w:trHeight w:val="333"/>
        </w:trPr>
        <w:tc>
          <w:tcPr>
            <w:tcW w:w="2547"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Purpose</w:t>
            </w:r>
          </w:p>
        </w:tc>
        <w:tc>
          <w:tcPr>
            <w:tcW w:w="1706"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Primer name</w:t>
            </w:r>
          </w:p>
        </w:tc>
        <w:tc>
          <w:tcPr>
            <w:tcW w:w="3260" w:type="dxa"/>
          </w:tcPr>
          <w:p w:rsidR="00E93CCA" w:rsidRPr="00B12147"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Sequence</w:t>
            </w:r>
          </w:p>
        </w:tc>
        <w:tc>
          <w:tcPr>
            <w:tcW w:w="1420" w:type="dxa"/>
          </w:tcPr>
          <w:p w:rsidR="00E93CCA" w:rsidRDefault="00E93CCA" w:rsidP="00D409BD">
            <w:pPr>
              <w:snapToGrid w:val="0"/>
              <w:spacing w:line="360" w:lineRule="auto"/>
              <w:jc w:val="both"/>
              <w:rPr>
                <w:rFonts w:ascii="Arial" w:hAnsi="Arial" w:cs="Arial"/>
                <w:b/>
                <w:bCs/>
                <w:sz w:val="20"/>
                <w:szCs w:val="20"/>
                <w:lang w:val="en-US"/>
              </w:rPr>
            </w:pPr>
            <w:r>
              <w:rPr>
                <w:rFonts w:ascii="Arial" w:hAnsi="Arial" w:cs="Arial"/>
                <w:b/>
                <w:bCs/>
                <w:sz w:val="20"/>
                <w:szCs w:val="20"/>
                <w:lang w:val="en-US"/>
              </w:rPr>
              <w:t>Tm (°C)</w:t>
            </w:r>
          </w:p>
        </w:tc>
      </w:tr>
      <w:tr w:rsidR="00E93CCA" w:rsidRPr="00B12147" w:rsidTr="00D409BD">
        <w:trPr>
          <w:trHeight w:val="343"/>
        </w:trPr>
        <w:tc>
          <w:tcPr>
            <w:tcW w:w="2547" w:type="dxa"/>
          </w:tcPr>
          <w:p w:rsidR="00E93CCA" w:rsidRPr="00B12147" w:rsidRDefault="00E93CCA" w:rsidP="00D409BD">
            <w:pPr>
              <w:snapToGrid w:val="0"/>
              <w:spacing w:line="360" w:lineRule="auto"/>
              <w:jc w:val="both"/>
              <w:rPr>
                <w:rFonts w:ascii="Arial" w:hAnsi="Arial" w:cs="Arial"/>
                <w:bCs/>
                <w:sz w:val="20"/>
                <w:szCs w:val="20"/>
                <w:lang w:val="en-US"/>
              </w:rPr>
            </w:pPr>
          </w:p>
        </w:tc>
        <w:tc>
          <w:tcPr>
            <w:tcW w:w="1706" w:type="dxa"/>
          </w:tcPr>
          <w:p w:rsidR="00E93CCA" w:rsidRPr="00B12147" w:rsidRDefault="00E93CCA" w:rsidP="00D409BD">
            <w:pPr>
              <w:snapToGrid w:val="0"/>
              <w:spacing w:line="360" w:lineRule="auto"/>
              <w:jc w:val="both"/>
              <w:rPr>
                <w:rFonts w:ascii="Arial" w:hAnsi="Arial" w:cs="Arial"/>
                <w:bCs/>
                <w:i/>
                <w:sz w:val="20"/>
                <w:szCs w:val="20"/>
                <w:lang w:val="en-US"/>
              </w:rPr>
            </w:pPr>
          </w:p>
        </w:tc>
        <w:tc>
          <w:tcPr>
            <w:tcW w:w="3260" w:type="dxa"/>
          </w:tcPr>
          <w:p w:rsidR="00E93CCA" w:rsidRDefault="00E93CCA" w:rsidP="00D409BD">
            <w:pPr>
              <w:snapToGrid w:val="0"/>
              <w:spacing w:line="360" w:lineRule="auto"/>
              <w:jc w:val="both"/>
              <w:rPr>
                <w:rFonts w:ascii="Arial" w:hAnsi="Arial" w:cs="Arial"/>
                <w:bCs/>
                <w:sz w:val="20"/>
                <w:szCs w:val="20"/>
                <w:lang w:val="en-US"/>
              </w:rPr>
            </w:pPr>
          </w:p>
        </w:tc>
        <w:tc>
          <w:tcPr>
            <w:tcW w:w="1420" w:type="dxa"/>
          </w:tcPr>
          <w:p w:rsidR="00E93CCA" w:rsidRDefault="00E93CCA" w:rsidP="00D409BD">
            <w:pPr>
              <w:snapToGrid w:val="0"/>
              <w:spacing w:line="360" w:lineRule="auto"/>
              <w:jc w:val="both"/>
              <w:rPr>
                <w:rFonts w:ascii="Arial" w:hAnsi="Arial" w:cs="Arial"/>
                <w:bCs/>
                <w:sz w:val="20"/>
                <w:szCs w:val="20"/>
                <w:lang w:val="en-US"/>
              </w:rPr>
            </w:pPr>
          </w:p>
        </w:tc>
      </w:tr>
      <w:tr w:rsidR="00E93CCA" w:rsidRPr="00B12147" w:rsidTr="00D409BD">
        <w:trPr>
          <w:trHeight w:val="333"/>
        </w:trPr>
        <w:tc>
          <w:tcPr>
            <w:tcW w:w="2547" w:type="dxa"/>
            <w:vMerge w:val="restart"/>
          </w:tcPr>
          <w:p w:rsidR="00E93CCA" w:rsidRPr="00FF06CF"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 xml:space="preserve">Sequencing of </w:t>
            </w:r>
            <w:proofErr w:type="spellStart"/>
            <w:r>
              <w:rPr>
                <w:rFonts w:ascii="Arial" w:hAnsi="Arial" w:cs="Arial"/>
                <w:bCs/>
                <w:sz w:val="20"/>
                <w:szCs w:val="20"/>
                <w:lang w:val="en-US"/>
              </w:rPr>
              <w:t>pX33_coxL</w:t>
            </w:r>
            <w:proofErr w:type="spellEnd"/>
            <w:r>
              <w:rPr>
                <w:rFonts w:ascii="Arial" w:hAnsi="Arial" w:cs="Arial"/>
                <w:bCs/>
                <w:sz w:val="20"/>
                <w:szCs w:val="20"/>
                <w:lang w:val="en-US"/>
              </w:rPr>
              <w:t xml:space="preserve"> to verify cloning of insert</w:t>
            </w: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Forward</w:t>
            </w:r>
          </w:p>
        </w:tc>
        <w:tc>
          <w:tcPr>
            <w:tcW w:w="3260" w:type="dxa"/>
          </w:tcPr>
          <w:p w:rsidR="00E93CCA" w:rsidRPr="00FF06CF" w:rsidRDefault="00E93CCA" w:rsidP="00D409BD">
            <w:pPr>
              <w:snapToGrid w:val="0"/>
              <w:spacing w:line="360" w:lineRule="auto"/>
              <w:jc w:val="both"/>
              <w:rPr>
                <w:rFonts w:ascii="Arial" w:hAnsi="Arial" w:cs="Arial"/>
                <w:bCs/>
                <w:sz w:val="20"/>
                <w:szCs w:val="20"/>
                <w:lang w:val="en-US"/>
              </w:rPr>
            </w:pPr>
            <w:proofErr w:type="spellStart"/>
            <w:r w:rsidRPr="00CD2A5A">
              <w:rPr>
                <w:rFonts w:ascii="Arial" w:hAnsi="Arial" w:cs="Arial"/>
                <w:bCs/>
                <w:sz w:val="20"/>
                <w:szCs w:val="20"/>
                <w:lang w:val="en-US"/>
              </w:rPr>
              <w:t>TAATACGACTCACTATAGGG</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52.0</w:t>
            </w:r>
          </w:p>
        </w:tc>
      </w:tr>
      <w:tr w:rsidR="00E93CCA" w:rsidRPr="00B12147" w:rsidTr="00D409BD">
        <w:trPr>
          <w:trHeight w:val="333"/>
        </w:trPr>
        <w:tc>
          <w:tcPr>
            <w:tcW w:w="2547" w:type="dxa"/>
            <w:vMerge/>
          </w:tcPr>
          <w:p w:rsidR="00E93CCA" w:rsidRPr="00FF06CF" w:rsidRDefault="00E93CCA" w:rsidP="00D409BD">
            <w:pPr>
              <w:snapToGrid w:val="0"/>
              <w:spacing w:line="360" w:lineRule="auto"/>
              <w:jc w:val="both"/>
              <w:rPr>
                <w:rFonts w:ascii="Arial" w:hAnsi="Arial" w:cs="Arial"/>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Reverse</w:t>
            </w:r>
          </w:p>
        </w:tc>
        <w:tc>
          <w:tcPr>
            <w:tcW w:w="3260" w:type="dxa"/>
          </w:tcPr>
          <w:p w:rsidR="00E93CCA" w:rsidRPr="00FF06CF" w:rsidRDefault="00E93CCA" w:rsidP="00D409BD">
            <w:pPr>
              <w:snapToGrid w:val="0"/>
              <w:spacing w:line="360" w:lineRule="auto"/>
              <w:jc w:val="both"/>
              <w:rPr>
                <w:rFonts w:ascii="Arial" w:hAnsi="Arial" w:cs="Arial"/>
                <w:bCs/>
                <w:sz w:val="20"/>
                <w:szCs w:val="20"/>
                <w:lang w:val="en-US"/>
              </w:rPr>
            </w:pPr>
            <w:proofErr w:type="spellStart"/>
            <w:r w:rsidRPr="00CD2A5A">
              <w:rPr>
                <w:rFonts w:ascii="Arial" w:hAnsi="Arial" w:cs="Arial"/>
                <w:bCs/>
                <w:sz w:val="20"/>
                <w:szCs w:val="20"/>
                <w:lang w:val="en-US"/>
              </w:rPr>
              <w:t>AATAGATCATCGTCGCCG</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Pr>
                <w:rFonts w:ascii="Arial" w:hAnsi="Arial" w:cs="Arial"/>
                <w:bCs/>
                <w:sz w:val="20"/>
                <w:szCs w:val="20"/>
                <w:lang w:val="en-US"/>
              </w:rPr>
              <w:t>51.9</w:t>
            </w:r>
          </w:p>
        </w:tc>
      </w:tr>
      <w:tr w:rsidR="00E93CCA" w:rsidRPr="00B12147" w:rsidTr="00D409BD">
        <w:trPr>
          <w:trHeight w:val="333"/>
        </w:trPr>
        <w:tc>
          <w:tcPr>
            <w:tcW w:w="2547" w:type="dxa"/>
          </w:tcPr>
          <w:p w:rsidR="00E93CCA" w:rsidRPr="00FF06CF" w:rsidRDefault="00E93CCA" w:rsidP="00D409BD">
            <w:pPr>
              <w:snapToGrid w:val="0"/>
              <w:spacing w:line="360" w:lineRule="auto"/>
              <w:jc w:val="both"/>
              <w:rPr>
                <w:rFonts w:ascii="Arial" w:hAnsi="Arial" w:cs="Arial"/>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p>
        </w:tc>
        <w:tc>
          <w:tcPr>
            <w:tcW w:w="3260" w:type="dxa"/>
          </w:tcPr>
          <w:p w:rsidR="00E93CCA" w:rsidRPr="00FF06CF" w:rsidRDefault="00E93CCA" w:rsidP="00D409BD">
            <w:pPr>
              <w:snapToGrid w:val="0"/>
              <w:spacing w:line="360" w:lineRule="auto"/>
              <w:jc w:val="both"/>
              <w:rPr>
                <w:rFonts w:ascii="Arial" w:hAnsi="Arial" w:cs="Arial"/>
                <w:bCs/>
                <w:sz w:val="20"/>
                <w:szCs w:val="20"/>
                <w:lang w:val="en-US"/>
              </w:rPr>
            </w:pPr>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p>
        </w:tc>
      </w:tr>
      <w:tr w:rsidR="00E93CCA" w:rsidRPr="00B12147" w:rsidTr="00D409BD">
        <w:trPr>
          <w:trHeight w:val="333"/>
        </w:trPr>
        <w:tc>
          <w:tcPr>
            <w:tcW w:w="2547" w:type="dxa"/>
            <w:vMerge w:val="restart"/>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 xml:space="preserve">Screening of </w:t>
            </w:r>
            <w:proofErr w:type="spellStart"/>
            <w:r w:rsidRPr="00FF06CF">
              <w:rPr>
                <w:rFonts w:ascii="Arial" w:hAnsi="Arial" w:cs="Arial"/>
                <w:bCs/>
                <w:sz w:val="20"/>
                <w:szCs w:val="20"/>
                <w:lang w:val="en-US"/>
              </w:rPr>
              <w:t>Δ</w:t>
            </w:r>
            <w:r w:rsidRPr="00FF06CF">
              <w:rPr>
                <w:rFonts w:ascii="Arial" w:hAnsi="Arial" w:cs="Arial"/>
                <w:bCs/>
                <w:i/>
                <w:sz w:val="20"/>
                <w:szCs w:val="20"/>
                <w:lang w:val="en-US"/>
              </w:rPr>
              <w:t>coxL</w:t>
            </w:r>
            <w:proofErr w:type="spellEnd"/>
          </w:p>
          <w:p w:rsidR="00E93CCA" w:rsidRPr="00FF06CF" w:rsidRDefault="00E93CCA" w:rsidP="00D409BD">
            <w:pPr>
              <w:snapToGrid w:val="0"/>
              <w:spacing w:line="360" w:lineRule="auto"/>
              <w:jc w:val="both"/>
              <w:rPr>
                <w:rFonts w:ascii="Arial" w:hAnsi="Arial" w:cs="Arial"/>
                <w:b/>
                <w:bCs/>
                <w:sz w:val="20"/>
                <w:szCs w:val="20"/>
                <w:lang w:val="en-US"/>
              </w:rPr>
            </w:pPr>
            <w:r w:rsidRPr="00FF06CF">
              <w:rPr>
                <w:rFonts w:ascii="Arial" w:hAnsi="Arial" w:cs="Arial"/>
                <w:bCs/>
                <w:sz w:val="20"/>
                <w:szCs w:val="20"/>
                <w:lang w:val="en-US"/>
              </w:rPr>
              <w:t>(</w:t>
            </w:r>
            <w:proofErr w:type="spellStart"/>
            <w:r w:rsidRPr="00FF06CF">
              <w:rPr>
                <w:rFonts w:ascii="Arial" w:hAnsi="Arial" w:cs="Arial"/>
                <w:bCs/>
                <w:sz w:val="20"/>
                <w:szCs w:val="20"/>
                <w:lang w:val="en-US"/>
              </w:rPr>
              <w:t>MSMEG_0746</w:t>
            </w:r>
            <w:proofErr w:type="spellEnd"/>
            <w:r w:rsidRPr="00FF06CF">
              <w:rPr>
                <w:rFonts w:ascii="Arial" w:hAnsi="Arial" w:cs="Arial"/>
                <w:bCs/>
                <w:sz w:val="20"/>
                <w:szCs w:val="20"/>
                <w:lang w:val="en-US"/>
              </w:rPr>
              <w:t>) mutant</w:t>
            </w:r>
          </w:p>
        </w:tc>
        <w:tc>
          <w:tcPr>
            <w:tcW w:w="1706" w:type="dxa"/>
          </w:tcPr>
          <w:p w:rsidR="00E93CCA" w:rsidRPr="00FF06CF" w:rsidRDefault="00E93CCA" w:rsidP="00D409BD">
            <w:pPr>
              <w:snapToGrid w:val="0"/>
              <w:spacing w:line="360" w:lineRule="auto"/>
              <w:jc w:val="both"/>
              <w:rPr>
                <w:rFonts w:ascii="Arial" w:hAnsi="Arial" w:cs="Arial"/>
                <w:b/>
                <w:bCs/>
                <w:sz w:val="20"/>
                <w:szCs w:val="20"/>
                <w:lang w:val="en-US"/>
              </w:rPr>
            </w:pPr>
            <w:r w:rsidRPr="00FF06CF">
              <w:rPr>
                <w:rFonts w:ascii="Arial" w:hAnsi="Arial" w:cs="Arial"/>
                <w:bCs/>
                <w:sz w:val="20"/>
                <w:szCs w:val="20"/>
                <w:lang w:val="en-US"/>
              </w:rPr>
              <w:t>Forward</w:t>
            </w: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roofErr w:type="spellStart"/>
            <w:r w:rsidRPr="00FF06CF">
              <w:rPr>
                <w:rFonts w:ascii="Arial" w:hAnsi="Arial" w:cs="Arial"/>
                <w:bCs/>
                <w:sz w:val="20"/>
                <w:szCs w:val="20"/>
                <w:lang w:val="en-US"/>
              </w:rPr>
              <w:t>CTGCCTATTGACGCTCGCG</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58.9</w:t>
            </w:r>
          </w:p>
        </w:tc>
      </w:tr>
      <w:tr w:rsidR="00E93CCA" w:rsidRPr="00B12147" w:rsidTr="00D409BD">
        <w:trPr>
          <w:trHeight w:val="333"/>
        </w:trPr>
        <w:tc>
          <w:tcPr>
            <w:tcW w:w="2547" w:type="dxa"/>
            <w:vMerge/>
          </w:tcPr>
          <w:p w:rsidR="00E93CCA" w:rsidRPr="00FF06CF" w:rsidRDefault="00E93CCA" w:rsidP="00D409BD">
            <w:pPr>
              <w:snapToGrid w:val="0"/>
              <w:spacing w:line="360" w:lineRule="auto"/>
              <w:jc w:val="both"/>
              <w:rPr>
                <w:rFonts w:ascii="Arial" w:hAnsi="Arial" w:cs="Arial"/>
                <w:b/>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Reverse</w:t>
            </w:r>
          </w:p>
        </w:tc>
        <w:tc>
          <w:tcPr>
            <w:tcW w:w="3260" w:type="dxa"/>
          </w:tcPr>
          <w:p w:rsidR="00E93CCA" w:rsidRPr="00FF06CF" w:rsidRDefault="00E93CCA" w:rsidP="00D409BD">
            <w:pPr>
              <w:snapToGrid w:val="0"/>
              <w:spacing w:line="360" w:lineRule="auto"/>
              <w:jc w:val="both"/>
              <w:rPr>
                <w:rFonts w:ascii="Arial" w:hAnsi="Arial" w:cs="Arial"/>
                <w:bCs/>
                <w:sz w:val="20"/>
                <w:szCs w:val="20"/>
                <w:lang w:val="en-US"/>
              </w:rPr>
            </w:pPr>
            <w:proofErr w:type="spellStart"/>
            <w:r w:rsidRPr="00FF06CF">
              <w:rPr>
                <w:rFonts w:ascii="Arial" w:hAnsi="Arial" w:cs="Arial"/>
                <w:bCs/>
                <w:sz w:val="20"/>
                <w:szCs w:val="20"/>
                <w:lang w:val="en-US"/>
              </w:rPr>
              <w:t>ACCACATCGTCGACACCGC</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60.4</w:t>
            </w:r>
          </w:p>
        </w:tc>
      </w:tr>
      <w:tr w:rsidR="00E93CCA" w:rsidRPr="00B12147" w:rsidTr="00D409BD">
        <w:trPr>
          <w:trHeight w:val="343"/>
        </w:trPr>
        <w:tc>
          <w:tcPr>
            <w:tcW w:w="2547" w:type="dxa"/>
            <w:vMerge/>
          </w:tcPr>
          <w:p w:rsidR="00E93CCA" w:rsidRPr="00FF06CF" w:rsidRDefault="00E93CCA" w:rsidP="00D409BD">
            <w:pPr>
              <w:snapToGrid w:val="0"/>
              <w:spacing w:line="360" w:lineRule="auto"/>
              <w:jc w:val="both"/>
              <w:rPr>
                <w:rFonts w:ascii="Arial" w:hAnsi="Arial" w:cs="Arial"/>
                <w:b/>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p>
        </w:tc>
      </w:tr>
      <w:tr w:rsidR="00E93CCA" w:rsidRPr="00B12147" w:rsidTr="00D409BD">
        <w:trPr>
          <w:trHeight w:val="343"/>
        </w:trPr>
        <w:tc>
          <w:tcPr>
            <w:tcW w:w="2547" w:type="dxa"/>
            <w:vMerge w:val="restart"/>
          </w:tcPr>
          <w:p w:rsidR="00E93CCA" w:rsidRPr="00FF06CF" w:rsidRDefault="00E93CCA" w:rsidP="00D409BD">
            <w:pPr>
              <w:snapToGrid w:val="0"/>
              <w:spacing w:line="360" w:lineRule="auto"/>
              <w:jc w:val="both"/>
              <w:rPr>
                <w:rFonts w:ascii="Arial" w:hAnsi="Arial" w:cs="Arial"/>
                <w:bCs/>
                <w:sz w:val="20"/>
                <w:szCs w:val="20"/>
                <w:lang w:val="en-US"/>
              </w:rPr>
            </w:pPr>
            <w:proofErr w:type="spellStart"/>
            <w:r w:rsidRPr="00FF06CF">
              <w:rPr>
                <w:rFonts w:ascii="Arial" w:hAnsi="Arial" w:cs="Arial"/>
                <w:bCs/>
                <w:sz w:val="20"/>
                <w:szCs w:val="20"/>
                <w:lang w:val="en-US"/>
              </w:rPr>
              <w:t>qRT</w:t>
            </w:r>
            <w:proofErr w:type="spellEnd"/>
            <w:r w:rsidRPr="00FF06CF">
              <w:rPr>
                <w:rFonts w:ascii="Arial" w:hAnsi="Arial" w:cs="Arial"/>
                <w:bCs/>
                <w:sz w:val="20"/>
                <w:szCs w:val="20"/>
                <w:lang w:val="en-US"/>
              </w:rPr>
              <w:t xml:space="preserve">-PCR of </w:t>
            </w:r>
            <w:proofErr w:type="spellStart"/>
            <w:r w:rsidRPr="00FF06CF">
              <w:rPr>
                <w:rFonts w:ascii="Arial" w:hAnsi="Arial" w:cs="Arial"/>
                <w:bCs/>
                <w:i/>
                <w:sz w:val="20"/>
                <w:szCs w:val="20"/>
                <w:lang w:val="en-US"/>
              </w:rPr>
              <w:t>coxL</w:t>
            </w:r>
            <w:proofErr w:type="spellEnd"/>
            <w:r w:rsidRPr="00FF06CF">
              <w:rPr>
                <w:rFonts w:ascii="Arial" w:hAnsi="Arial" w:cs="Arial"/>
                <w:bCs/>
                <w:sz w:val="20"/>
                <w:szCs w:val="20"/>
                <w:lang w:val="en-US"/>
              </w:rPr>
              <w:t xml:space="preserve"> </w:t>
            </w:r>
          </w:p>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gene (</w:t>
            </w:r>
            <w:proofErr w:type="spellStart"/>
            <w:r w:rsidRPr="00FF06CF">
              <w:rPr>
                <w:rFonts w:ascii="Arial" w:hAnsi="Arial" w:cs="Arial"/>
                <w:bCs/>
                <w:sz w:val="20"/>
                <w:szCs w:val="20"/>
                <w:lang w:val="en-US"/>
              </w:rPr>
              <w:t>MSMEG_0746</w:t>
            </w:r>
            <w:proofErr w:type="spellEnd"/>
            <w:r w:rsidRPr="00FF06CF">
              <w:rPr>
                <w:rFonts w:ascii="Arial" w:hAnsi="Arial" w:cs="Arial"/>
                <w:bCs/>
                <w:sz w:val="20"/>
                <w:szCs w:val="20"/>
                <w:lang w:val="en-US"/>
              </w:rPr>
              <w:t>)</w:t>
            </w: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Forward</w:t>
            </w: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roofErr w:type="spellStart"/>
            <w:r w:rsidRPr="00FF06CF">
              <w:rPr>
                <w:rFonts w:ascii="Arial" w:hAnsi="Arial" w:cs="Arial"/>
                <w:sz w:val="20"/>
                <w:szCs w:val="20"/>
              </w:rPr>
              <w:t>CGTGGTGGTCAAACAGGAGA</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sz w:val="20"/>
                <w:szCs w:val="20"/>
              </w:rPr>
              <w:t>57.2</w:t>
            </w:r>
          </w:p>
        </w:tc>
      </w:tr>
      <w:tr w:rsidR="00E93CCA" w:rsidRPr="00B12147" w:rsidTr="00D409BD">
        <w:trPr>
          <w:trHeight w:val="343"/>
        </w:trPr>
        <w:tc>
          <w:tcPr>
            <w:tcW w:w="2547" w:type="dxa"/>
            <w:vMerge/>
          </w:tcPr>
          <w:p w:rsidR="00E93CCA" w:rsidRPr="00FF06CF" w:rsidRDefault="00E93CCA" w:rsidP="00D409BD">
            <w:pPr>
              <w:snapToGrid w:val="0"/>
              <w:spacing w:line="360" w:lineRule="auto"/>
              <w:jc w:val="both"/>
              <w:rPr>
                <w:rFonts w:ascii="Arial" w:hAnsi="Arial" w:cs="Arial"/>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Reverse</w:t>
            </w: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roofErr w:type="spellStart"/>
            <w:r w:rsidRPr="00FF06CF">
              <w:rPr>
                <w:rFonts w:ascii="Arial" w:hAnsi="Arial" w:cs="Arial"/>
                <w:sz w:val="20"/>
                <w:szCs w:val="20"/>
              </w:rPr>
              <w:t>GATCTCGCCGACCATGATGT</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sz w:val="20"/>
                <w:szCs w:val="20"/>
              </w:rPr>
              <w:t>57.1</w:t>
            </w:r>
          </w:p>
        </w:tc>
      </w:tr>
      <w:tr w:rsidR="00E93CCA" w:rsidRPr="00B12147" w:rsidTr="00D409BD">
        <w:trPr>
          <w:trHeight w:val="343"/>
        </w:trPr>
        <w:tc>
          <w:tcPr>
            <w:tcW w:w="2547" w:type="dxa"/>
          </w:tcPr>
          <w:p w:rsidR="00E93CCA" w:rsidRPr="00FF06CF" w:rsidRDefault="00E93CCA" w:rsidP="00D409BD">
            <w:pPr>
              <w:snapToGrid w:val="0"/>
              <w:spacing w:line="360" w:lineRule="auto"/>
              <w:jc w:val="both"/>
              <w:rPr>
                <w:rFonts w:ascii="Arial" w:hAnsi="Arial" w:cs="Arial"/>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p>
        </w:tc>
      </w:tr>
      <w:tr w:rsidR="00E93CCA" w:rsidRPr="00B12147" w:rsidTr="00D409BD">
        <w:trPr>
          <w:trHeight w:val="343"/>
        </w:trPr>
        <w:tc>
          <w:tcPr>
            <w:tcW w:w="2547" w:type="dxa"/>
            <w:vMerge w:val="restart"/>
          </w:tcPr>
          <w:p w:rsidR="00E93CCA" w:rsidRPr="00FF06CF" w:rsidRDefault="00E93CCA" w:rsidP="00D409BD">
            <w:pPr>
              <w:snapToGrid w:val="0"/>
              <w:spacing w:line="360" w:lineRule="auto"/>
              <w:jc w:val="both"/>
              <w:rPr>
                <w:rFonts w:ascii="Arial" w:hAnsi="Arial" w:cs="Arial"/>
                <w:bCs/>
                <w:sz w:val="20"/>
                <w:szCs w:val="20"/>
                <w:lang w:val="en-US"/>
              </w:rPr>
            </w:pPr>
            <w:proofErr w:type="spellStart"/>
            <w:r w:rsidRPr="00FF06CF">
              <w:rPr>
                <w:rFonts w:ascii="Arial" w:hAnsi="Arial" w:cs="Arial"/>
                <w:bCs/>
                <w:sz w:val="20"/>
                <w:szCs w:val="20"/>
                <w:lang w:val="en-US"/>
              </w:rPr>
              <w:t>qRT</w:t>
            </w:r>
            <w:proofErr w:type="spellEnd"/>
            <w:r w:rsidRPr="00FF06CF">
              <w:rPr>
                <w:rFonts w:ascii="Arial" w:hAnsi="Arial" w:cs="Arial"/>
                <w:bCs/>
                <w:sz w:val="20"/>
                <w:szCs w:val="20"/>
                <w:lang w:val="en-US"/>
              </w:rPr>
              <w:t xml:space="preserve">-PCR of </w:t>
            </w:r>
            <w:proofErr w:type="spellStart"/>
            <w:r w:rsidRPr="00FF06CF">
              <w:rPr>
                <w:rFonts w:ascii="Arial" w:hAnsi="Arial" w:cs="Arial"/>
                <w:bCs/>
                <w:i/>
                <w:sz w:val="20"/>
                <w:szCs w:val="20"/>
                <w:lang w:val="en-US"/>
              </w:rPr>
              <w:t>sigA</w:t>
            </w:r>
            <w:proofErr w:type="spellEnd"/>
            <w:r w:rsidRPr="00FF06CF">
              <w:rPr>
                <w:rFonts w:ascii="Arial" w:hAnsi="Arial" w:cs="Arial"/>
                <w:bCs/>
                <w:sz w:val="20"/>
                <w:szCs w:val="20"/>
                <w:lang w:val="en-US"/>
              </w:rPr>
              <w:t xml:space="preserve"> </w:t>
            </w:r>
          </w:p>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gene (</w:t>
            </w:r>
            <w:proofErr w:type="spellStart"/>
            <w:r w:rsidRPr="00FF06CF">
              <w:rPr>
                <w:rFonts w:ascii="Arial" w:hAnsi="Arial" w:cs="Arial"/>
                <w:bCs/>
                <w:sz w:val="20"/>
                <w:szCs w:val="20"/>
                <w:lang w:val="en-US"/>
              </w:rPr>
              <w:t>MSMEG_2758</w:t>
            </w:r>
            <w:proofErr w:type="spellEnd"/>
            <w:r w:rsidRPr="00FF06CF">
              <w:rPr>
                <w:rFonts w:ascii="Arial" w:hAnsi="Arial" w:cs="Arial"/>
                <w:bCs/>
                <w:sz w:val="20"/>
                <w:szCs w:val="20"/>
                <w:lang w:val="en-US"/>
              </w:rPr>
              <w:t>)</w:t>
            </w: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Forward</w:t>
            </w: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roofErr w:type="spellStart"/>
            <w:r w:rsidRPr="00FF06CF">
              <w:rPr>
                <w:rFonts w:ascii="Arial" w:hAnsi="Arial" w:cs="Arial"/>
                <w:sz w:val="20"/>
                <w:szCs w:val="20"/>
              </w:rPr>
              <w:t>CTCAACGCCGAAGAAGAGGT</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sz w:val="20"/>
                <w:szCs w:val="20"/>
              </w:rPr>
              <w:t>57.2</w:t>
            </w:r>
          </w:p>
        </w:tc>
      </w:tr>
      <w:tr w:rsidR="00E93CCA" w:rsidRPr="00B12147" w:rsidTr="00D409BD">
        <w:trPr>
          <w:trHeight w:val="343"/>
        </w:trPr>
        <w:tc>
          <w:tcPr>
            <w:tcW w:w="2547" w:type="dxa"/>
            <w:vMerge/>
          </w:tcPr>
          <w:p w:rsidR="00E93CCA" w:rsidRPr="00FF06CF" w:rsidRDefault="00E93CCA" w:rsidP="00D409BD">
            <w:pPr>
              <w:snapToGrid w:val="0"/>
              <w:spacing w:line="360" w:lineRule="auto"/>
              <w:jc w:val="both"/>
              <w:rPr>
                <w:rFonts w:ascii="Arial" w:hAnsi="Arial" w:cs="Arial"/>
                <w:bCs/>
                <w:sz w:val="20"/>
                <w:szCs w:val="20"/>
                <w:lang w:val="en-US"/>
              </w:rPr>
            </w:pPr>
          </w:p>
        </w:tc>
        <w:tc>
          <w:tcPr>
            <w:tcW w:w="1706"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bCs/>
                <w:sz w:val="20"/>
                <w:szCs w:val="20"/>
                <w:lang w:val="en-US"/>
              </w:rPr>
              <w:t>Reverse</w:t>
            </w:r>
          </w:p>
        </w:tc>
        <w:tc>
          <w:tcPr>
            <w:tcW w:w="3260" w:type="dxa"/>
          </w:tcPr>
          <w:p w:rsidR="00E93CCA" w:rsidRPr="00FF06CF" w:rsidRDefault="00E93CCA" w:rsidP="00D409BD">
            <w:pPr>
              <w:snapToGrid w:val="0"/>
              <w:spacing w:line="360" w:lineRule="auto"/>
              <w:jc w:val="both"/>
              <w:rPr>
                <w:rFonts w:ascii="Arial" w:hAnsi="Arial" w:cs="Arial"/>
                <w:b/>
                <w:bCs/>
                <w:sz w:val="20"/>
                <w:szCs w:val="20"/>
                <w:lang w:val="en-US"/>
              </w:rPr>
            </w:pPr>
            <w:proofErr w:type="spellStart"/>
            <w:r w:rsidRPr="00FF06CF">
              <w:rPr>
                <w:rFonts w:ascii="Arial" w:hAnsi="Arial" w:cs="Arial"/>
                <w:sz w:val="20"/>
                <w:szCs w:val="20"/>
              </w:rPr>
              <w:t>GCCCTTGGTGTAGTCGAACT</w:t>
            </w:r>
            <w:proofErr w:type="spellEnd"/>
          </w:p>
        </w:tc>
        <w:tc>
          <w:tcPr>
            <w:tcW w:w="1420" w:type="dxa"/>
          </w:tcPr>
          <w:p w:rsidR="00E93CCA" w:rsidRPr="00FF06CF" w:rsidRDefault="00E93CCA" w:rsidP="00D409BD">
            <w:pPr>
              <w:snapToGrid w:val="0"/>
              <w:spacing w:line="360" w:lineRule="auto"/>
              <w:jc w:val="both"/>
              <w:rPr>
                <w:rFonts w:ascii="Arial" w:hAnsi="Arial" w:cs="Arial"/>
                <w:bCs/>
                <w:sz w:val="20"/>
                <w:szCs w:val="20"/>
                <w:lang w:val="en-US"/>
              </w:rPr>
            </w:pPr>
            <w:r w:rsidRPr="00FF06CF">
              <w:rPr>
                <w:rFonts w:ascii="Arial" w:hAnsi="Arial" w:cs="Arial"/>
                <w:sz w:val="20"/>
                <w:szCs w:val="20"/>
              </w:rPr>
              <w:t>57.0</w:t>
            </w:r>
          </w:p>
        </w:tc>
      </w:tr>
      <w:tr w:rsidR="00E93CCA" w:rsidTr="00D409BD">
        <w:trPr>
          <w:trHeight w:val="333"/>
        </w:trPr>
        <w:tc>
          <w:tcPr>
            <w:tcW w:w="2547" w:type="dxa"/>
          </w:tcPr>
          <w:p w:rsidR="00E93CCA" w:rsidRDefault="00E93CCA" w:rsidP="00D409BD">
            <w:pPr>
              <w:snapToGrid w:val="0"/>
              <w:spacing w:line="360" w:lineRule="auto"/>
              <w:jc w:val="both"/>
              <w:rPr>
                <w:rFonts w:ascii="Arial" w:hAnsi="Arial" w:cs="Arial"/>
                <w:bCs/>
                <w:sz w:val="20"/>
                <w:szCs w:val="20"/>
                <w:lang w:val="en-US"/>
              </w:rPr>
            </w:pPr>
          </w:p>
        </w:tc>
        <w:tc>
          <w:tcPr>
            <w:tcW w:w="1706" w:type="dxa"/>
          </w:tcPr>
          <w:p w:rsidR="00E93CCA" w:rsidRDefault="00E93CCA" w:rsidP="00D409BD">
            <w:pPr>
              <w:snapToGrid w:val="0"/>
              <w:spacing w:line="360" w:lineRule="auto"/>
              <w:jc w:val="both"/>
              <w:rPr>
                <w:rFonts w:ascii="Arial" w:hAnsi="Arial" w:cs="Arial"/>
                <w:bCs/>
                <w:i/>
                <w:sz w:val="20"/>
                <w:szCs w:val="20"/>
                <w:lang w:val="en-US"/>
              </w:rPr>
            </w:pPr>
          </w:p>
        </w:tc>
        <w:tc>
          <w:tcPr>
            <w:tcW w:w="3260" w:type="dxa"/>
          </w:tcPr>
          <w:p w:rsidR="00E93CCA" w:rsidRDefault="00E93CCA" w:rsidP="00D409BD">
            <w:pPr>
              <w:snapToGrid w:val="0"/>
              <w:spacing w:line="360" w:lineRule="auto"/>
              <w:jc w:val="both"/>
              <w:rPr>
                <w:rFonts w:ascii="Arial" w:hAnsi="Arial" w:cs="Arial"/>
                <w:bCs/>
                <w:sz w:val="20"/>
                <w:szCs w:val="20"/>
                <w:lang w:val="en-US"/>
              </w:rPr>
            </w:pPr>
          </w:p>
        </w:tc>
        <w:tc>
          <w:tcPr>
            <w:tcW w:w="1420" w:type="dxa"/>
          </w:tcPr>
          <w:p w:rsidR="00E93CCA" w:rsidRDefault="00E93CCA" w:rsidP="00D409BD">
            <w:pPr>
              <w:snapToGrid w:val="0"/>
              <w:spacing w:line="360" w:lineRule="auto"/>
              <w:jc w:val="both"/>
              <w:rPr>
                <w:rFonts w:ascii="Arial" w:hAnsi="Arial" w:cs="Arial"/>
                <w:bCs/>
                <w:sz w:val="20"/>
                <w:szCs w:val="20"/>
                <w:lang w:val="en-US"/>
              </w:rPr>
            </w:pPr>
          </w:p>
        </w:tc>
      </w:tr>
    </w:tbl>
    <w:p w:rsidR="00E93CCA" w:rsidRDefault="00E93CCA" w:rsidP="00E93CCA">
      <w:pPr>
        <w:tabs>
          <w:tab w:val="left" w:pos="6944"/>
        </w:tabs>
        <w:rPr>
          <w:rFonts w:ascii="Arial" w:hAnsi="Arial" w:cs="Arial"/>
          <w:sz w:val="24"/>
          <w:szCs w:val="24"/>
          <w:lang w:val="en-US"/>
        </w:rPr>
        <w:sectPr w:rsidR="00E93CCA" w:rsidSect="00D438A8">
          <w:pgSz w:w="11906" w:h="16838"/>
          <w:pgMar w:top="1440" w:right="1440" w:bottom="1440" w:left="1440" w:header="709" w:footer="709" w:gutter="0"/>
          <w:lnNumType w:countBy="1" w:restart="continuous"/>
          <w:cols w:space="708"/>
          <w:docGrid w:linePitch="360"/>
        </w:sectPr>
      </w:pPr>
    </w:p>
    <w:p w:rsidR="00E93CCA" w:rsidRDefault="00E93CCA" w:rsidP="00E93CCA">
      <w:pPr>
        <w:tabs>
          <w:tab w:val="left" w:pos="6944"/>
        </w:tabs>
        <w:spacing w:line="360" w:lineRule="auto"/>
        <w:jc w:val="both"/>
        <w:rPr>
          <w:rFonts w:ascii="Arial" w:hAnsi="Arial" w:cs="Arial"/>
          <w:sz w:val="24"/>
          <w:szCs w:val="24"/>
          <w:lang w:val="en-US"/>
        </w:rPr>
      </w:pPr>
      <w:r>
        <w:rPr>
          <w:rFonts w:ascii="Arial" w:hAnsi="Arial" w:cs="Arial"/>
          <w:b/>
          <w:sz w:val="24"/>
          <w:szCs w:val="24"/>
          <w:lang w:val="en-US"/>
        </w:rPr>
        <w:lastRenderedPageBreak/>
        <w:t xml:space="preserve">Figure </w:t>
      </w:r>
      <w:proofErr w:type="spellStart"/>
      <w:r>
        <w:rPr>
          <w:rFonts w:ascii="Arial" w:hAnsi="Arial" w:cs="Arial"/>
          <w:b/>
          <w:sz w:val="24"/>
          <w:szCs w:val="24"/>
          <w:lang w:val="en-US"/>
        </w:rPr>
        <w:t>S1</w:t>
      </w:r>
      <w:proofErr w:type="spellEnd"/>
      <w:r>
        <w:rPr>
          <w:rFonts w:ascii="Arial" w:hAnsi="Arial" w:cs="Arial"/>
          <w:b/>
          <w:sz w:val="24"/>
          <w:szCs w:val="24"/>
          <w:lang w:val="en-US"/>
        </w:rPr>
        <w:t xml:space="preserve">. Deletion of the </w:t>
      </w:r>
      <w:proofErr w:type="spellStart"/>
      <w:r>
        <w:rPr>
          <w:rFonts w:ascii="Arial" w:hAnsi="Arial" w:cs="Arial"/>
          <w:b/>
          <w:i/>
          <w:sz w:val="24"/>
          <w:szCs w:val="24"/>
          <w:lang w:val="en-US"/>
        </w:rPr>
        <w:t>coxL</w:t>
      </w:r>
      <w:proofErr w:type="spellEnd"/>
      <w:r>
        <w:rPr>
          <w:rFonts w:ascii="Arial" w:hAnsi="Arial" w:cs="Arial"/>
          <w:b/>
          <w:sz w:val="24"/>
          <w:szCs w:val="24"/>
          <w:lang w:val="en-US"/>
        </w:rPr>
        <w:t xml:space="preserve"> gene in </w:t>
      </w:r>
      <w:r>
        <w:rPr>
          <w:rFonts w:ascii="Arial" w:hAnsi="Arial" w:cs="Arial"/>
          <w:b/>
          <w:i/>
          <w:sz w:val="24"/>
          <w:szCs w:val="24"/>
          <w:lang w:val="en-US"/>
        </w:rPr>
        <w:t>Mycobacterium smegmatis</w:t>
      </w:r>
      <w:r>
        <w:rPr>
          <w:rFonts w:ascii="Arial" w:hAnsi="Arial" w:cs="Arial"/>
          <w:b/>
          <w:sz w:val="24"/>
          <w:szCs w:val="24"/>
          <w:lang w:val="en-US"/>
        </w:rPr>
        <w:t xml:space="preserve">. </w:t>
      </w:r>
      <w:r>
        <w:rPr>
          <w:rFonts w:ascii="Arial" w:hAnsi="Arial" w:cs="Arial"/>
          <w:sz w:val="24"/>
          <w:szCs w:val="24"/>
          <w:lang w:val="en-US"/>
        </w:rPr>
        <w:t xml:space="preserve">The schematic shows the four main steps that led to the production of a knockout of the </w:t>
      </w:r>
      <w:proofErr w:type="spellStart"/>
      <w:r>
        <w:rPr>
          <w:rFonts w:ascii="Arial" w:hAnsi="Arial" w:cs="Arial"/>
          <w:i/>
          <w:sz w:val="24"/>
          <w:szCs w:val="24"/>
          <w:lang w:val="en-US"/>
        </w:rPr>
        <w:t>coxL</w:t>
      </w:r>
      <w:proofErr w:type="spellEnd"/>
      <w:r>
        <w:rPr>
          <w:rFonts w:ascii="Arial" w:hAnsi="Arial" w:cs="Arial"/>
          <w:i/>
          <w:sz w:val="24"/>
          <w:szCs w:val="24"/>
          <w:lang w:val="en-US"/>
        </w:rPr>
        <w:t xml:space="preserve"> </w:t>
      </w:r>
      <w:r>
        <w:rPr>
          <w:rFonts w:ascii="Arial" w:hAnsi="Arial" w:cs="Arial"/>
          <w:sz w:val="24"/>
          <w:szCs w:val="24"/>
          <w:lang w:val="en-US"/>
        </w:rPr>
        <w:t>gene (</w:t>
      </w:r>
      <w:proofErr w:type="spellStart"/>
      <w:r>
        <w:rPr>
          <w:rFonts w:ascii="Arial" w:hAnsi="Arial" w:cs="Arial"/>
          <w:sz w:val="24"/>
          <w:szCs w:val="24"/>
          <w:lang w:val="en-US"/>
        </w:rPr>
        <w:t>MSMEG_0746</w:t>
      </w:r>
      <w:proofErr w:type="spellEnd"/>
      <w:r>
        <w:rPr>
          <w:rFonts w:ascii="Arial" w:hAnsi="Arial" w:cs="Arial"/>
          <w:sz w:val="24"/>
          <w:szCs w:val="24"/>
          <w:lang w:val="en-US"/>
        </w:rPr>
        <w:t>). (</w:t>
      </w:r>
      <w:proofErr w:type="spellStart"/>
      <w:r>
        <w:rPr>
          <w:rFonts w:ascii="Arial" w:hAnsi="Arial" w:cs="Arial"/>
          <w:b/>
          <w:sz w:val="24"/>
          <w:szCs w:val="24"/>
          <w:lang w:val="en-US"/>
        </w:rPr>
        <w:t>i</w:t>
      </w:r>
      <w:proofErr w:type="spellEnd"/>
      <w:r>
        <w:rPr>
          <w:rFonts w:ascii="Arial" w:hAnsi="Arial" w:cs="Arial"/>
          <w:b/>
          <w:sz w:val="24"/>
          <w:szCs w:val="24"/>
          <w:lang w:val="en-US"/>
        </w:rPr>
        <w:t xml:space="preserve">) </w:t>
      </w:r>
      <w:r>
        <w:rPr>
          <w:rFonts w:ascii="Arial" w:hAnsi="Arial" w:cs="Arial"/>
          <w:sz w:val="24"/>
          <w:szCs w:val="24"/>
          <w:lang w:val="en-US"/>
        </w:rPr>
        <w:t xml:space="preserve">Construction of the </w:t>
      </w:r>
      <w:proofErr w:type="spellStart"/>
      <w:r>
        <w:rPr>
          <w:rFonts w:ascii="Arial" w:hAnsi="Arial" w:cs="Arial"/>
          <w:sz w:val="24"/>
          <w:szCs w:val="24"/>
          <w:lang w:val="en-US"/>
        </w:rPr>
        <w:t>pX33_coxL</w:t>
      </w:r>
      <w:proofErr w:type="spellEnd"/>
      <w:r>
        <w:rPr>
          <w:rFonts w:ascii="Arial" w:hAnsi="Arial" w:cs="Arial"/>
          <w:sz w:val="24"/>
          <w:szCs w:val="24"/>
          <w:lang w:val="en-US"/>
        </w:rPr>
        <w:t xml:space="preserve"> vector containing a fused left flank (</w:t>
      </w:r>
      <w:proofErr w:type="spellStart"/>
      <w:r>
        <w:rPr>
          <w:rFonts w:ascii="Arial" w:hAnsi="Arial" w:cs="Arial"/>
          <w:sz w:val="24"/>
          <w:szCs w:val="24"/>
          <w:lang w:val="en-US"/>
        </w:rPr>
        <w:t>LF</w:t>
      </w:r>
      <w:proofErr w:type="spellEnd"/>
      <w:r>
        <w:rPr>
          <w:rFonts w:ascii="Arial" w:hAnsi="Arial" w:cs="Arial"/>
          <w:sz w:val="24"/>
          <w:szCs w:val="24"/>
          <w:lang w:val="en-US"/>
        </w:rPr>
        <w:t xml:space="preserve">) and right flank (RF) of the </w:t>
      </w:r>
      <w:proofErr w:type="spellStart"/>
      <w:r>
        <w:rPr>
          <w:rFonts w:ascii="Arial" w:hAnsi="Arial" w:cs="Arial"/>
          <w:i/>
          <w:sz w:val="24"/>
          <w:szCs w:val="24"/>
          <w:lang w:val="en-US"/>
        </w:rPr>
        <w:t>coxL</w:t>
      </w:r>
      <w:proofErr w:type="spellEnd"/>
      <w:r>
        <w:rPr>
          <w:rFonts w:ascii="Arial" w:hAnsi="Arial" w:cs="Arial"/>
          <w:i/>
          <w:sz w:val="24"/>
          <w:szCs w:val="24"/>
          <w:lang w:val="en-US"/>
        </w:rPr>
        <w:t xml:space="preserve"> </w:t>
      </w:r>
      <w:r>
        <w:rPr>
          <w:rFonts w:ascii="Arial" w:hAnsi="Arial" w:cs="Arial"/>
          <w:sz w:val="24"/>
          <w:szCs w:val="24"/>
          <w:lang w:val="en-US"/>
        </w:rPr>
        <w:t>gene. (</w:t>
      </w:r>
      <w:r>
        <w:rPr>
          <w:rFonts w:ascii="Arial" w:hAnsi="Arial" w:cs="Arial"/>
          <w:b/>
          <w:sz w:val="24"/>
          <w:szCs w:val="24"/>
          <w:lang w:val="en-US"/>
        </w:rPr>
        <w:t>ii</w:t>
      </w:r>
      <w:r w:rsidRPr="00CC17AF">
        <w:rPr>
          <w:rFonts w:ascii="Arial" w:hAnsi="Arial" w:cs="Arial"/>
          <w:sz w:val="24"/>
          <w:szCs w:val="24"/>
          <w:lang w:val="en-US"/>
        </w:rPr>
        <w:t>)</w:t>
      </w:r>
      <w:r>
        <w:rPr>
          <w:rFonts w:ascii="Arial" w:hAnsi="Arial" w:cs="Arial"/>
          <w:sz w:val="24"/>
          <w:szCs w:val="24"/>
          <w:lang w:val="en-US"/>
        </w:rPr>
        <w:t xml:space="preserve"> Temperature-mediated integration of the vector into the </w:t>
      </w:r>
      <w:r>
        <w:rPr>
          <w:rFonts w:ascii="Arial" w:hAnsi="Arial" w:cs="Arial"/>
          <w:i/>
          <w:sz w:val="24"/>
          <w:szCs w:val="24"/>
          <w:lang w:val="en-US"/>
        </w:rPr>
        <w:t>M. smegmatis</w:t>
      </w:r>
      <w:r>
        <w:rPr>
          <w:rFonts w:ascii="Arial" w:hAnsi="Arial" w:cs="Arial"/>
          <w:sz w:val="24"/>
          <w:szCs w:val="24"/>
          <w:lang w:val="en-US"/>
        </w:rPr>
        <w:t xml:space="preserve"> chromosome </w:t>
      </w:r>
      <w:r>
        <w:rPr>
          <w:rFonts w:ascii="Arial" w:hAnsi="Arial" w:cs="Arial"/>
          <w:i/>
          <w:sz w:val="24"/>
          <w:szCs w:val="24"/>
          <w:lang w:val="en-US"/>
        </w:rPr>
        <w:t xml:space="preserve">via </w:t>
      </w:r>
      <w:r>
        <w:rPr>
          <w:rFonts w:ascii="Arial" w:hAnsi="Arial" w:cs="Arial"/>
          <w:sz w:val="24"/>
          <w:szCs w:val="24"/>
          <w:lang w:val="en-US"/>
        </w:rPr>
        <w:t xml:space="preserve">either the left flank or right flank of the chromosomal </w:t>
      </w:r>
      <w:proofErr w:type="spellStart"/>
      <w:r>
        <w:rPr>
          <w:rFonts w:ascii="Arial" w:hAnsi="Arial" w:cs="Arial"/>
          <w:i/>
          <w:sz w:val="24"/>
          <w:szCs w:val="24"/>
          <w:lang w:val="en-US"/>
        </w:rPr>
        <w:t>coxL</w:t>
      </w:r>
      <w:proofErr w:type="spellEnd"/>
      <w:r>
        <w:rPr>
          <w:rFonts w:ascii="Arial" w:hAnsi="Arial" w:cs="Arial"/>
          <w:i/>
          <w:sz w:val="24"/>
          <w:szCs w:val="24"/>
          <w:lang w:val="en-US"/>
        </w:rPr>
        <w:t xml:space="preserve"> </w:t>
      </w:r>
      <w:r>
        <w:rPr>
          <w:rFonts w:ascii="Arial" w:hAnsi="Arial" w:cs="Arial"/>
          <w:sz w:val="24"/>
          <w:szCs w:val="24"/>
          <w:lang w:val="en-US"/>
        </w:rPr>
        <w:t>gene. (</w:t>
      </w:r>
      <w:r>
        <w:rPr>
          <w:rFonts w:ascii="Arial" w:hAnsi="Arial" w:cs="Arial"/>
          <w:b/>
          <w:sz w:val="24"/>
          <w:szCs w:val="24"/>
          <w:lang w:val="en-US"/>
        </w:rPr>
        <w:t>iii</w:t>
      </w:r>
      <w:r w:rsidRPr="00CC17AF">
        <w:rPr>
          <w:rFonts w:ascii="Arial" w:hAnsi="Arial" w:cs="Arial"/>
          <w:sz w:val="24"/>
          <w:szCs w:val="24"/>
          <w:lang w:val="en-US"/>
        </w:rPr>
        <w:t>)</w:t>
      </w:r>
      <w:r>
        <w:rPr>
          <w:rFonts w:ascii="Arial" w:hAnsi="Arial" w:cs="Arial"/>
          <w:sz w:val="24"/>
          <w:szCs w:val="24"/>
          <w:lang w:val="en-US"/>
        </w:rPr>
        <w:t xml:space="preserve"> Chromosomal excision of the vector due to </w:t>
      </w:r>
      <w:proofErr w:type="spellStart"/>
      <w:r>
        <w:rPr>
          <w:rFonts w:ascii="Arial" w:hAnsi="Arial" w:cs="Arial"/>
          <w:i/>
          <w:sz w:val="24"/>
          <w:szCs w:val="24"/>
          <w:lang w:val="en-US"/>
        </w:rPr>
        <w:t>sacB</w:t>
      </w:r>
      <w:proofErr w:type="spellEnd"/>
      <w:r>
        <w:rPr>
          <w:rFonts w:ascii="Arial" w:hAnsi="Arial" w:cs="Arial"/>
          <w:sz w:val="24"/>
          <w:szCs w:val="24"/>
          <w:lang w:val="en-US"/>
        </w:rPr>
        <w:t xml:space="preserve">-mediated sucrose toxicity to either wild-type </w:t>
      </w:r>
      <w:proofErr w:type="spellStart"/>
      <w:r>
        <w:rPr>
          <w:rFonts w:ascii="Arial" w:hAnsi="Arial" w:cs="Arial"/>
          <w:sz w:val="24"/>
          <w:szCs w:val="24"/>
          <w:lang w:val="en-US"/>
        </w:rPr>
        <w:t>revertants</w:t>
      </w:r>
      <w:proofErr w:type="spellEnd"/>
      <w:r>
        <w:rPr>
          <w:rFonts w:ascii="Arial" w:hAnsi="Arial" w:cs="Arial"/>
          <w:sz w:val="24"/>
          <w:szCs w:val="24"/>
          <w:lang w:val="en-US"/>
        </w:rPr>
        <w:t xml:space="preserve"> or </w:t>
      </w:r>
      <w:proofErr w:type="spellStart"/>
      <w:r>
        <w:rPr>
          <w:rFonts w:ascii="Arial" w:hAnsi="Arial" w:cs="Arial"/>
          <w:sz w:val="24"/>
          <w:szCs w:val="24"/>
          <w:lang w:val="en-US"/>
        </w:rPr>
        <w:t>Δ</w:t>
      </w:r>
      <w:r>
        <w:rPr>
          <w:rFonts w:ascii="Arial" w:hAnsi="Arial" w:cs="Arial"/>
          <w:i/>
          <w:sz w:val="24"/>
          <w:szCs w:val="24"/>
          <w:lang w:val="en-US"/>
        </w:rPr>
        <w:t>coxL</w:t>
      </w:r>
      <w:proofErr w:type="spellEnd"/>
      <w:r>
        <w:rPr>
          <w:rFonts w:ascii="Arial" w:hAnsi="Arial" w:cs="Arial"/>
          <w:sz w:val="24"/>
          <w:szCs w:val="24"/>
          <w:lang w:val="en-US"/>
        </w:rPr>
        <w:t xml:space="preserve"> mutants. (</w:t>
      </w:r>
      <w:r>
        <w:rPr>
          <w:rFonts w:ascii="Arial" w:hAnsi="Arial" w:cs="Arial"/>
          <w:b/>
          <w:sz w:val="24"/>
          <w:szCs w:val="24"/>
          <w:lang w:val="en-US"/>
        </w:rPr>
        <w:t>i</w:t>
      </w:r>
      <w:r w:rsidRPr="00922150">
        <w:rPr>
          <w:rFonts w:ascii="Arial" w:hAnsi="Arial" w:cs="Arial"/>
          <w:b/>
          <w:sz w:val="24"/>
          <w:szCs w:val="24"/>
          <w:lang w:val="en-US"/>
        </w:rPr>
        <w:t>v</w:t>
      </w:r>
      <w:r w:rsidRPr="00CC17AF">
        <w:rPr>
          <w:rFonts w:ascii="Arial" w:hAnsi="Arial" w:cs="Arial"/>
          <w:sz w:val="24"/>
          <w:szCs w:val="24"/>
          <w:lang w:val="en-US"/>
        </w:rPr>
        <w:t>)</w:t>
      </w:r>
      <w:r>
        <w:rPr>
          <w:rFonts w:ascii="Arial" w:hAnsi="Arial" w:cs="Arial"/>
          <w:sz w:val="24"/>
          <w:szCs w:val="24"/>
          <w:lang w:val="en-US"/>
        </w:rPr>
        <w:t xml:space="preserve"> PCR-based screening through primers targeting the flanks to confirm whether colonies are wild-type </w:t>
      </w:r>
      <w:proofErr w:type="spellStart"/>
      <w:r>
        <w:rPr>
          <w:rFonts w:ascii="Arial" w:hAnsi="Arial" w:cs="Arial"/>
          <w:sz w:val="24"/>
          <w:szCs w:val="24"/>
          <w:lang w:val="en-US"/>
        </w:rPr>
        <w:t>revertants</w:t>
      </w:r>
      <w:proofErr w:type="spellEnd"/>
      <w:r>
        <w:rPr>
          <w:rFonts w:ascii="Arial" w:hAnsi="Arial" w:cs="Arial"/>
          <w:sz w:val="24"/>
          <w:szCs w:val="24"/>
          <w:lang w:val="en-US"/>
        </w:rPr>
        <w:t xml:space="preserve"> (4610 bp product) or </w:t>
      </w:r>
      <w:proofErr w:type="spellStart"/>
      <w:r>
        <w:rPr>
          <w:rFonts w:ascii="Arial" w:hAnsi="Arial" w:cs="Arial"/>
          <w:sz w:val="24"/>
          <w:szCs w:val="24"/>
          <w:lang w:val="en-US"/>
        </w:rPr>
        <w:t>Δ</w:t>
      </w:r>
      <w:r>
        <w:rPr>
          <w:rFonts w:ascii="Arial" w:hAnsi="Arial" w:cs="Arial"/>
          <w:i/>
          <w:sz w:val="24"/>
          <w:szCs w:val="24"/>
          <w:lang w:val="en-US"/>
        </w:rPr>
        <w:t>coxL</w:t>
      </w:r>
      <w:proofErr w:type="spellEnd"/>
      <w:r>
        <w:rPr>
          <w:rFonts w:ascii="Arial" w:hAnsi="Arial" w:cs="Arial"/>
          <w:sz w:val="24"/>
          <w:szCs w:val="24"/>
          <w:lang w:val="en-US"/>
        </w:rPr>
        <w:t xml:space="preserve"> mutants (2330 bp product).</w:t>
      </w:r>
    </w:p>
    <w:p w:rsidR="00E93CCA" w:rsidRPr="002F0842" w:rsidRDefault="00E93CCA" w:rsidP="00E93CCA">
      <w:pPr>
        <w:tabs>
          <w:tab w:val="left" w:pos="6944"/>
        </w:tabs>
        <w:spacing w:line="360" w:lineRule="auto"/>
        <w:jc w:val="both"/>
        <w:rPr>
          <w:rFonts w:ascii="Arial" w:hAnsi="Arial" w:cs="Arial"/>
          <w:sz w:val="24"/>
          <w:szCs w:val="24"/>
          <w:lang w:val="en-US"/>
        </w:rPr>
      </w:pPr>
    </w:p>
    <w:p w:rsidR="00E93CCA" w:rsidRDefault="00E93CCA" w:rsidP="00E93CCA">
      <w:pPr>
        <w:tabs>
          <w:tab w:val="left" w:pos="6944"/>
        </w:tabs>
        <w:rPr>
          <w:rFonts w:ascii="Arial" w:hAnsi="Arial" w:cs="Arial"/>
          <w:b/>
          <w:sz w:val="24"/>
          <w:szCs w:val="24"/>
          <w:lang w:val="en-US"/>
        </w:rPr>
      </w:pPr>
      <w:r>
        <w:rPr>
          <w:noProof/>
        </w:rPr>
        <w:drawing>
          <wp:inline distT="0" distB="0" distL="0" distR="0" wp14:anchorId="21345AE3" wp14:editId="708F7F4B">
            <wp:extent cx="5731510" cy="381626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16263"/>
                    </a:xfrm>
                    <a:prstGeom prst="rect">
                      <a:avLst/>
                    </a:prstGeom>
                    <a:noFill/>
                    <a:ln>
                      <a:noFill/>
                    </a:ln>
                  </pic:spPr>
                </pic:pic>
              </a:graphicData>
            </a:graphic>
          </wp:inline>
        </w:drawing>
      </w:r>
    </w:p>
    <w:p w:rsidR="00E93CCA" w:rsidRDefault="00E93CCA" w:rsidP="00E93CCA">
      <w:pPr>
        <w:tabs>
          <w:tab w:val="left" w:pos="6944"/>
        </w:tabs>
        <w:spacing w:line="360" w:lineRule="auto"/>
        <w:jc w:val="both"/>
        <w:rPr>
          <w:rFonts w:ascii="Arial" w:hAnsi="Arial" w:cs="Arial"/>
          <w:b/>
          <w:sz w:val="24"/>
          <w:szCs w:val="24"/>
          <w:lang w:val="en-US"/>
        </w:rPr>
        <w:sectPr w:rsidR="00E93CCA" w:rsidSect="00D438A8">
          <w:pgSz w:w="11906" w:h="16838"/>
          <w:pgMar w:top="1440" w:right="1440" w:bottom="1440" w:left="1440" w:header="709" w:footer="709" w:gutter="0"/>
          <w:lnNumType w:countBy="1" w:restart="continuous"/>
          <w:cols w:space="708"/>
          <w:docGrid w:linePitch="360"/>
        </w:sectPr>
      </w:pPr>
    </w:p>
    <w:p w:rsidR="00E93CCA" w:rsidRDefault="00E93CCA" w:rsidP="00E93CCA">
      <w:pPr>
        <w:tabs>
          <w:tab w:val="left" w:pos="6944"/>
        </w:tabs>
        <w:spacing w:line="360" w:lineRule="auto"/>
        <w:jc w:val="both"/>
        <w:rPr>
          <w:rFonts w:ascii="Arial" w:hAnsi="Arial" w:cs="Arial"/>
          <w:sz w:val="24"/>
          <w:szCs w:val="24"/>
          <w:lang w:val="en-US"/>
        </w:rPr>
      </w:pPr>
      <w:r>
        <w:rPr>
          <w:rFonts w:ascii="Arial" w:hAnsi="Arial" w:cs="Arial"/>
          <w:b/>
          <w:sz w:val="24"/>
          <w:szCs w:val="24"/>
          <w:lang w:val="en-US"/>
        </w:rPr>
        <w:lastRenderedPageBreak/>
        <w:t xml:space="preserve">Figure </w:t>
      </w:r>
      <w:proofErr w:type="spellStart"/>
      <w:r>
        <w:rPr>
          <w:rFonts w:ascii="Arial" w:hAnsi="Arial" w:cs="Arial"/>
          <w:b/>
          <w:sz w:val="24"/>
          <w:szCs w:val="24"/>
          <w:lang w:val="en-US"/>
        </w:rPr>
        <w:t>S2</w:t>
      </w:r>
      <w:proofErr w:type="spellEnd"/>
      <w:r>
        <w:rPr>
          <w:rFonts w:ascii="Arial" w:hAnsi="Arial" w:cs="Arial"/>
          <w:b/>
          <w:sz w:val="24"/>
          <w:szCs w:val="24"/>
          <w:lang w:val="en-US"/>
        </w:rPr>
        <w:t xml:space="preserve"> (</w:t>
      </w:r>
      <w:proofErr w:type="spellStart"/>
      <w:r>
        <w:rPr>
          <w:rFonts w:ascii="Arial" w:hAnsi="Arial" w:cs="Arial"/>
          <w:b/>
          <w:sz w:val="24"/>
          <w:szCs w:val="24"/>
          <w:lang w:val="en-US"/>
        </w:rPr>
        <w:t>tif</w:t>
      </w:r>
      <w:proofErr w:type="spellEnd"/>
      <w:r>
        <w:rPr>
          <w:rFonts w:ascii="Arial" w:hAnsi="Arial" w:cs="Arial"/>
          <w:b/>
          <w:sz w:val="24"/>
          <w:szCs w:val="24"/>
          <w:lang w:val="en-US"/>
        </w:rPr>
        <w:t>). Neighbor-joining</w:t>
      </w:r>
      <w:r>
        <w:rPr>
          <w:rFonts w:asciiTheme="minorBidi" w:hAnsiTheme="minorBidi"/>
          <w:bCs/>
          <w:sz w:val="24"/>
          <w:szCs w:val="24"/>
          <w:lang w:val="en-US"/>
        </w:rPr>
        <w:t xml:space="preserve"> </w:t>
      </w:r>
      <w:r w:rsidRPr="002F0842">
        <w:rPr>
          <w:rFonts w:ascii="Arial" w:hAnsi="Arial" w:cs="Arial"/>
          <w:b/>
          <w:sz w:val="24"/>
          <w:szCs w:val="24"/>
          <w:lang w:val="en-US"/>
        </w:rPr>
        <w:t xml:space="preserve">phylogenetic tree showing the evolutionary history of the catalytic subunit of the </w:t>
      </w:r>
      <w:r>
        <w:rPr>
          <w:rFonts w:ascii="Arial" w:hAnsi="Arial" w:cs="Arial"/>
          <w:b/>
          <w:sz w:val="24"/>
          <w:szCs w:val="24"/>
          <w:lang w:val="en-US"/>
        </w:rPr>
        <w:t xml:space="preserve">form </w:t>
      </w:r>
      <w:r w:rsidRPr="002F0842">
        <w:rPr>
          <w:rFonts w:ascii="Arial" w:hAnsi="Arial" w:cs="Arial"/>
          <w:b/>
          <w:sz w:val="24"/>
          <w:szCs w:val="24"/>
          <w:lang w:val="en-US"/>
        </w:rPr>
        <w:t xml:space="preserve">I </w:t>
      </w:r>
      <w:r>
        <w:rPr>
          <w:rFonts w:ascii="Arial" w:hAnsi="Arial" w:cs="Arial"/>
          <w:b/>
          <w:sz w:val="24"/>
          <w:szCs w:val="24"/>
          <w:lang w:val="en-US"/>
        </w:rPr>
        <w:t>carbon monoxide dehydrogenase</w:t>
      </w:r>
      <w:r w:rsidRPr="002F0842">
        <w:rPr>
          <w:rFonts w:ascii="Arial" w:hAnsi="Arial" w:cs="Arial"/>
          <w:b/>
          <w:sz w:val="24"/>
          <w:szCs w:val="24"/>
          <w:lang w:val="en-US"/>
        </w:rPr>
        <w:t xml:space="preserve"> (</w:t>
      </w:r>
      <w:proofErr w:type="spellStart"/>
      <w:r w:rsidRPr="002F0842">
        <w:rPr>
          <w:rFonts w:ascii="Arial" w:hAnsi="Arial" w:cs="Arial"/>
          <w:b/>
          <w:sz w:val="24"/>
          <w:szCs w:val="24"/>
          <w:lang w:val="en-US"/>
        </w:rPr>
        <w:t>CoxL</w:t>
      </w:r>
      <w:proofErr w:type="spellEnd"/>
      <w:r w:rsidRPr="002F0842">
        <w:rPr>
          <w:rFonts w:ascii="Arial" w:hAnsi="Arial" w:cs="Arial"/>
          <w:b/>
          <w:sz w:val="24"/>
          <w:szCs w:val="24"/>
          <w:lang w:val="en-US"/>
        </w:rPr>
        <w:t>).</w:t>
      </w:r>
      <w:r>
        <w:rPr>
          <w:rFonts w:ascii="Arial" w:hAnsi="Arial" w:cs="Arial"/>
          <w:sz w:val="24"/>
          <w:szCs w:val="24"/>
          <w:lang w:val="en-US"/>
        </w:rPr>
        <w:t xml:space="preserve"> Evolutionary distances were computed using the Poisson correction model, gaps were treated by partial deletion, and the tree was bootstrapped with 500 replicates. The tree</w:t>
      </w:r>
      <w:r w:rsidRPr="009C4203">
        <w:rPr>
          <w:rFonts w:ascii="Arial" w:hAnsi="Arial" w:cs="Arial"/>
          <w:sz w:val="24"/>
          <w:szCs w:val="24"/>
          <w:lang w:val="en-US"/>
        </w:rPr>
        <w:t xml:space="preserve"> </w:t>
      </w:r>
      <w:r>
        <w:rPr>
          <w:rFonts w:ascii="Arial" w:hAnsi="Arial" w:cs="Arial"/>
          <w:sz w:val="24"/>
          <w:szCs w:val="24"/>
          <w:lang w:val="en-US"/>
        </w:rPr>
        <w:t>was</w:t>
      </w:r>
      <w:r w:rsidRPr="009C4203">
        <w:rPr>
          <w:rFonts w:ascii="Arial" w:hAnsi="Arial" w:cs="Arial"/>
          <w:sz w:val="24"/>
          <w:szCs w:val="24"/>
          <w:lang w:val="en-US"/>
        </w:rPr>
        <w:t xml:space="preserve"> constructed </w:t>
      </w:r>
      <w:r>
        <w:rPr>
          <w:rFonts w:ascii="Arial" w:hAnsi="Arial" w:cs="Arial"/>
          <w:sz w:val="24"/>
          <w:szCs w:val="24"/>
          <w:lang w:val="en-US"/>
        </w:rPr>
        <w:t xml:space="preserve">using all 709 </w:t>
      </w:r>
      <w:proofErr w:type="spellStart"/>
      <w:r>
        <w:rPr>
          <w:rFonts w:ascii="Arial" w:hAnsi="Arial" w:cs="Arial"/>
          <w:sz w:val="24"/>
          <w:szCs w:val="24"/>
          <w:lang w:val="en-US"/>
        </w:rPr>
        <w:t>CoxL</w:t>
      </w:r>
      <w:proofErr w:type="spellEnd"/>
      <w:r>
        <w:rPr>
          <w:rFonts w:ascii="Arial" w:hAnsi="Arial" w:cs="Arial"/>
          <w:sz w:val="24"/>
          <w:szCs w:val="24"/>
          <w:lang w:val="en-US"/>
        </w:rPr>
        <w:t xml:space="preserve"> sequences retrieved in this study as shown in </w:t>
      </w:r>
      <w:r>
        <w:rPr>
          <w:rFonts w:ascii="Arial" w:hAnsi="Arial" w:cs="Arial"/>
          <w:b/>
          <w:sz w:val="24"/>
          <w:szCs w:val="24"/>
          <w:lang w:val="en-US"/>
        </w:rPr>
        <w:t xml:space="preserve">Table </w:t>
      </w:r>
      <w:proofErr w:type="spellStart"/>
      <w:r>
        <w:rPr>
          <w:rFonts w:ascii="Arial" w:hAnsi="Arial" w:cs="Arial"/>
          <w:b/>
          <w:sz w:val="24"/>
          <w:szCs w:val="24"/>
          <w:lang w:val="en-US"/>
        </w:rPr>
        <w:t>S3</w:t>
      </w:r>
      <w:proofErr w:type="spellEnd"/>
      <w:r>
        <w:rPr>
          <w:rFonts w:ascii="Arial" w:hAnsi="Arial" w:cs="Arial"/>
          <w:sz w:val="24"/>
          <w:szCs w:val="24"/>
          <w:lang w:val="en-US"/>
        </w:rPr>
        <w:t xml:space="preserve">. The tree is divided into five clades as per the maximum-likelihood tree </w:t>
      </w:r>
      <w:r>
        <w:rPr>
          <w:rFonts w:ascii="Arial" w:hAnsi="Arial" w:cs="Arial"/>
          <w:b/>
          <w:sz w:val="24"/>
          <w:szCs w:val="24"/>
          <w:lang w:val="en-US"/>
        </w:rPr>
        <w:t xml:space="preserve">(Fig. </w:t>
      </w:r>
      <w:proofErr w:type="spellStart"/>
      <w:r>
        <w:rPr>
          <w:rFonts w:ascii="Arial" w:hAnsi="Arial" w:cs="Arial"/>
          <w:b/>
          <w:sz w:val="24"/>
          <w:szCs w:val="24"/>
          <w:lang w:val="en-US"/>
        </w:rPr>
        <w:t>4a</w:t>
      </w:r>
      <w:proofErr w:type="spellEnd"/>
      <w:r>
        <w:rPr>
          <w:rFonts w:ascii="Arial" w:hAnsi="Arial" w:cs="Arial"/>
          <w:b/>
          <w:sz w:val="24"/>
          <w:szCs w:val="24"/>
          <w:lang w:val="en-US"/>
        </w:rPr>
        <w:t>)</w:t>
      </w:r>
      <w:r>
        <w:rPr>
          <w:rFonts w:ascii="Arial" w:hAnsi="Arial" w:cs="Arial"/>
          <w:sz w:val="24"/>
          <w:szCs w:val="24"/>
          <w:lang w:val="en-US"/>
        </w:rPr>
        <w:t>: Proteobacterial Clade (</w:t>
      </w:r>
      <w:r>
        <w:rPr>
          <w:rFonts w:ascii="Arial" w:hAnsi="Arial" w:cs="Arial"/>
          <w:b/>
          <w:sz w:val="24"/>
          <w:szCs w:val="24"/>
          <w:lang w:val="en-US"/>
        </w:rPr>
        <w:t>a</w:t>
      </w:r>
      <w:r>
        <w:rPr>
          <w:rFonts w:ascii="Arial" w:hAnsi="Arial" w:cs="Arial"/>
          <w:sz w:val="24"/>
          <w:szCs w:val="24"/>
          <w:lang w:val="en-US"/>
        </w:rPr>
        <w:t>), Mixed Clade 1 (</w:t>
      </w:r>
      <w:r>
        <w:rPr>
          <w:rFonts w:ascii="Arial" w:hAnsi="Arial" w:cs="Arial"/>
          <w:b/>
          <w:sz w:val="24"/>
          <w:szCs w:val="24"/>
          <w:lang w:val="en-US"/>
        </w:rPr>
        <w:t>b</w:t>
      </w:r>
      <w:r>
        <w:rPr>
          <w:rFonts w:ascii="Arial" w:hAnsi="Arial" w:cs="Arial"/>
          <w:sz w:val="24"/>
          <w:szCs w:val="24"/>
          <w:lang w:val="en-US"/>
        </w:rPr>
        <w:t xml:space="preserve">), </w:t>
      </w:r>
      <w:proofErr w:type="spellStart"/>
      <w:r>
        <w:rPr>
          <w:rFonts w:ascii="Arial" w:hAnsi="Arial" w:cs="Arial"/>
          <w:sz w:val="24"/>
          <w:szCs w:val="24"/>
          <w:lang w:val="en-US"/>
        </w:rPr>
        <w:t>Halobacterial</w:t>
      </w:r>
      <w:proofErr w:type="spellEnd"/>
      <w:r>
        <w:rPr>
          <w:rFonts w:ascii="Arial" w:hAnsi="Arial" w:cs="Arial"/>
          <w:sz w:val="24"/>
          <w:szCs w:val="24"/>
          <w:lang w:val="en-US"/>
        </w:rPr>
        <w:t xml:space="preserve"> Clade (</w:t>
      </w:r>
      <w:r w:rsidRPr="00922150">
        <w:rPr>
          <w:rFonts w:ascii="Arial" w:hAnsi="Arial" w:cs="Arial"/>
          <w:b/>
          <w:sz w:val="24"/>
          <w:szCs w:val="24"/>
          <w:lang w:val="en-US"/>
        </w:rPr>
        <w:t>c</w:t>
      </w:r>
      <w:r>
        <w:rPr>
          <w:rFonts w:ascii="Arial" w:hAnsi="Arial" w:cs="Arial"/>
          <w:sz w:val="24"/>
          <w:szCs w:val="24"/>
          <w:lang w:val="en-US"/>
        </w:rPr>
        <w:t>), Mixed Clade 2 (</w:t>
      </w:r>
      <w:r w:rsidRPr="00922150">
        <w:rPr>
          <w:rFonts w:ascii="Arial" w:hAnsi="Arial" w:cs="Arial"/>
          <w:b/>
          <w:sz w:val="24"/>
          <w:szCs w:val="24"/>
          <w:lang w:val="en-US"/>
        </w:rPr>
        <w:t>d</w:t>
      </w:r>
      <w:r>
        <w:rPr>
          <w:rFonts w:ascii="Arial" w:hAnsi="Arial" w:cs="Arial"/>
          <w:sz w:val="24"/>
          <w:szCs w:val="24"/>
          <w:lang w:val="en-US"/>
        </w:rPr>
        <w:t>), and Actinobacterial Clade (</w:t>
      </w:r>
      <w:r w:rsidRPr="00922150">
        <w:rPr>
          <w:rFonts w:ascii="Arial" w:hAnsi="Arial" w:cs="Arial"/>
          <w:b/>
          <w:sz w:val="24"/>
          <w:szCs w:val="24"/>
          <w:lang w:val="en-US"/>
        </w:rPr>
        <w:t>e</w:t>
      </w:r>
      <w:r>
        <w:rPr>
          <w:rFonts w:ascii="Arial" w:hAnsi="Arial" w:cs="Arial"/>
          <w:sz w:val="24"/>
          <w:szCs w:val="24"/>
          <w:lang w:val="en-US"/>
        </w:rPr>
        <w:t>). The tree was rooted with five form II CO dehydrogenase sequences (not shown). As the figure is too large to be embedded, it should be directly downloaded as a .</w:t>
      </w:r>
      <w:proofErr w:type="spellStart"/>
      <w:r>
        <w:rPr>
          <w:rFonts w:ascii="Arial" w:hAnsi="Arial" w:cs="Arial"/>
          <w:sz w:val="24"/>
          <w:szCs w:val="24"/>
          <w:lang w:val="en-US"/>
        </w:rPr>
        <w:t>tif</w:t>
      </w:r>
      <w:proofErr w:type="spellEnd"/>
      <w:r>
        <w:rPr>
          <w:rFonts w:ascii="Arial" w:hAnsi="Arial" w:cs="Arial"/>
          <w:sz w:val="24"/>
          <w:szCs w:val="24"/>
          <w:lang w:val="en-US"/>
        </w:rPr>
        <w:t xml:space="preserve"> file.</w:t>
      </w:r>
    </w:p>
    <w:p w:rsidR="00E93CCA" w:rsidRDefault="00E93CCA" w:rsidP="00E93CCA">
      <w:pPr>
        <w:tabs>
          <w:tab w:val="left" w:pos="6944"/>
        </w:tabs>
        <w:spacing w:line="360" w:lineRule="auto"/>
        <w:jc w:val="both"/>
        <w:rPr>
          <w:rFonts w:ascii="Arial" w:hAnsi="Arial" w:cs="Arial"/>
          <w:b/>
          <w:sz w:val="24"/>
          <w:szCs w:val="24"/>
          <w:lang w:val="en-US"/>
        </w:rPr>
        <w:sectPr w:rsidR="00E93CCA" w:rsidSect="00D438A8">
          <w:pgSz w:w="11906" w:h="16838"/>
          <w:pgMar w:top="1440" w:right="1440" w:bottom="1440" w:left="1440" w:header="709" w:footer="709" w:gutter="0"/>
          <w:lnNumType w:countBy="1" w:restart="continuous"/>
          <w:cols w:space="708"/>
          <w:docGrid w:linePitch="360"/>
        </w:sectPr>
      </w:pPr>
    </w:p>
    <w:p w:rsidR="00E93CCA" w:rsidRDefault="00E93CCA" w:rsidP="00E93CCA">
      <w:pPr>
        <w:tabs>
          <w:tab w:val="left" w:pos="6944"/>
        </w:tabs>
        <w:spacing w:line="360" w:lineRule="auto"/>
        <w:jc w:val="both"/>
        <w:rPr>
          <w:rFonts w:ascii="Arial" w:hAnsi="Arial" w:cs="Arial"/>
          <w:b/>
          <w:sz w:val="24"/>
          <w:szCs w:val="24"/>
          <w:lang w:val="en-US"/>
        </w:rPr>
      </w:pPr>
      <w:r>
        <w:rPr>
          <w:rFonts w:ascii="Arial" w:hAnsi="Arial" w:cs="Arial"/>
          <w:b/>
          <w:sz w:val="24"/>
          <w:szCs w:val="24"/>
          <w:lang w:val="en-US"/>
        </w:rPr>
        <w:lastRenderedPageBreak/>
        <w:t xml:space="preserve">Figure </w:t>
      </w:r>
      <w:proofErr w:type="spellStart"/>
      <w:r>
        <w:rPr>
          <w:rFonts w:ascii="Arial" w:hAnsi="Arial" w:cs="Arial"/>
          <w:b/>
          <w:sz w:val="24"/>
          <w:szCs w:val="24"/>
          <w:lang w:val="en-US"/>
        </w:rPr>
        <w:t>S3</w:t>
      </w:r>
      <w:proofErr w:type="spellEnd"/>
      <w:r>
        <w:rPr>
          <w:rFonts w:ascii="Arial" w:hAnsi="Arial" w:cs="Arial"/>
          <w:b/>
          <w:sz w:val="24"/>
          <w:szCs w:val="24"/>
          <w:lang w:val="en-US"/>
        </w:rPr>
        <w:t>. Mirror diagram showing the abundance of genes and transcripts encoding the carbon monoxide dehydrogenase large subunit (</w:t>
      </w:r>
      <w:proofErr w:type="spellStart"/>
      <w:r>
        <w:rPr>
          <w:rFonts w:ascii="Arial" w:hAnsi="Arial" w:cs="Arial"/>
          <w:b/>
          <w:i/>
          <w:sz w:val="24"/>
          <w:szCs w:val="24"/>
          <w:lang w:val="en-US"/>
        </w:rPr>
        <w:t>coxL</w:t>
      </w:r>
      <w:proofErr w:type="spellEnd"/>
      <w:r>
        <w:rPr>
          <w:rFonts w:ascii="Arial" w:hAnsi="Arial" w:cs="Arial"/>
          <w:b/>
          <w:sz w:val="24"/>
          <w:szCs w:val="24"/>
          <w:lang w:val="en-US"/>
        </w:rPr>
        <w:t xml:space="preserve">) by ecosystem type. </w:t>
      </w:r>
      <w:r>
        <w:rPr>
          <w:rFonts w:ascii="Arial" w:hAnsi="Arial" w:cs="Arial"/>
          <w:sz w:val="24"/>
          <w:szCs w:val="24"/>
          <w:lang w:val="en-US"/>
        </w:rPr>
        <w:t xml:space="preserve">In total, 40 pairs of metagenomes and </w:t>
      </w:r>
      <w:proofErr w:type="spellStart"/>
      <w:r>
        <w:rPr>
          <w:rFonts w:ascii="Arial" w:hAnsi="Arial" w:cs="Arial"/>
          <w:sz w:val="24"/>
          <w:szCs w:val="24"/>
          <w:lang w:val="en-US"/>
        </w:rPr>
        <w:t>metatranscriptomes</w:t>
      </w:r>
      <w:proofErr w:type="spellEnd"/>
      <w:r>
        <w:rPr>
          <w:rFonts w:ascii="Arial" w:hAnsi="Arial" w:cs="Arial"/>
          <w:sz w:val="24"/>
          <w:szCs w:val="24"/>
          <w:lang w:val="en-US"/>
        </w:rPr>
        <w:t xml:space="preserve"> (20 aquatic, 20 terrestrial) were analyzed from a wide range of biomes (detailed in</w:t>
      </w:r>
      <w:r>
        <w:rPr>
          <w:rFonts w:ascii="Arial" w:hAnsi="Arial" w:cs="Arial"/>
          <w:b/>
          <w:sz w:val="24"/>
          <w:szCs w:val="24"/>
          <w:lang w:val="en-US"/>
        </w:rPr>
        <w:t xml:space="preserve"> Table </w:t>
      </w:r>
      <w:proofErr w:type="spellStart"/>
      <w:r>
        <w:rPr>
          <w:rFonts w:ascii="Arial" w:hAnsi="Arial" w:cs="Arial"/>
          <w:b/>
          <w:sz w:val="24"/>
          <w:szCs w:val="24"/>
          <w:lang w:val="en-US"/>
        </w:rPr>
        <w:t>S5</w:t>
      </w:r>
      <w:proofErr w:type="spellEnd"/>
      <w:r>
        <w:rPr>
          <w:rFonts w:ascii="Arial" w:hAnsi="Arial" w:cs="Arial"/>
          <w:sz w:val="24"/>
          <w:szCs w:val="24"/>
          <w:lang w:val="en-US"/>
        </w:rPr>
        <w:t xml:space="preserve">). The abundance of </w:t>
      </w:r>
      <w:proofErr w:type="spellStart"/>
      <w:r>
        <w:rPr>
          <w:rFonts w:ascii="Arial" w:hAnsi="Arial" w:cs="Arial"/>
          <w:i/>
          <w:sz w:val="24"/>
          <w:szCs w:val="24"/>
          <w:lang w:val="en-US"/>
        </w:rPr>
        <w:t>hhyL</w:t>
      </w:r>
      <w:proofErr w:type="spellEnd"/>
      <w:r>
        <w:rPr>
          <w:rFonts w:ascii="Arial" w:hAnsi="Arial" w:cs="Arial"/>
          <w:sz w:val="24"/>
          <w:szCs w:val="24"/>
          <w:lang w:val="en-US"/>
        </w:rPr>
        <w:t xml:space="preserve"> genes and transcripts, encoding the high-affinity group </w:t>
      </w:r>
      <w:proofErr w:type="spellStart"/>
      <w:r>
        <w:rPr>
          <w:rFonts w:ascii="Arial" w:hAnsi="Arial" w:cs="Arial"/>
          <w:sz w:val="24"/>
          <w:szCs w:val="24"/>
          <w:lang w:val="en-US"/>
        </w:rPr>
        <w:t>1h</w:t>
      </w:r>
      <w:proofErr w:type="spellEnd"/>
      <w:r>
        <w:rPr>
          <w:rFonts w:ascii="Arial" w:hAnsi="Arial" w:cs="Arial"/>
          <w:sz w:val="24"/>
          <w:szCs w:val="24"/>
          <w:lang w:val="en-US"/>
        </w:rPr>
        <w:t xml:space="preserve"> [</w:t>
      </w:r>
      <w:proofErr w:type="spellStart"/>
      <w:r>
        <w:rPr>
          <w:rFonts w:ascii="Arial" w:hAnsi="Arial" w:cs="Arial"/>
          <w:sz w:val="24"/>
          <w:szCs w:val="24"/>
          <w:lang w:val="en-US"/>
        </w:rPr>
        <w:t>NiFe</w:t>
      </w:r>
      <w:proofErr w:type="spellEnd"/>
      <w:r>
        <w:rPr>
          <w:rFonts w:ascii="Arial" w:hAnsi="Arial" w:cs="Arial"/>
          <w:sz w:val="24"/>
          <w:szCs w:val="24"/>
          <w:lang w:val="en-US"/>
        </w:rPr>
        <w:t xml:space="preserve">]-hydrogenase, are shown for comparison. </w:t>
      </w:r>
    </w:p>
    <w:p w:rsidR="00E93CCA" w:rsidRPr="00772A89" w:rsidRDefault="00E93CCA" w:rsidP="00E93CCA">
      <w:pPr>
        <w:tabs>
          <w:tab w:val="left" w:pos="6944"/>
        </w:tabs>
        <w:spacing w:line="360" w:lineRule="auto"/>
        <w:jc w:val="both"/>
        <w:rPr>
          <w:rFonts w:ascii="Arial" w:hAnsi="Arial" w:cs="Arial"/>
          <w:b/>
          <w:sz w:val="24"/>
          <w:szCs w:val="24"/>
          <w:lang w:val="en-US"/>
        </w:rPr>
      </w:pPr>
      <w:r>
        <w:rPr>
          <w:noProof/>
        </w:rPr>
        <w:drawing>
          <wp:inline distT="0" distB="0" distL="0" distR="0" wp14:anchorId="4C134F5D" wp14:editId="1BD88B03">
            <wp:extent cx="5731510" cy="511837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118372"/>
                    </a:xfrm>
                    <a:prstGeom prst="rect">
                      <a:avLst/>
                    </a:prstGeom>
                    <a:noFill/>
                    <a:ln>
                      <a:noFill/>
                    </a:ln>
                  </pic:spPr>
                </pic:pic>
              </a:graphicData>
            </a:graphic>
          </wp:inline>
        </w:drawing>
      </w:r>
    </w:p>
    <w:p w:rsidR="00E93CCA" w:rsidRDefault="00E93CCA" w:rsidP="00E93CCA"/>
    <w:p w:rsidR="008430E2" w:rsidRPr="00E93CCA" w:rsidRDefault="008430E2" w:rsidP="00E93CCA"/>
    <w:sectPr w:rsidR="008430E2" w:rsidRPr="00E93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10"/>
    <w:rsid w:val="000E49A0"/>
    <w:rsid w:val="00117C5D"/>
    <w:rsid w:val="002B7C03"/>
    <w:rsid w:val="003E2B10"/>
    <w:rsid w:val="008430E2"/>
    <w:rsid w:val="008E5615"/>
    <w:rsid w:val="00B01514"/>
    <w:rsid w:val="00E93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69E4"/>
  <w15:chartTrackingRefBased/>
  <w15:docId w15:val="{A6A8F088-6967-4976-AF66-496DC6A6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B1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E2B1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2B10"/>
    <w:rPr>
      <w:rFonts w:ascii="Calibri" w:eastAsiaTheme="minorEastAsia" w:hAnsi="Calibri" w:cs="Calibri"/>
      <w:noProof/>
      <w:lang w:eastAsia="zh-CN"/>
    </w:rPr>
  </w:style>
  <w:style w:type="table" w:styleId="TableGrid">
    <w:name w:val="Table Grid"/>
    <w:basedOn w:val="TableNormal"/>
    <w:uiPriority w:val="39"/>
    <w:rsid w:val="003E2B1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E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14935</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Greening</dc:creator>
  <cp:keywords/>
  <dc:description/>
  <cp:lastModifiedBy>Chris Greening</cp:lastModifiedBy>
  <cp:revision>3</cp:revision>
  <dcterms:created xsi:type="dcterms:W3CDTF">2019-04-27T00:15:00Z</dcterms:created>
  <dcterms:modified xsi:type="dcterms:W3CDTF">2019-05-04T13:15:00Z</dcterms:modified>
</cp:coreProperties>
</file>