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5A15D" w14:textId="77777777" w:rsidR="00B61A5A" w:rsidRPr="00066406" w:rsidRDefault="00B61A5A" w:rsidP="00B61A5A">
      <w:pPr>
        <w:rPr>
          <w:b/>
        </w:rPr>
      </w:pPr>
      <w:r w:rsidRPr="00066406">
        <w:rPr>
          <w:b/>
        </w:rPr>
        <w:t>Microbial dysbiosis and its implications for disease in a genetically depauperate species</w:t>
      </w:r>
    </w:p>
    <w:p w14:paraId="782C1C5D" w14:textId="77777777" w:rsidR="00B61A5A" w:rsidRPr="00066406" w:rsidRDefault="00B61A5A" w:rsidP="00B61A5A">
      <w:r w:rsidRPr="00066406">
        <w:t>Alexandra L. DeCandia, Julie L. King, Bridgett M. vonHoldt</w:t>
      </w:r>
    </w:p>
    <w:p w14:paraId="4F4902BC" w14:textId="77777777" w:rsidR="00B61A5A" w:rsidRPr="00066406" w:rsidRDefault="00B61A5A" w:rsidP="00B61A5A">
      <w:pPr>
        <w:rPr>
          <w:b/>
        </w:rPr>
      </w:pPr>
    </w:p>
    <w:p w14:paraId="3EFAD651" w14:textId="0D5528C9" w:rsidR="00B61A5A" w:rsidRPr="00066406" w:rsidRDefault="00B61A5A" w:rsidP="00B61A5A">
      <w:pPr>
        <w:rPr>
          <w:b/>
          <w:u w:val="single"/>
          <w:vertAlign w:val="superscript"/>
        </w:rPr>
      </w:pPr>
      <w:r w:rsidRPr="00066406">
        <w:rPr>
          <w:b/>
          <w:u w:val="single"/>
        </w:rPr>
        <w:t xml:space="preserve">Supporting Information 2: Subsampled </w:t>
      </w:r>
      <w:r w:rsidR="007E67C0" w:rsidRPr="00066406">
        <w:rPr>
          <w:b/>
          <w:u w:val="single"/>
        </w:rPr>
        <w:t xml:space="preserve">Ear Canal </w:t>
      </w:r>
      <w:r w:rsidRPr="00066406">
        <w:rPr>
          <w:b/>
          <w:u w:val="single"/>
        </w:rPr>
        <w:t xml:space="preserve">Analyses </w:t>
      </w:r>
    </w:p>
    <w:p w14:paraId="45EE3F80" w14:textId="77777777" w:rsidR="008915AF" w:rsidRPr="00066406" w:rsidRDefault="008915AF" w:rsidP="008915AF">
      <w:pPr>
        <w:jc w:val="center"/>
      </w:pPr>
    </w:p>
    <w:p w14:paraId="6C659129" w14:textId="77777777" w:rsidR="009E3DE6" w:rsidRPr="00066406" w:rsidRDefault="009E3DE6" w:rsidP="00C1301B">
      <w:pPr>
        <w:rPr>
          <w:b/>
        </w:rPr>
      </w:pPr>
    </w:p>
    <w:p w14:paraId="48F49778" w14:textId="1079A136" w:rsidR="00C1301B" w:rsidRPr="00066406" w:rsidRDefault="00C1301B" w:rsidP="00C1301B">
      <w:pPr>
        <w:rPr>
          <w:b/>
        </w:rPr>
      </w:pPr>
      <w:r w:rsidRPr="00066406">
        <w:rPr>
          <w:b/>
        </w:rPr>
        <w:t xml:space="preserve">Introduction </w:t>
      </w:r>
    </w:p>
    <w:p w14:paraId="6A63C496" w14:textId="77777777" w:rsidR="00C1301B" w:rsidRPr="00066406" w:rsidRDefault="00C1301B" w:rsidP="00C1301B">
      <w:pPr>
        <w:rPr>
          <w:b/>
        </w:rPr>
      </w:pPr>
    </w:p>
    <w:p w14:paraId="6006EE69" w14:textId="02ECCDBF" w:rsidR="008915AF" w:rsidRPr="00066406" w:rsidRDefault="008915AF" w:rsidP="008915AF">
      <w:r w:rsidRPr="00066406">
        <w:t>The full ear canal dataset consisted of 1</w:t>
      </w:r>
      <w:r w:rsidR="00CC6D23" w:rsidRPr="00066406">
        <w:t>19</w:t>
      </w:r>
      <w:r w:rsidRPr="00066406">
        <w:t xml:space="preserve"> samples collected from 7</w:t>
      </w:r>
      <w:r w:rsidR="00CC6D23" w:rsidRPr="00066406">
        <w:t>3</w:t>
      </w:r>
      <w:r w:rsidRPr="00066406">
        <w:t xml:space="preserve"> foxes. Since each individual was sampled 1-3 times, we randomly subsampled our dataset (7</w:t>
      </w:r>
      <w:r w:rsidR="001D6E33" w:rsidRPr="00066406">
        <w:t>3</w:t>
      </w:r>
      <w:r w:rsidRPr="00066406">
        <w:t xml:space="preserve"> samples total, 1 sample per fox) and re-ran all analyses to confirm </w:t>
      </w:r>
      <w:r w:rsidR="004B2CD1" w:rsidRPr="00066406">
        <w:t>the robustness of our results. Please r</w:t>
      </w:r>
      <w:r w:rsidRPr="00066406">
        <w:t xml:space="preserve">efer to the </w:t>
      </w:r>
      <w:r w:rsidR="003C01C8" w:rsidRPr="00066406">
        <w:rPr>
          <w:b/>
        </w:rPr>
        <w:t xml:space="preserve">Materials and </w:t>
      </w:r>
      <w:r w:rsidRPr="00066406">
        <w:rPr>
          <w:b/>
        </w:rPr>
        <w:t>Methods</w:t>
      </w:r>
      <w:r w:rsidRPr="00066406">
        <w:t xml:space="preserve"> described in the manuscript for details on how each test was run. </w:t>
      </w:r>
    </w:p>
    <w:p w14:paraId="321F95A0" w14:textId="77777777" w:rsidR="00C1301B" w:rsidRPr="00066406" w:rsidRDefault="00C1301B" w:rsidP="008915AF"/>
    <w:p w14:paraId="56868B62" w14:textId="77777777" w:rsidR="00431DA6" w:rsidRPr="00066406" w:rsidRDefault="00431DA6" w:rsidP="008915AF"/>
    <w:p w14:paraId="00BBE203" w14:textId="42DA3A1F" w:rsidR="00C1301B" w:rsidRPr="00066406" w:rsidRDefault="00C1301B" w:rsidP="008915AF">
      <w:pPr>
        <w:rPr>
          <w:b/>
        </w:rPr>
      </w:pPr>
      <w:r w:rsidRPr="00066406">
        <w:rPr>
          <w:b/>
        </w:rPr>
        <w:t>Results</w:t>
      </w:r>
    </w:p>
    <w:p w14:paraId="04F514FB" w14:textId="77777777" w:rsidR="008915AF" w:rsidRPr="00066406" w:rsidRDefault="008915AF" w:rsidP="008915AF"/>
    <w:p w14:paraId="493284B3" w14:textId="2BE6BE24" w:rsidR="008915AF" w:rsidRPr="00066406" w:rsidRDefault="008915AF" w:rsidP="008915AF">
      <w:r w:rsidRPr="00066406">
        <w:t>(1) Alpha diversity metrics showed the same pattern of decreased species richness (</w:t>
      </w:r>
      <w:proofErr w:type="spellStart"/>
      <w:r w:rsidR="001C73B8">
        <w:t>Kruskall</w:t>
      </w:r>
      <w:proofErr w:type="spellEnd"/>
      <w:r w:rsidR="001C73B8">
        <w:t xml:space="preserve">-Wallis Test; </w:t>
      </w:r>
      <w:r w:rsidRPr="00066406">
        <w:t>Chao</w:t>
      </w:r>
      <w:r w:rsidR="001C73B8">
        <w:t xml:space="preserve"> </w:t>
      </w:r>
      <w:r w:rsidRPr="00066406">
        <w:t>1</w:t>
      </w:r>
      <w:r w:rsidR="001C73B8">
        <w:t xml:space="preserve"> Index,</w:t>
      </w:r>
      <w:r w:rsidR="00352C26" w:rsidRPr="00066406">
        <w:t xml:space="preserve"> </w:t>
      </w:r>
      <w:r w:rsidR="00352C26" w:rsidRPr="00066406">
        <w:rPr>
          <w:i/>
        </w:rPr>
        <w:t>H</w:t>
      </w:r>
      <w:r w:rsidR="00352C26" w:rsidRPr="00066406">
        <w:t>=</w:t>
      </w:r>
      <w:r w:rsidR="001D6E33" w:rsidRPr="00066406">
        <w:t>13.882</w:t>
      </w:r>
      <w:r w:rsidR="00352C26" w:rsidRPr="00066406">
        <w:t xml:space="preserve">, </w:t>
      </w:r>
      <w:r w:rsidR="00352C26" w:rsidRPr="00066406">
        <w:rPr>
          <w:i/>
        </w:rPr>
        <w:t>p</w:t>
      </w:r>
      <w:r w:rsidR="00352C26" w:rsidRPr="00066406">
        <w:t>&lt;0.001</w:t>
      </w:r>
      <w:r w:rsidRPr="00066406">
        <w:t>)</w:t>
      </w:r>
      <w:r w:rsidR="00D3248D" w:rsidRPr="00066406">
        <w:t>, species abundance and evenness (Shannon</w:t>
      </w:r>
      <w:r w:rsidR="00BB04FC" w:rsidRPr="00066406">
        <w:t xml:space="preserve">, </w:t>
      </w:r>
      <w:r w:rsidR="00BB04FC" w:rsidRPr="00066406">
        <w:rPr>
          <w:i/>
        </w:rPr>
        <w:t>H</w:t>
      </w:r>
      <w:r w:rsidR="00BB04FC" w:rsidRPr="00066406">
        <w:t>=</w:t>
      </w:r>
      <w:r w:rsidR="001D6E33" w:rsidRPr="00066406">
        <w:t>17.030</w:t>
      </w:r>
      <w:r w:rsidR="00BB04FC" w:rsidRPr="00066406">
        <w:t xml:space="preserve">, </w:t>
      </w:r>
      <w:r w:rsidR="00BB04FC" w:rsidRPr="00066406">
        <w:rPr>
          <w:i/>
        </w:rPr>
        <w:t>p</w:t>
      </w:r>
      <w:r w:rsidR="00BB04FC" w:rsidRPr="00066406">
        <w:t>&lt;0.001</w:t>
      </w:r>
      <w:r w:rsidR="00D3248D" w:rsidRPr="00066406">
        <w:t>),</w:t>
      </w:r>
      <w:r w:rsidRPr="00066406">
        <w:t xml:space="preserve"> and </w:t>
      </w:r>
      <w:r w:rsidR="00D3248D" w:rsidRPr="00066406">
        <w:t xml:space="preserve">species equitability </w:t>
      </w:r>
      <w:r w:rsidRPr="00066406">
        <w:t>(</w:t>
      </w:r>
      <w:proofErr w:type="spellStart"/>
      <w:r w:rsidRPr="00066406">
        <w:t>Pielou’s</w:t>
      </w:r>
      <w:proofErr w:type="spellEnd"/>
      <w:r w:rsidRPr="00066406">
        <w:t xml:space="preserve"> E</w:t>
      </w:r>
      <w:r w:rsidR="00352C26" w:rsidRPr="00066406">
        <w:t xml:space="preserve">, </w:t>
      </w:r>
      <w:r w:rsidR="00352C26" w:rsidRPr="00066406">
        <w:rPr>
          <w:i/>
        </w:rPr>
        <w:t>H</w:t>
      </w:r>
      <w:r w:rsidR="00352C26" w:rsidRPr="00066406">
        <w:t>=13.</w:t>
      </w:r>
      <w:r w:rsidR="001D6E33" w:rsidRPr="00066406">
        <w:t>494</w:t>
      </w:r>
      <w:r w:rsidR="00352C26" w:rsidRPr="00066406">
        <w:t xml:space="preserve">, </w:t>
      </w:r>
      <w:r w:rsidR="00352C26" w:rsidRPr="00066406">
        <w:rPr>
          <w:i/>
        </w:rPr>
        <w:t>p</w:t>
      </w:r>
      <w:r w:rsidR="00352C26" w:rsidRPr="00066406">
        <w:t>&lt;0.001</w:t>
      </w:r>
      <w:r w:rsidRPr="00066406">
        <w:t>) in mite-infected ear canals</w:t>
      </w:r>
      <w:r w:rsidR="00110E5C" w:rsidRPr="00066406">
        <w:t xml:space="preserve"> (Supplemental Figure SE1)</w:t>
      </w:r>
      <w:r w:rsidRPr="00066406">
        <w:t xml:space="preserve">. </w:t>
      </w:r>
    </w:p>
    <w:p w14:paraId="0D2181EE" w14:textId="77777777" w:rsidR="00CD2091" w:rsidRPr="00066406" w:rsidRDefault="00CD2091" w:rsidP="008915AF"/>
    <w:p w14:paraId="065C2DE9" w14:textId="4CA03CF9" w:rsidR="00BE531F" w:rsidRPr="00066406" w:rsidRDefault="00A92C26" w:rsidP="008915AF">
      <w:r w:rsidRPr="00066406">
        <w:t xml:space="preserve">(2) </w:t>
      </w:r>
      <w:r w:rsidR="004D4A9A" w:rsidRPr="00066406">
        <w:t>Beta diversity metrics</w:t>
      </w:r>
      <w:r w:rsidR="0044356C" w:rsidRPr="00066406">
        <w:t xml:space="preserve"> measuring species presen</w:t>
      </w:r>
      <w:r w:rsidR="00CB283A" w:rsidRPr="00066406">
        <w:t>ce</w:t>
      </w:r>
      <w:r w:rsidR="0044356C" w:rsidRPr="00066406">
        <w:t xml:space="preserve"> and abundance</w:t>
      </w:r>
      <w:r w:rsidR="004D4A9A" w:rsidRPr="00066406">
        <w:t xml:space="preserve"> also differed between the two infection groups. Though the clustering was </w:t>
      </w:r>
      <w:r w:rsidR="0044356C" w:rsidRPr="00066406">
        <w:t xml:space="preserve">less </w:t>
      </w:r>
      <w:r w:rsidR="004D4A9A" w:rsidRPr="00066406">
        <w:t xml:space="preserve">clear in the </w:t>
      </w:r>
      <w:proofErr w:type="spellStart"/>
      <w:r w:rsidR="004D4A9A" w:rsidRPr="00066406">
        <w:t>PCoA</w:t>
      </w:r>
      <w:proofErr w:type="spellEnd"/>
      <w:r w:rsidR="004D4A9A" w:rsidRPr="00066406">
        <w:t xml:space="preserve"> plots</w:t>
      </w:r>
      <w:r w:rsidR="00110E5C" w:rsidRPr="00066406">
        <w:t xml:space="preserve"> (Supplemental Figure SE2)</w:t>
      </w:r>
      <w:r w:rsidR="004D4A9A" w:rsidRPr="00066406">
        <w:t xml:space="preserve">, </w:t>
      </w:r>
      <w:r w:rsidR="004D4A9A" w:rsidRPr="00066406">
        <w:rPr>
          <w:i/>
        </w:rPr>
        <w:t>PERMANOVA</w:t>
      </w:r>
      <w:r w:rsidR="004D4A9A" w:rsidRPr="00066406">
        <w:t xml:space="preserve"> results were significant when using the </w:t>
      </w:r>
      <w:r w:rsidR="009365B5" w:rsidRPr="00066406">
        <w:t xml:space="preserve">(A) </w:t>
      </w:r>
      <w:r w:rsidR="004D4A9A" w:rsidRPr="00066406">
        <w:t>Bray-Curtis (</w:t>
      </w:r>
      <w:r w:rsidR="004D4A9A" w:rsidRPr="00066406">
        <w:rPr>
          <w:i/>
        </w:rPr>
        <w:t>pseudo-F</w:t>
      </w:r>
      <w:r w:rsidR="004D4A9A" w:rsidRPr="00066406">
        <w:t>=</w:t>
      </w:r>
      <w:r w:rsidR="004D4A9A" w:rsidRPr="00066406">
        <w:rPr>
          <w:rFonts w:ascii="Helvetica Neue" w:eastAsia="Times New Roman" w:hAnsi="Helvetica Neue"/>
          <w:color w:val="333333"/>
          <w:sz w:val="21"/>
          <w:szCs w:val="21"/>
          <w:shd w:val="clear" w:color="auto" w:fill="F5F5F5"/>
        </w:rPr>
        <w:t xml:space="preserve"> </w:t>
      </w:r>
      <w:r w:rsidR="004D4A9A" w:rsidRPr="00066406">
        <w:t>4.</w:t>
      </w:r>
      <w:r w:rsidR="00AD186D" w:rsidRPr="00066406">
        <w:t>659</w:t>
      </w:r>
      <w:r w:rsidR="004D4A9A" w:rsidRPr="00066406">
        <w:t xml:space="preserve"> </w:t>
      </w:r>
      <w:r w:rsidR="004D4A9A" w:rsidRPr="00066406">
        <w:rPr>
          <w:i/>
        </w:rPr>
        <w:t>p</w:t>
      </w:r>
      <w:r w:rsidR="004D4A9A" w:rsidRPr="00066406">
        <w:t xml:space="preserve">=0.001), </w:t>
      </w:r>
      <w:r w:rsidR="009365B5" w:rsidRPr="00066406">
        <w:t xml:space="preserve">(B) </w:t>
      </w:r>
      <w:r w:rsidR="004D4A9A" w:rsidRPr="00066406">
        <w:t>unweighted UniFrac (</w:t>
      </w:r>
      <w:r w:rsidR="004D4A9A" w:rsidRPr="00066406">
        <w:rPr>
          <w:i/>
        </w:rPr>
        <w:t>pseudo-F</w:t>
      </w:r>
      <w:r w:rsidR="004D4A9A" w:rsidRPr="00066406">
        <w:t>=2.</w:t>
      </w:r>
      <w:r w:rsidR="00AD186D" w:rsidRPr="00066406">
        <w:t>443</w:t>
      </w:r>
      <w:r w:rsidR="004D4A9A" w:rsidRPr="00066406">
        <w:t xml:space="preserve">, </w:t>
      </w:r>
      <w:r w:rsidR="004D4A9A" w:rsidRPr="00066406">
        <w:rPr>
          <w:i/>
        </w:rPr>
        <w:t>p</w:t>
      </w:r>
      <w:r w:rsidR="004D4A9A" w:rsidRPr="00066406">
        <w:t>=0.00</w:t>
      </w:r>
      <w:r w:rsidR="00AD186D" w:rsidRPr="00066406">
        <w:t>3</w:t>
      </w:r>
      <w:r w:rsidR="004D4A9A" w:rsidRPr="00066406">
        <w:t>)</w:t>
      </w:r>
      <w:r w:rsidR="008B3407" w:rsidRPr="00066406">
        <w:t xml:space="preserve">, and </w:t>
      </w:r>
      <w:r w:rsidR="009365B5" w:rsidRPr="00066406">
        <w:t xml:space="preserve">(C) </w:t>
      </w:r>
      <w:r w:rsidR="008B3407" w:rsidRPr="00066406">
        <w:t>weighted UniFrac (</w:t>
      </w:r>
      <w:r w:rsidR="008B3407" w:rsidRPr="00066406">
        <w:rPr>
          <w:i/>
        </w:rPr>
        <w:t>pseudo-F</w:t>
      </w:r>
      <w:r w:rsidR="00AD186D" w:rsidRPr="00066406">
        <w:t>=4.894</w:t>
      </w:r>
      <w:r w:rsidR="008B3407" w:rsidRPr="00066406">
        <w:t xml:space="preserve">, </w:t>
      </w:r>
      <w:r w:rsidR="008B3407" w:rsidRPr="00066406">
        <w:rPr>
          <w:i/>
        </w:rPr>
        <w:t>p</w:t>
      </w:r>
      <w:r w:rsidR="008B3407" w:rsidRPr="00066406">
        <w:t>=0.001</w:t>
      </w:r>
      <w:r w:rsidR="00804EF9" w:rsidRPr="00066406">
        <w:t>)</w:t>
      </w:r>
      <w:r w:rsidR="00023178" w:rsidRPr="00066406">
        <w:t xml:space="preserve"> distance measures. </w:t>
      </w:r>
    </w:p>
    <w:p w14:paraId="1D26E0DF" w14:textId="77777777" w:rsidR="009365B5" w:rsidRPr="00066406" w:rsidRDefault="009365B5" w:rsidP="008915AF">
      <w:pPr>
        <w:rPr>
          <w:i/>
        </w:rPr>
      </w:pPr>
    </w:p>
    <w:p w14:paraId="171711BC" w14:textId="1E8A463A" w:rsidR="00C25672" w:rsidRPr="00066406" w:rsidRDefault="00C25672" w:rsidP="008915AF">
      <w:r w:rsidRPr="00066406">
        <w:t>(3) The taxonomic composition of mite infected and uninfected ear canals also matched the results obtained with the full dataset, with Bacilli showing a much higher relative abundance in mite infected ear canals</w:t>
      </w:r>
      <w:r w:rsidR="00CB283A" w:rsidRPr="00066406">
        <w:t xml:space="preserve"> (40.05%) compared to uninfected ear canals (16.</w:t>
      </w:r>
      <w:r w:rsidR="00BD71D9" w:rsidRPr="00066406">
        <w:t>89</w:t>
      </w:r>
      <w:r w:rsidR="00CB283A" w:rsidRPr="00066406">
        <w:t xml:space="preserve">%; </w:t>
      </w:r>
      <w:r w:rsidR="00110E5C" w:rsidRPr="00066406">
        <w:t>Supplemental Figure SE3)</w:t>
      </w:r>
      <w:r w:rsidRPr="00066406">
        <w:t xml:space="preserve">. </w:t>
      </w:r>
    </w:p>
    <w:p w14:paraId="169EB04B" w14:textId="40EFFB8E" w:rsidR="00C25672" w:rsidRPr="00066406" w:rsidRDefault="00C25672" w:rsidP="008915AF"/>
    <w:p w14:paraId="6973BED9" w14:textId="5013D1F8" w:rsidR="0098716B" w:rsidRPr="00066406" w:rsidRDefault="00C25672" w:rsidP="008B3BC7">
      <w:r w:rsidRPr="00066406">
        <w:t>(4) To formally test this relationship, we</w:t>
      </w:r>
      <w:r w:rsidR="00DA11A1" w:rsidRPr="00066406">
        <w:t xml:space="preserve"> ran ANCOM and gneiss balances on our subsampled fea</w:t>
      </w:r>
      <w:r w:rsidR="00205B30" w:rsidRPr="00066406">
        <w:t xml:space="preserve">ture table, which we </w:t>
      </w:r>
      <w:r w:rsidR="00DA11A1" w:rsidRPr="00066406">
        <w:t xml:space="preserve">further filtered for a minimum frequency of 50 and a minimum number of samples of 10. </w:t>
      </w:r>
    </w:p>
    <w:p w14:paraId="39D853D8" w14:textId="77777777" w:rsidR="0098716B" w:rsidRPr="00066406" w:rsidRDefault="0098716B" w:rsidP="008B3BC7"/>
    <w:p w14:paraId="7EEBC823" w14:textId="056BD61D" w:rsidR="008B3BC7" w:rsidRPr="00066406" w:rsidRDefault="008B3BC7" w:rsidP="008B3BC7">
      <w:pPr>
        <w:rPr>
          <w:bCs/>
        </w:rPr>
      </w:pPr>
      <w:r w:rsidRPr="00066406">
        <w:t xml:space="preserve">ANCOM again returned a single feature as significantly differentially abundant between </w:t>
      </w:r>
      <w:r w:rsidR="0086705C" w:rsidRPr="00066406">
        <w:t>infection groups</w:t>
      </w:r>
      <w:r w:rsidRPr="00066406">
        <w:t xml:space="preserve">: </w:t>
      </w:r>
      <w:r w:rsidRPr="00066406">
        <w:rPr>
          <w:bCs/>
        </w:rPr>
        <w:t>3f0449c545626dd14b585e9c7b2d16f4 (</w:t>
      </w:r>
      <w:r w:rsidRPr="00066406">
        <w:rPr>
          <w:bCs/>
          <w:i/>
        </w:rPr>
        <w:t>W</w:t>
      </w:r>
      <w:r w:rsidRPr="00066406">
        <w:rPr>
          <w:bCs/>
        </w:rPr>
        <w:t>=</w:t>
      </w:r>
      <w:r w:rsidR="00BD71D9" w:rsidRPr="00066406">
        <w:rPr>
          <w:bCs/>
        </w:rPr>
        <w:t>210)</w:t>
      </w:r>
      <w:r w:rsidRPr="00066406">
        <w:rPr>
          <w:bCs/>
        </w:rPr>
        <w:t xml:space="preserve">. This was the same </w:t>
      </w:r>
      <w:r w:rsidR="00205B30" w:rsidRPr="00066406">
        <w:rPr>
          <w:bCs/>
        </w:rPr>
        <w:t xml:space="preserve">feature </w:t>
      </w:r>
      <w:r w:rsidRPr="00066406">
        <w:rPr>
          <w:bCs/>
        </w:rPr>
        <w:t xml:space="preserve">identified </w:t>
      </w:r>
      <w:r w:rsidR="00205B30" w:rsidRPr="00066406">
        <w:rPr>
          <w:bCs/>
        </w:rPr>
        <w:t>using our full dataset, and matched</w:t>
      </w:r>
      <w:r w:rsidRPr="00066406">
        <w:rPr>
          <w:bCs/>
        </w:rPr>
        <w:t xml:space="preserve"> </w:t>
      </w:r>
      <w:r w:rsidRPr="00066406">
        <w:rPr>
          <w:bCs/>
          <w:i/>
        </w:rPr>
        <w:t>Staphylococcus pseudintermedius</w:t>
      </w:r>
      <w:r w:rsidR="00462FD4" w:rsidRPr="00066406">
        <w:rPr>
          <w:bCs/>
          <w:i/>
        </w:rPr>
        <w:t xml:space="preserve"> </w:t>
      </w:r>
      <w:r w:rsidR="00462FD4" w:rsidRPr="00066406">
        <w:rPr>
          <w:bCs/>
        </w:rPr>
        <w:t>with 100% identity</w:t>
      </w:r>
      <w:r w:rsidRPr="00066406">
        <w:rPr>
          <w:bCs/>
          <w:i/>
        </w:rPr>
        <w:t xml:space="preserve"> </w:t>
      </w:r>
      <w:r w:rsidR="00205B30" w:rsidRPr="00066406">
        <w:rPr>
          <w:bCs/>
        </w:rPr>
        <w:t>when we input the sequence into</w:t>
      </w:r>
      <w:r w:rsidR="00462FD4" w:rsidRPr="00066406">
        <w:rPr>
          <w:bCs/>
        </w:rPr>
        <w:t xml:space="preserve"> NCBI’</w:t>
      </w:r>
      <w:r w:rsidR="00337579" w:rsidRPr="00066406">
        <w:rPr>
          <w:bCs/>
        </w:rPr>
        <w:t xml:space="preserve">s </w:t>
      </w:r>
      <w:proofErr w:type="spellStart"/>
      <w:r w:rsidR="00337579" w:rsidRPr="00066406">
        <w:rPr>
          <w:bCs/>
        </w:rPr>
        <w:t>BLASTn</w:t>
      </w:r>
      <w:proofErr w:type="spellEnd"/>
      <w:r w:rsidR="00462FD4" w:rsidRPr="00066406">
        <w:rPr>
          <w:bCs/>
        </w:rPr>
        <w:t xml:space="preserve"> tool. </w:t>
      </w:r>
    </w:p>
    <w:p w14:paraId="2CAE04E6" w14:textId="77777777" w:rsidR="0098716B" w:rsidRPr="00066406" w:rsidRDefault="0098716B" w:rsidP="008B3BC7">
      <w:pPr>
        <w:rPr>
          <w:bCs/>
        </w:rPr>
      </w:pPr>
    </w:p>
    <w:p w14:paraId="5592D8B8" w14:textId="03386747" w:rsidR="00F35FAF" w:rsidRPr="00066406" w:rsidRDefault="0098716B" w:rsidP="00431DA6">
      <w:pPr>
        <w:rPr>
          <w:bCs/>
        </w:rPr>
      </w:pPr>
      <w:r w:rsidRPr="00066406">
        <w:rPr>
          <w:bCs/>
        </w:rPr>
        <w:t xml:space="preserve">We then ran an ordinary least squares (OLS) regression on the gneiss balances calculated with the subsampled dataset. </w:t>
      </w:r>
      <w:r w:rsidR="008B38C6" w:rsidRPr="00066406">
        <w:rPr>
          <w:bCs/>
        </w:rPr>
        <w:t>As with the full dataset, w</w:t>
      </w:r>
      <w:r w:rsidR="006573E0" w:rsidRPr="00066406">
        <w:rPr>
          <w:bCs/>
        </w:rPr>
        <w:t xml:space="preserve">e set </w:t>
      </w:r>
      <w:r w:rsidR="006573E0" w:rsidRPr="00066406">
        <w:t>sampling area, sex, age class, weight, body</w:t>
      </w:r>
      <w:r w:rsidR="0086705C" w:rsidRPr="00066406">
        <w:t xml:space="preserve"> condition, and presence</w:t>
      </w:r>
      <w:r w:rsidR="006573E0" w:rsidRPr="00066406">
        <w:t xml:space="preserve"> of ear mites as fixed effects. The overall model explained 11.</w:t>
      </w:r>
      <w:r w:rsidR="00BD71D9" w:rsidRPr="00066406">
        <w:t>32</w:t>
      </w:r>
      <w:r w:rsidR="006573E0" w:rsidRPr="00066406">
        <w:t xml:space="preserve">% of the variation, with ear mite infection </w:t>
      </w:r>
      <w:r w:rsidR="004E3D9C" w:rsidRPr="00066406">
        <w:t>the variable of largest effect (2.</w:t>
      </w:r>
      <w:r w:rsidR="00BD71D9" w:rsidRPr="00066406">
        <w:t>81</w:t>
      </w:r>
      <w:r w:rsidR="004E3D9C" w:rsidRPr="00066406">
        <w:t>%</w:t>
      </w:r>
      <w:r w:rsidR="001D3417" w:rsidRPr="00066406">
        <w:t>; Supplemental Table SE1</w:t>
      </w:r>
      <w:r w:rsidR="004E3D9C" w:rsidRPr="00066406">
        <w:t xml:space="preserve">).  </w:t>
      </w:r>
      <w:r w:rsidR="001A5BE9" w:rsidRPr="00066406">
        <w:t>B</w:t>
      </w:r>
      <w:r w:rsidR="004E3D9C" w:rsidRPr="00066406">
        <w:t>alance y0</w:t>
      </w:r>
      <w:r w:rsidR="00BD71D9" w:rsidRPr="00066406">
        <w:t>2</w:t>
      </w:r>
      <w:r w:rsidR="004E3D9C" w:rsidRPr="00066406">
        <w:t xml:space="preserve"> was </w:t>
      </w:r>
      <w:r w:rsidR="0084568E" w:rsidRPr="00066406">
        <w:t>statistically significant with respect to ear mite infection (</w:t>
      </w:r>
      <w:r w:rsidR="0084568E" w:rsidRPr="00066406">
        <w:rPr>
          <w:i/>
        </w:rPr>
        <w:t>p</w:t>
      </w:r>
      <w:r w:rsidR="0084568E" w:rsidRPr="00066406">
        <w:t xml:space="preserve">&lt;0.001). </w:t>
      </w:r>
      <w:r w:rsidR="00F35FAF" w:rsidRPr="00066406">
        <w:lastRenderedPageBreak/>
        <w:t>V</w:t>
      </w:r>
      <w:r w:rsidR="004A5276" w:rsidRPr="00066406">
        <w:t xml:space="preserve">isualizing the taxonomic make up of </w:t>
      </w:r>
      <w:r w:rsidR="001A5BE9" w:rsidRPr="00066406">
        <w:t>this balance</w:t>
      </w:r>
      <w:r w:rsidR="004A5276" w:rsidRPr="00066406">
        <w:t xml:space="preserve"> showed that Bacilli </w:t>
      </w:r>
      <w:proofErr w:type="gramStart"/>
      <w:r w:rsidR="004A5276" w:rsidRPr="00066406">
        <w:t>was</w:t>
      </w:r>
      <w:proofErr w:type="gramEnd"/>
      <w:r w:rsidR="004A5276" w:rsidRPr="00066406">
        <w:t xml:space="preserve"> the only class of microbes with drastically different proportions between infection groups</w:t>
      </w:r>
      <w:r w:rsidR="008A0BCA" w:rsidRPr="00066406">
        <w:t xml:space="preserve"> (Supplemental Figure SE</w:t>
      </w:r>
      <w:r w:rsidR="009550B8" w:rsidRPr="00066406">
        <w:t>4</w:t>
      </w:r>
      <w:r w:rsidR="008A0BCA" w:rsidRPr="00066406">
        <w:t>)</w:t>
      </w:r>
      <w:r w:rsidR="004A5276" w:rsidRPr="00066406">
        <w:t>.</w:t>
      </w:r>
      <w:r w:rsidR="00187C26" w:rsidRPr="00066406">
        <w:t xml:space="preserve"> The feature underlying this pattern was </w:t>
      </w:r>
      <w:r w:rsidR="00187C26" w:rsidRPr="00066406">
        <w:rPr>
          <w:bCs/>
        </w:rPr>
        <w:t xml:space="preserve">3f0449c545626dd14b585e9c7b2d16f4, previously identified as </w:t>
      </w:r>
      <w:r w:rsidR="00187C26" w:rsidRPr="00066406">
        <w:rPr>
          <w:bCs/>
          <w:i/>
        </w:rPr>
        <w:t>S. pseudintermedius</w:t>
      </w:r>
      <w:r w:rsidR="00187C26" w:rsidRPr="00066406">
        <w:t xml:space="preserve">. In this subsampled analysis, </w:t>
      </w:r>
      <w:r w:rsidR="00187C26" w:rsidRPr="00066406">
        <w:rPr>
          <w:bCs/>
        </w:rPr>
        <w:t>correlation-clustering grouped this feature with one other in the tree hierarchy:</w:t>
      </w:r>
      <w:r w:rsidR="002C21B6" w:rsidRPr="00066406">
        <w:rPr>
          <w:bCs/>
          <w:i/>
        </w:rPr>
        <w:t xml:space="preserve"> </w:t>
      </w:r>
      <w:r w:rsidR="00187C26" w:rsidRPr="00066406">
        <w:rPr>
          <w:bCs/>
        </w:rPr>
        <w:t xml:space="preserve">13e52764e1c08c4fd9902769bf9e022e, which matched to </w:t>
      </w:r>
      <w:r w:rsidR="00187C26" w:rsidRPr="00066406">
        <w:rPr>
          <w:bCs/>
          <w:i/>
        </w:rPr>
        <w:t>Enterococcus sp</w:t>
      </w:r>
      <w:r w:rsidR="0086705C" w:rsidRPr="00066406">
        <w:rPr>
          <w:bCs/>
          <w:i/>
        </w:rPr>
        <w:t>p</w:t>
      </w:r>
      <w:r w:rsidR="00187C26" w:rsidRPr="00066406">
        <w:rPr>
          <w:bCs/>
          <w:i/>
        </w:rPr>
        <w:t>.</w:t>
      </w:r>
      <w:r w:rsidR="00F35FAF" w:rsidRPr="00066406">
        <w:rPr>
          <w:bCs/>
          <w:i/>
        </w:rPr>
        <w:t xml:space="preserve"> </w:t>
      </w:r>
      <w:r w:rsidR="00187C26" w:rsidRPr="00066406">
        <w:rPr>
          <w:bCs/>
        </w:rPr>
        <w:t xml:space="preserve">using NCBI </w:t>
      </w:r>
      <w:proofErr w:type="spellStart"/>
      <w:r w:rsidR="00187C26" w:rsidRPr="00066406">
        <w:rPr>
          <w:bCs/>
        </w:rPr>
        <w:t>BLASTn</w:t>
      </w:r>
      <w:proofErr w:type="spellEnd"/>
      <w:r w:rsidR="00187C26" w:rsidRPr="00066406">
        <w:rPr>
          <w:bCs/>
        </w:rPr>
        <w:t xml:space="preserve"> </w:t>
      </w:r>
      <w:r w:rsidR="00187C26" w:rsidRPr="00066406">
        <w:rPr>
          <w:bCs/>
        </w:rPr>
        <w:fldChar w:fldCharType="begin" w:fldLock="1"/>
      </w:r>
      <w:r w:rsidR="00187C26" w:rsidRPr="00066406">
        <w:rPr>
          <w:bCs/>
        </w:rPr>
        <w:instrText>ADDIN CSL_CITATION {"citationItems":[{"id":"ITEM-1","itemData":{"DOI":"10.1016/S0022-2836(05)80360-2","ISSN":"00222836","abstract":"A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Biology","id":"ITEM-1","issue":"3","issued":{"date-parts":[["1990"]]},"page":"403-410","title":"Basic local alignment search tool","type":"article-journal","volume":"215"},"uris":["http://www.mendeley.com/documents/?uuid=7ead9ae7-1290-48ca-9d53-e46e33ef12b8"]}],"mendeley":{"formattedCitation":"(Altschul et al. 1990)","plainTextFormattedCitation":"(Altschul et al. 1990)"},"properties":{"noteIndex":0},"schema":"https://github.com/citation-style-language/schema/raw/master/csl-citation.json"}</w:instrText>
      </w:r>
      <w:r w:rsidR="00187C26" w:rsidRPr="00066406">
        <w:rPr>
          <w:bCs/>
        </w:rPr>
        <w:fldChar w:fldCharType="separate"/>
      </w:r>
      <w:r w:rsidR="00187C26" w:rsidRPr="00066406">
        <w:rPr>
          <w:bCs/>
          <w:noProof/>
        </w:rPr>
        <w:t>(Altschul et al. 1990)</w:t>
      </w:r>
      <w:r w:rsidR="00187C26" w:rsidRPr="00066406">
        <w:rPr>
          <w:bCs/>
        </w:rPr>
        <w:fldChar w:fldCharType="end"/>
      </w:r>
      <w:r w:rsidR="00187C26" w:rsidRPr="00066406">
        <w:rPr>
          <w:bCs/>
        </w:rPr>
        <w:t xml:space="preserve">. </w:t>
      </w:r>
      <w:r w:rsidR="001605E5" w:rsidRPr="00066406">
        <w:rPr>
          <w:bCs/>
        </w:rPr>
        <w:t xml:space="preserve">The result that </w:t>
      </w:r>
      <w:r w:rsidR="001605E5" w:rsidRPr="00066406">
        <w:rPr>
          <w:bCs/>
          <w:i/>
        </w:rPr>
        <w:t>S. pseudintermedius</w:t>
      </w:r>
      <w:r w:rsidR="00F35FAF" w:rsidRPr="00066406">
        <w:rPr>
          <w:bCs/>
          <w:i/>
        </w:rPr>
        <w:t xml:space="preserve"> </w:t>
      </w:r>
      <w:r w:rsidR="00F35FAF" w:rsidRPr="00066406">
        <w:rPr>
          <w:bCs/>
        </w:rPr>
        <w:t>was</w:t>
      </w:r>
      <w:r w:rsidR="001605E5" w:rsidRPr="00066406">
        <w:rPr>
          <w:bCs/>
        </w:rPr>
        <w:t xml:space="preserve"> the primary taxon driving observed changes is therefore consistent between ANCOM and gneiss using the full and subsampled datasets. </w:t>
      </w:r>
    </w:p>
    <w:p w14:paraId="3E453558" w14:textId="77777777" w:rsidR="00F35FAF" w:rsidRPr="00066406" w:rsidRDefault="00F35FAF" w:rsidP="00431DA6">
      <w:pPr>
        <w:rPr>
          <w:bCs/>
        </w:rPr>
      </w:pPr>
    </w:p>
    <w:p w14:paraId="29DDCDC7" w14:textId="259C9622" w:rsidR="006573E0" w:rsidRPr="00066406" w:rsidRDefault="001605E5" w:rsidP="00431DA6">
      <w:pPr>
        <w:rPr>
          <w:bCs/>
        </w:rPr>
      </w:pPr>
      <w:r w:rsidRPr="00066406">
        <w:rPr>
          <w:bCs/>
        </w:rPr>
        <w:t xml:space="preserve">One difference concerns the additional taxa grouped with </w:t>
      </w:r>
      <w:r w:rsidRPr="00066406">
        <w:rPr>
          <w:bCs/>
          <w:i/>
        </w:rPr>
        <w:t xml:space="preserve">S. pseudintermedius </w:t>
      </w:r>
      <w:r w:rsidRPr="00066406">
        <w:rPr>
          <w:bCs/>
        </w:rPr>
        <w:t xml:space="preserve">in the tree hierarchy. The full dataset returned </w:t>
      </w:r>
      <w:r w:rsidRPr="00066406">
        <w:rPr>
          <w:bCs/>
          <w:i/>
        </w:rPr>
        <w:t>Enterococcus s</w:t>
      </w:r>
      <w:r w:rsidR="0086705C" w:rsidRPr="00066406">
        <w:rPr>
          <w:bCs/>
          <w:i/>
        </w:rPr>
        <w:t>p</w:t>
      </w:r>
      <w:r w:rsidRPr="00066406">
        <w:rPr>
          <w:bCs/>
          <w:i/>
        </w:rPr>
        <w:t xml:space="preserve">p. </w:t>
      </w:r>
      <w:r w:rsidRPr="00066406">
        <w:rPr>
          <w:bCs/>
        </w:rPr>
        <w:t>(Bacilli)</w:t>
      </w:r>
      <w:r w:rsidRPr="00066406">
        <w:rPr>
          <w:bCs/>
          <w:i/>
        </w:rPr>
        <w:t xml:space="preserve"> </w:t>
      </w:r>
      <w:r w:rsidRPr="00066406">
        <w:rPr>
          <w:bCs/>
        </w:rPr>
        <w:t xml:space="preserve">and </w:t>
      </w:r>
      <w:r w:rsidRPr="00066406">
        <w:rPr>
          <w:bCs/>
          <w:i/>
        </w:rPr>
        <w:t>Corynebacterium s</w:t>
      </w:r>
      <w:r w:rsidR="0086705C" w:rsidRPr="00066406">
        <w:rPr>
          <w:bCs/>
          <w:i/>
        </w:rPr>
        <w:t>p</w:t>
      </w:r>
      <w:r w:rsidRPr="00066406">
        <w:rPr>
          <w:bCs/>
          <w:i/>
        </w:rPr>
        <w:t>p</w:t>
      </w:r>
      <w:r w:rsidRPr="00066406">
        <w:rPr>
          <w:bCs/>
        </w:rPr>
        <w:t xml:space="preserve">. (Actinobacteria), whereas the subsampled dataset only returned </w:t>
      </w:r>
      <w:r w:rsidRPr="00066406">
        <w:rPr>
          <w:bCs/>
          <w:i/>
        </w:rPr>
        <w:t>Enterococcus s</w:t>
      </w:r>
      <w:r w:rsidR="0086705C" w:rsidRPr="00066406">
        <w:rPr>
          <w:bCs/>
          <w:i/>
        </w:rPr>
        <w:t>p</w:t>
      </w:r>
      <w:r w:rsidRPr="00066406">
        <w:rPr>
          <w:bCs/>
          <w:i/>
        </w:rPr>
        <w:t>p.</w:t>
      </w:r>
      <w:r w:rsidRPr="00066406">
        <w:rPr>
          <w:bCs/>
        </w:rPr>
        <w:t xml:space="preserve"> This suggests that the higher proportion of </w:t>
      </w:r>
      <w:proofErr w:type="spellStart"/>
      <w:r w:rsidRPr="00066406">
        <w:rPr>
          <w:bCs/>
        </w:rPr>
        <w:t>Anctinobacteria</w:t>
      </w:r>
      <w:proofErr w:type="spellEnd"/>
      <w:r w:rsidRPr="00066406">
        <w:rPr>
          <w:bCs/>
        </w:rPr>
        <w:t xml:space="preserve"> observed with the full dataset was perhaps driven by</w:t>
      </w:r>
      <w:r w:rsidR="004F6E99" w:rsidRPr="00066406">
        <w:t xml:space="preserve"> (1) </w:t>
      </w:r>
      <w:r w:rsidR="001175B2" w:rsidRPr="00066406">
        <w:t xml:space="preserve">specific </w:t>
      </w:r>
      <w:r w:rsidR="004F6E99" w:rsidRPr="00066406">
        <w:t xml:space="preserve">foxes sampled multiple times or (2) </w:t>
      </w:r>
      <w:r w:rsidR="001175B2" w:rsidRPr="00066406">
        <w:t>specific</w:t>
      </w:r>
      <w:r w:rsidR="004F6E99" w:rsidRPr="00066406">
        <w:t xml:space="preserve"> samples that were excluded from the subsampled analysis by random chance. </w:t>
      </w:r>
    </w:p>
    <w:p w14:paraId="3334711F" w14:textId="77777777" w:rsidR="005B6CBF" w:rsidRPr="00066406" w:rsidRDefault="005B6CBF" w:rsidP="00846400">
      <w:pPr>
        <w:jc w:val="center"/>
        <w:rPr>
          <w:i/>
        </w:rPr>
      </w:pPr>
    </w:p>
    <w:p w14:paraId="029E08F8" w14:textId="77777777" w:rsidR="00431DA6" w:rsidRPr="00066406" w:rsidRDefault="00431DA6" w:rsidP="005B6CBF">
      <w:pPr>
        <w:rPr>
          <w:b/>
        </w:rPr>
      </w:pPr>
    </w:p>
    <w:p w14:paraId="7DE48474" w14:textId="4ED91914" w:rsidR="005B6CBF" w:rsidRPr="00066406" w:rsidRDefault="00A772EC" w:rsidP="005B6CBF">
      <w:pPr>
        <w:rPr>
          <w:b/>
        </w:rPr>
      </w:pPr>
      <w:r w:rsidRPr="00066406">
        <w:rPr>
          <w:b/>
        </w:rPr>
        <w:t>Discussion</w:t>
      </w:r>
    </w:p>
    <w:p w14:paraId="3A34912F" w14:textId="77777777" w:rsidR="00861D0E" w:rsidRPr="00066406" w:rsidRDefault="00861D0E" w:rsidP="005B6CBF">
      <w:pPr>
        <w:rPr>
          <w:b/>
        </w:rPr>
      </w:pPr>
    </w:p>
    <w:p w14:paraId="6266BC4A" w14:textId="0814CC48" w:rsidR="00DF1226" w:rsidRPr="00066406" w:rsidRDefault="00DF1226" w:rsidP="005B6CBF">
      <w:r w:rsidRPr="00066406">
        <w:t>Results obtained with our full (n=1</w:t>
      </w:r>
      <w:r w:rsidR="00BD71D9" w:rsidRPr="00066406">
        <w:t>19) and subsampled (n=73</w:t>
      </w:r>
      <w:r w:rsidRPr="00066406">
        <w:t xml:space="preserve">) datasets were </w:t>
      </w:r>
      <w:r w:rsidR="00A71777" w:rsidRPr="00066406">
        <w:t>nearly</w:t>
      </w:r>
      <w:r w:rsidRPr="00066406">
        <w:t xml:space="preserve"> identical. Alpha diversity was</w:t>
      </w:r>
      <w:r w:rsidR="00A71777" w:rsidRPr="00066406">
        <w:t xml:space="preserve"> significantly</w:t>
      </w:r>
      <w:r w:rsidRPr="00066406">
        <w:t xml:space="preserve"> lower in </w:t>
      </w:r>
      <w:r w:rsidR="0086705C" w:rsidRPr="00066406">
        <w:t>mite-</w:t>
      </w:r>
      <w:r w:rsidRPr="00066406">
        <w:t xml:space="preserve">infected ear canals, community composition was significantly different between infection groups, and Bacilli (more specifically, </w:t>
      </w:r>
      <w:r w:rsidRPr="00066406">
        <w:rPr>
          <w:i/>
        </w:rPr>
        <w:t>S</w:t>
      </w:r>
      <w:r w:rsidR="00C27C76" w:rsidRPr="00066406">
        <w:rPr>
          <w:i/>
        </w:rPr>
        <w:t xml:space="preserve">. </w:t>
      </w:r>
      <w:r w:rsidRPr="00066406">
        <w:rPr>
          <w:i/>
        </w:rPr>
        <w:t>pseudintermedius</w:t>
      </w:r>
      <w:r w:rsidRPr="00066406">
        <w:t>) had a significantly higher relative</w:t>
      </w:r>
      <w:r w:rsidR="00BD4496" w:rsidRPr="00066406">
        <w:t xml:space="preserve"> abundance in mite-</w:t>
      </w:r>
      <w:r w:rsidR="000D5FF0" w:rsidRPr="00066406">
        <w:t>infected ear canals</w:t>
      </w:r>
      <w:r w:rsidRPr="00066406">
        <w:t xml:space="preserve"> when c</w:t>
      </w:r>
      <w:r w:rsidR="000D5FF0" w:rsidRPr="00066406">
        <w:t xml:space="preserve">ompared to uninfected </w:t>
      </w:r>
      <w:r w:rsidR="00F35FAF" w:rsidRPr="00066406">
        <w:t xml:space="preserve">ear </w:t>
      </w:r>
      <w:r w:rsidR="000D5FF0" w:rsidRPr="00066406">
        <w:t>canals.</w:t>
      </w:r>
      <w:r w:rsidR="00861D0E" w:rsidRPr="00066406">
        <w:t xml:space="preserve"> </w:t>
      </w:r>
      <w:r w:rsidR="00C27C76" w:rsidRPr="00066406">
        <w:t>R</w:t>
      </w:r>
      <w:r w:rsidR="00F36375" w:rsidRPr="00066406">
        <w:t>egression</w:t>
      </w:r>
      <w:r w:rsidR="00C27C76" w:rsidRPr="00066406">
        <w:t xml:space="preserve"> models returned </w:t>
      </w:r>
      <w:r w:rsidR="00F36375" w:rsidRPr="00066406">
        <w:t xml:space="preserve">only one balance </w:t>
      </w:r>
      <w:r w:rsidR="00C27C76" w:rsidRPr="00066406">
        <w:t xml:space="preserve">with </w:t>
      </w:r>
      <w:r w:rsidR="00F36375" w:rsidRPr="00066406">
        <w:t>sig</w:t>
      </w:r>
      <w:r w:rsidR="00C27C76" w:rsidRPr="00066406">
        <w:t>nificant differences</w:t>
      </w:r>
      <w:r w:rsidR="00F36375" w:rsidRPr="00066406">
        <w:t xml:space="preserve"> with </w:t>
      </w:r>
      <w:r w:rsidR="00C27C76" w:rsidRPr="00066406">
        <w:t xml:space="preserve">respect to ear mite infection, and </w:t>
      </w:r>
      <w:r w:rsidR="00F36375" w:rsidRPr="00066406">
        <w:t xml:space="preserve">the same conclusion </w:t>
      </w:r>
      <w:r w:rsidR="00C27C76" w:rsidRPr="00066406">
        <w:t xml:space="preserve">was </w:t>
      </w:r>
      <w:r w:rsidR="00F36375" w:rsidRPr="00066406">
        <w:t xml:space="preserve">drawn from each: </w:t>
      </w:r>
      <w:r w:rsidR="002B5B1C" w:rsidRPr="00066406">
        <w:rPr>
          <w:i/>
        </w:rPr>
        <w:t xml:space="preserve">S. pseudintermedius </w:t>
      </w:r>
      <w:r w:rsidR="002D0440" w:rsidRPr="00066406">
        <w:t>had hi</w:t>
      </w:r>
      <w:r w:rsidR="00BD4496" w:rsidRPr="00066406">
        <w:t>gher relative abundance in mite-</w:t>
      </w:r>
      <w:r w:rsidR="002D0440" w:rsidRPr="00066406">
        <w:t>infected ear canals.</w:t>
      </w:r>
      <w:r w:rsidR="00E403FF" w:rsidRPr="00066406">
        <w:t xml:space="preserve"> </w:t>
      </w:r>
      <w:r w:rsidR="00101FFC" w:rsidRPr="00066406">
        <w:t>As almost all subsampled results matched the full dataset, we retained all samples</w:t>
      </w:r>
      <w:r w:rsidR="00E403FF" w:rsidRPr="00066406">
        <w:t xml:space="preserve"> for analyses </w:t>
      </w:r>
      <w:r w:rsidR="00636E89" w:rsidRPr="00066406">
        <w:t xml:space="preserve">presented in the </w:t>
      </w:r>
      <w:r w:rsidR="00E2652C" w:rsidRPr="00066406">
        <w:t xml:space="preserve">main </w:t>
      </w:r>
      <w:r w:rsidR="00636E89" w:rsidRPr="00066406">
        <w:t>manuscrip</w:t>
      </w:r>
      <w:r w:rsidR="00F36375" w:rsidRPr="00066406">
        <w:t>t.</w:t>
      </w:r>
    </w:p>
    <w:p w14:paraId="0FE519DA" w14:textId="77777777" w:rsidR="00F0693E" w:rsidRPr="00066406" w:rsidRDefault="00F0693E" w:rsidP="005B6CBF"/>
    <w:p w14:paraId="1ED62C25" w14:textId="77777777" w:rsidR="00F0693E" w:rsidRPr="00066406" w:rsidRDefault="00F0693E" w:rsidP="005B6CBF"/>
    <w:p w14:paraId="19685332" w14:textId="77777777" w:rsidR="00F0693E" w:rsidRPr="00066406" w:rsidRDefault="00F0693E" w:rsidP="005B6CBF"/>
    <w:p w14:paraId="524C7124" w14:textId="77777777" w:rsidR="00F0693E" w:rsidRPr="00066406" w:rsidRDefault="00F0693E" w:rsidP="005B6CBF"/>
    <w:p w14:paraId="599D52F6" w14:textId="77777777" w:rsidR="00F0693E" w:rsidRPr="00066406" w:rsidRDefault="00F0693E" w:rsidP="005B6CBF"/>
    <w:p w14:paraId="03847BE4" w14:textId="77777777" w:rsidR="00F0693E" w:rsidRPr="00066406" w:rsidRDefault="00F0693E" w:rsidP="005B6CBF"/>
    <w:p w14:paraId="0C91891D" w14:textId="77777777" w:rsidR="00F0693E" w:rsidRPr="00066406" w:rsidRDefault="00F0693E" w:rsidP="005B6CBF"/>
    <w:p w14:paraId="4645C240" w14:textId="77777777" w:rsidR="00F0693E" w:rsidRPr="00066406" w:rsidRDefault="00F0693E" w:rsidP="005B6CBF"/>
    <w:p w14:paraId="7D39EB3C" w14:textId="77777777" w:rsidR="00F0693E" w:rsidRPr="00066406" w:rsidRDefault="00F0693E" w:rsidP="005B6CBF"/>
    <w:p w14:paraId="320262C5" w14:textId="77777777" w:rsidR="00F0693E" w:rsidRPr="00066406" w:rsidRDefault="00F0693E" w:rsidP="005B6CBF"/>
    <w:p w14:paraId="2093F0B7" w14:textId="77777777" w:rsidR="00F0693E" w:rsidRPr="00066406" w:rsidRDefault="00F0693E" w:rsidP="005B6CBF"/>
    <w:p w14:paraId="66866B74" w14:textId="77777777" w:rsidR="00F0693E" w:rsidRPr="00066406" w:rsidRDefault="00F0693E" w:rsidP="005B6CBF"/>
    <w:p w14:paraId="4DD52C36" w14:textId="77777777" w:rsidR="00F0693E" w:rsidRPr="00066406" w:rsidRDefault="00F0693E" w:rsidP="005B6CBF"/>
    <w:p w14:paraId="060E031D" w14:textId="77777777" w:rsidR="00F0693E" w:rsidRPr="00066406" w:rsidRDefault="00F0693E" w:rsidP="005B6CBF"/>
    <w:p w14:paraId="629A2DCC" w14:textId="77777777" w:rsidR="00F0693E" w:rsidRPr="00066406" w:rsidRDefault="00F0693E" w:rsidP="005B6CBF"/>
    <w:p w14:paraId="4FDBE923" w14:textId="77777777" w:rsidR="00F0693E" w:rsidRPr="00066406" w:rsidRDefault="00F0693E" w:rsidP="005B6CBF"/>
    <w:p w14:paraId="428BD17C" w14:textId="77777777" w:rsidR="00F0693E" w:rsidRPr="00066406" w:rsidRDefault="00F0693E" w:rsidP="005B6CBF"/>
    <w:p w14:paraId="08F05FDC" w14:textId="77777777" w:rsidR="00F0693E" w:rsidRPr="00066406" w:rsidRDefault="00F0693E" w:rsidP="005B6CBF"/>
    <w:p w14:paraId="36B43E94" w14:textId="77777777" w:rsidR="00F0693E" w:rsidRPr="00066406" w:rsidRDefault="00F0693E" w:rsidP="005B6CBF">
      <w:pPr>
        <w:sectPr w:rsidR="00F0693E" w:rsidRPr="00066406" w:rsidSect="00F0693E">
          <w:pgSz w:w="12240" w:h="15840"/>
          <w:pgMar w:top="1440" w:right="1440" w:bottom="1440" w:left="1440" w:header="720" w:footer="720" w:gutter="0"/>
          <w:cols w:space="720"/>
          <w:docGrid w:linePitch="360"/>
        </w:sectPr>
      </w:pPr>
    </w:p>
    <w:p w14:paraId="434C3867" w14:textId="3816CEF8" w:rsidR="00F0693E" w:rsidRPr="00066406" w:rsidRDefault="00F0693E" w:rsidP="00F0693E">
      <w:pPr>
        <w:rPr>
          <w:b/>
        </w:rPr>
      </w:pPr>
      <w:r w:rsidRPr="00066406">
        <w:rPr>
          <w:b/>
        </w:rPr>
        <w:t xml:space="preserve">Tables and Figures </w:t>
      </w:r>
    </w:p>
    <w:p w14:paraId="5E0ED5A9" w14:textId="77777777" w:rsidR="0092240C" w:rsidRPr="00066406" w:rsidRDefault="0092240C" w:rsidP="00F0693E"/>
    <w:p w14:paraId="4FC2D599" w14:textId="2FD0B334" w:rsidR="00F0693E" w:rsidRPr="00066406" w:rsidRDefault="0092240C" w:rsidP="00F23B70">
      <w:pPr>
        <w:jc w:val="center"/>
        <w:rPr>
          <w:b/>
        </w:rPr>
      </w:pPr>
      <w:r w:rsidRPr="00066406">
        <w:rPr>
          <w:b/>
          <w:noProof/>
        </w:rPr>
        <w:drawing>
          <wp:inline distT="0" distB="0" distL="0" distR="0" wp14:anchorId="0AD6C1DB" wp14:editId="5EB959B5">
            <wp:extent cx="8001000" cy="4640632"/>
            <wp:effectExtent l="0" t="0" r="0" b="7620"/>
            <wp:docPr id="2" name="Picture 2" descr="Macintosh HD:Users:adecandia:Dropbox (personal):SCA_Microbiome:Figures:20190524:FigureS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ecandia:Dropbox (personal):SCA_Microbiome:Figures:20190524:FigureSE1.pdf"/>
                    <pic:cNvPicPr>
                      <a:picLocks noChangeAspect="1" noChangeArrowheads="1"/>
                    </pic:cNvPicPr>
                  </pic:nvPicPr>
                  <pic:blipFill rotWithShape="1">
                    <a:blip r:embed="rId6">
                      <a:extLst>
                        <a:ext uri="{28A0092B-C50C-407E-A947-70E740481C1C}">
                          <a14:useLocalDpi xmlns:a14="http://schemas.microsoft.com/office/drawing/2010/main" val="0"/>
                        </a:ext>
                      </a:extLst>
                    </a:blip>
                    <a:srcRect b="20330"/>
                    <a:stretch/>
                  </pic:blipFill>
                  <pic:spPr bwMode="auto">
                    <a:xfrm>
                      <a:off x="0" y="0"/>
                      <a:ext cx="8001154" cy="4640721"/>
                    </a:xfrm>
                    <a:prstGeom prst="rect">
                      <a:avLst/>
                    </a:prstGeom>
                    <a:noFill/>
                    <a:ln>
                      <a:noFill/>
                    </a:ln>
                    <a:extLst>
                      <a:ext uri="{53640926-AAD7-44d8-BBD7-CCE9431645EC}">
                        <a14:shadowObscured xmlns:a14="http://schemas.microsoft.com/office/drawing/2010/main"/>
                      </a:ext>
                    </a:extLst>
                  </pic:spPr>
                </pic:pic>
              </a:graphicData>
            </a:graphic>
          </wp:inline>
        </w:drawing>
      </w:r>
    </w:p>
    <w:p w14:paraId="5AF1A764" w14:textId="65D35F4F" w:rsidR="00F0693E" w:rsidRPr="00066406" w:rsidRDefault="00F0693E" w:rsidP="00F0693E">
      <w:proofErr w:type="gramStart"/>
      <w:r w:rsidRPr="00066406">
        <w:rPr>
          <w:b/>
        </w:rPr>
        <w:t>Supplemental Figure SE1.</w:t>
      </w:r>
      <w:proofErr w:type="gramEnd"/>
      <w:r w:rsidRPr="00066406">
        <w:rPr>
          <w:b/>
        </w:rPr>
        <w:t xml:space="preserve"> </w:t>
      </w:r>
      <w:r w:rsidRPr="00066406">
        <w:t xml:space="preserve">Paired boxplots and rarefaction curves of three alpha diversity metrics: (A-B) Chao1 Index, (C-D) Shannon Index, and (E-F) </w:t>
      </w:r>
      <w:proofErr w:type="spellStart"/>
      <w:r w:rsidRPr="00066406">
        <w:t>Pielou’s</w:t>
      </w:r>
      <w:proofErr w:type="spellEnd"/>
      <w:r w:rsidRPr="00066406">
        <w:t xml:space="preserve"> Evenness Metric. </w:t>
      </w:r>
      <w:r w:rsidR="001D6E33" w:rsidRPr="00066406">
        <w:t>Mite-infected ear canals exhibited significantly reduced diversity using all three metrics (</w:t>
      </w:r>
      <w:proofErr w:type="spellStart"/>
      <w:r w:rsidR="001D6E33" w:rsidRPr="00066406">
        <w:t>Kruskall</w:t>
      </w:r>
      <w:proofErr w:type="spellEnd"/>
      <w:r w:rsidR="001D6E33" w:rsidRPr="00066406">
        <w:t xml:space="preserve">-Wallis Test; Chao1, </w:t>
      </w:r>
      <w:r w:rsidR="001D6E33" w:rsidRPr="00066406">
        <w:rPr>
          <w:i/>
        </w:rPr>
        <w:t>H</w:t>
      </w:r>
      <w:r w:rsidR="001D6E33" w:rsidRPr="00066406">
        <w:t xml:space="preserve">=13.882, </w:t>
      </w:r>
      <w:r w:rsidR="001D6E33" w:rsidRPr="00066406">
        <w:rPr>
          <w:i/>
        </w:rPr>
        <w:t>p</w:t>
      </w:r>
      <w:r w:rsidR="001D6E33" w:rsidRPr="00066406">
        <w:t xml:space="preserve">&lt;0.001; Shannon Index, </w:t>
      </w:r>
      <w:r w:rsidR="001D6E33" w:rsidRPr="00066406">
        <w:rPr>
          <w:i/>
        </w:rPr>
        <w:t>H</w:t>
      </w:r>
      <w:r w:rsidR="001D6E33" w:rsidRPr="00066406">
        <w:t xml:space="preserve">=17.030, </w:t>
      </w:r>
      <w:r w:rsidR="001D6E33" w:rsidRPr="00066406">
        <w:rPr>
          <w:i/>
        </w:rPr>
        <w:t>p</w:t>
      </w:r>
      <w:r w:rsidR="001D6E33" w:rsidRPr="00066406">
        <w:t xml:space="preserve">&lt;0.001; </w:t>
      </w:r>
      <w:proofErr w:type="spellStart"/>
      <w:r w:rsidR="001D6E33" w:rsidRPr="00066406">
        <w:t>Pielou’s</w:t>
      </w:r>
      <w:proofErr w:type="spellEnd"/>
      <w:r w:rsidR="001D6E33" w:rsidRPr="00066406">
        <w:t xml:space="preserve"> </w:t>
      </w:r>
      <w:proofErr w:type="spellStart"/>
      <w:r w:rsidR="001D6E33" w:rsidRPr="00066406">
        <w:t>Evennesss</w:t>
      </w:r>
      <w:proofErr w:type="spellEnd"/>
      <w:r w:rsidR="001D6E33" w:rsidRPr="00066406">
        <w:t xml:space="preserve"> Metric, </w:t>
      </w:r>
      <w:r w:rsidR="001D6E33" w:rsidRPr="00066406">
        <w:rPr>
          <w:i/>
        </w:rPr>
        <w:t>H</w:t>
      </w:r>
      <w:r w:rsidR="001D6E33" w:rsidRPr="00066406">
        <w:t xml:space="preserve">=13.494, </w:t>
      </w:r>
      <w:r w:rsidR="001D6E33" w:rsidRPr="00066406">
        <w:rPr>
          <w:i/>
        </w:rPr>
        <w:t>p</w:t>
      </w:r>
      <w:r w:rsidR="001D6E33" w:rsidRPr="00066406">
        <w:t xml:space="preserve">&lt;0.001). </w:t>
      </w:r>
      <w:r w:rsidRPr="00066406">
        <w:t xml:space="preserve">In rarefaction plots, lines represent mean values across samples and iterations (n=10), with box plots representing mean values across samples </w:t>
      </w:r>
      <w:proofErr w:type="gramStart"/>
      <w:r w:rsidRPr="00066406">
        <w:t>for each iteration</w:t>
      </w:r>
      <w:proofErr w:type="gramEnd"/>
      <w:r w:rsidRPr="00066406">
        <w:t>.</w:t>
      </w:r>
    </w:p>
    <w:p w14:paraId="23670C36" w14:textId="77777777" w:rsidR="00F0693E" w:rsidRPr="00066406" w:rsidRDefault="00F0693E" w:rsidP="005B6CBF"/>
    <w:p w14:paraId="177AF117" w14:textId="77777777" w:rsidR="00F0693E" w:rsidRPr="00066406" w:rsidRDefault="00F0693E" w:rsidP="00F0693E"/>
    <w:p w14:paraId="65F1312B" w14:textId="4570CE19" w:rsidR="00863954" w:rsidRPr="00066406" w:rsidRDefault="00F0693E" w:rsidP="00440B8D">
      <w:r w:rsidRPr="00066406">
        <w:t xml:space="preserve">     </w:t>
      </w:r>
    </w:p>
    <w:p w14:paraId="1EB0B275" w14:textId="6A015239" w:rsidR="00F0693E" w:rsidRPr="00066406" w:rsidRDefault="00F23B70" w:rsidP="00F0693E">
      <w:pPr>
        <w:rPr>
          <w:b/>
        </w:rPr>
      </w:pPr>
      <w:r w:rsidRPr="00066406">
        <w:rPr>
          <w:b/>
          <w:noProof/>
        </w:rPr>
        <w:drawing>
          <wp:inline distT="0" distB="0" distL="0" distR="0" wp14:anchorId="6441F834" wp14:editId="477AA6D0">
            <wp:extent cx="8229600" cy="2198915"/>
            <wp:effectExtent l="0" t="0" r="0" b="11430"/>
            <wp:docPr id="4" name="Picture 4" descr="Macintosh HD:Users:adecandia:Dropbox (personal):SCA_Microbiome:Figures:20190524:FigureS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ecandia:Dropbox (personal):SCA_Microbiome:Figures:20190524:FigureSE2.pdf"/>
                    <pic:cNvPicPr>
                      <a:picLocks noChangeAspect="1" noChangeArrowheads="1"/>
                    </pic:cNvPicPr>
                  </pic:nvPicPr>
                  <pic:blipFill rotWithShape="1">
                    <a:blip r:embed="rId7">
                      <a:extLst>
                        <a:ext uri="{28A0092B-C50C-407E-A947-70E740481C1C}">
                          <a14:useLocalDpi xmlns:a14="http://schemas.microsoft.com/office/drawing/2010/main" val="0"/>
                        </a:ext>
                      </a:extLst>
                    </a:blip>
                    <a:srcRect b="35873"/>
                    <a:stretch/>
                  </pic:blipFill>
                  <pic:spPr bwMode="auto">
                    <a:xfrm>
                      <a:off x="0" y="0"/>
                      <a:ext cx="8229600" cy="2198915"/>
                    </a:xfrm>
                    <a:prstGeom prst="rect">
                      <a:avLst/>
                    </a:prstGeom>
                    <a:noFill/>
                    <a:ln>
                      <a:noFill/>
                    </a:ln>
                    <a:extLst>
                      <a:ext uri="{53640926-AAD7-44d8-BBD7-CCE9431645EC}">
                        <a14:shadowObscured xmlns:a14="http://schemas.microsoft.com/office/drawing/2010/main"/>
                      </a:ext>
                    </a:extLst>
                  </pic:spPr>
                </pic:pic>
              </a:graphicData>
            </a:graphic>
          </wp:inline>
        </w:drawing>
      </w:r>
    </w:p>
    <w:p w14:paraId="475E6324" w14:textId="77777777" w:rsidR="00F23B70" w:rsidRPr="00066406" w:rsidRDefault="00F23B70" w:rsidP="00F25D71">
      <w:pPr>
        <w:rPr>
          <w:b/>
        </w:rPr>
      </w:pPr>
    </w:p>
    <w:p w14:paraId="047A1B1C" w14:textId="3D0FD872" w:rsidR="00F25D71" w:rsidRPr="00066406" w:rsidRDefault="00F0693E" w:rsidP="00F25D71">
      <w:proofErr w:type="gramStart"/>
      <w:r w:rsidRPr="00066406">
        <w:rPr>
          <w:b/>
        </w:rPr>
        <w:t>Supplemental Figure SE2.</w:t>
      </w:r>
      <w:proofErr w:type="gramEnd"/>
      <w:r w:rsidRPr="00066406">
        <w:rPr>
          <w:b/>
        </w:rPr>
        <w:t xml:space="preserve"> </w:t>
      </w:r>
      <w:r w:rsidRPr="00066406">
        <w:t xml:space="preserve">Principal coordinate analysis plots using three distance measures: (A) Bray-Curtis dissimilarity index and phylogeny-based (B) unweighted and (B) weighted UniFrac distances. </w:t>
      </w:r>
      <w:r w:rsidR="00F25D71" w:rsidRPr="00066406">
        <w:t>Significant differences were observed using Bray-Curtis (</w:t>
      </w:r>
      <w:r w:rsidR="00504636">
        <w:rPr>
          <w:i/>
        </w:rPr>
        <w:t>PERMANOVA;</w:t>
      </w:r>
      <w:r w:rsidR="00A214EE" w:rsidRPr="00066406">
        <w:rPr>
          <w:i/>
        </w:rPr>
        <w:t xml:space="preserve"> </w:t>
      </w:r>
      <w:r w:rsidR="00F25D71" w:rsidRPr="00066406">
        <w:rPr>
          <w:i/>
        </w:rPr>
        <w:t>pseudo-F</w:t>
      </w:r>
      <w:r w:rsidR="00F25D71" w:rsidRPr="00066406">
        <w:t>=</w:t>
      </w:r>
      <w:r w:rsidR="00F25D71" w:rsidRPr="00066406">
        <w:rPr>
          <w:rFonts w:ascii="Helvetica Neue" w:eastAsia="Times New Roman" w:hAnsi="Helvetica Neue"/>
          <w:color w:val="333333"/>
          <w:sz w:val="21"/>
          <w:szCs w:val="21"/>
          <w:shd w:val="clear" w:color="auto" w:fill="F5F5F5"/>
        </w:rPr>
        <w:t xml:space="preserve"> </w:t>
      </w:r>
      <w:r w:rsidR="00F25D71" w:rsidRPr="00066406">
        <w:t xml:space="preserve">4.659 </w:t>
      </w:r>
      <w:r w:rsidR="00F25D71" w:rsidRPr="00066406">
        <w:rPr>
          <w:i/>
        </w:rPr>
        <w:t>p</w:t>
      </w:r>
      <w:r w:rsidR="00F25D71" w:rsidRPr="00066406">
        <w:t>=0.001), (B) unweighted UniFrac (</w:t>
      </w:r>
      <w:r w:rsidR="00F25D71" w:rsidRPr="00066406">
        <w:rPr>
          <w:i/>
        </w:rPr>
        <w:t>pseudo-F</w:t>
      </w:r>
      <w:r w:rsidR="00F25D71" w:rsidRPr="00066406">
        <w:t xml:space="preserve">=2.443, </w:t>
      </w:r>
      <w:r w:rsidR="00F25D71" w:rsidRPr="00066406">
        <w:rPr>
          <w:i/>
        </w:rPr>
        <w:t>p</w:t>
      </w:r>
      <w:r w:rsidR="00F25D71" w:rsidRPr="00066406">
        <w:t>=0.003), and (C) weighted UniFrac (</w:t>
      </w:r>
      <w:r w:rsidR="00F25D71" w:rsidRPr="00066406">
        <w:rPr>
          <w:i/>
        </w:rPr>
        <w:t>pseudo-F</w:t>
      </w:r>
      <w:r w:rsidR="00F25D71" w:rsidRPr="00066406">
        <w:t xml:space="preserve">=4.894, </w:t>
      </w:r>
      <w:r w:rsidR="00F25D71" w:rsidRPr="00066406">
        <w:rPr>
          <w:i/>
        </w:rPr>
        <w:t>p</w:t>
      </w:r>
      <w:r w:rsidR="00F25D71" w:rsidRPr="00066406">
        <w:t xml:space="preserve">=0.001) distance measures. </w:t>
      </w:r>
    </w:p>
    <w:p w14:paraId="7BBB02F9" w14:textId="77777777" w:rsidR="00F0693E" w:rsidRPr="00066406" w:rsidRDefault="00F0693E" w:rsidP="00F0693E">
      <w:bookmarkStart w:id="0" w:name="_GoBack"/>
      <w:bookmarkEnd w:id="0"/>
    </w:p>
    <w:p w14:paraId="51923DD8" w14:textId="77777777" w:rsidR="00214BF7" w:rsidRPr="00066406" w:rsidRDefault="00214BF7" w:rsidP="00F0693E"/>
    <w:p w14:paraId="725B5757" w14:textId="77777777" w:rsidR="00214BF7" w:rsidRPr="00066406" w:rsidRDefault="00214BF7" w:rsidP="00F0693E"/>
    <w:p w14:paraId="35329693" w14:textId="77777777" w:rsidR="00214BF7" w:rsidRPr="00066406" w:rsidRDefault="00214BF7" w:rsidP="00F0693E"/>
    <w:p w14:paraId="772C0F01" w14:textId="330BC77F" w:rsidR="00214BF7" w:rsidRPr="00066406" w:rsidRDefault="00214BF7" w:rsidP="00F0693E">
      <w:pPr>
        <w:rPr>
          <w:i/>
        </w:rPr>
        <w:sectPr w:rsidR="00214BF7" w:rsidRPr="00066406" w:rsidSect="00C154E1">
          <w:pgSz w:w="15840" w:h="12240" w:orient="landscape"/>
          <w:pgMar w:top="1440" w:right="1440" w:bottom="1440" w:left="1440" w:header="720" w:footer="720" w:gutter="0"/>
          <w:cols w:space="720"/>
          <w:docGrid w:linePitch="360"/>
        </w:sectPr>
      </w:pPr>
    </w:p>
    <w:p w14:paraId="70C74384" w14:textId="378EF04C" w:rsidR="00214BF7" w:rsidRPr="00066406" w:rsidRDefault="00F23B70" w:rsidP="00F23B70">
      <w:pPr>
        <w:jc w:val="center"/>
        <w:rPr>
          <w:i/>
        </w:rPr>
      </w:pPr>
      <w:r w:rsidRPr="00066406">
        <w:rPr>
          <w:i/>
          <w:noProof/>
        </w:rPr>
        <w:drawing>
          <wp:inline distT="0" distB="0" distL="0" distR="0" wp14:anchorId="1130643D" wp14:editId="2B1DF6B9">
            <wp:extent cx="5932805" cy="7685405"/>
            <wp:effectExtent l="0" t="0" r="10795" b="10795"/>
            <wp:docPr id="8" name="Picture 8" descr="Macintosh HD:Users:adecandia:Dropbox (personal):SCA_Microbiome:Figures:20190524:FigureS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ecandia:Dropbox (personal):SCA_Microbiome:Figures:20190524:FigureSE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7685405"/>
                    </a:xfrm>
                    <a:prstGeom prst="rect">
                      <a:avLst/>
                    </a:prstGeom>
                    <a:noFill/>
                    <a:ln>
                      <a:noFill/>
                    </a:ln>
                  </pic:spPr>
                </pic:pic>
              </a:graphicData>
            </a:graphic>
          </wp:inline>
        </w:drawing>
      </w:r>
    </w:p>
    <w:p w14:paraId="547BD100" w14:textId="405F24FB" w:rsidR="00214BF7" w:rsidRPr="00066406" w:rsidRDefault="00214BF7" w:rsidP="00214BF7">
      <w:proofErr w:type="gramStart"/>
      <w:r w:rsidRPr="00066406">
        <w:rPr>
          <w:b/>
        </w:rPr>
        <w:t>Supplemental Figure SE3.</w:t>
      </w:r>
      <w:proofErr w:type="gramEnd"/>
      <w:r w:rsidRPr="00066406">
        <w:rPr>
          <w:b/>
        </w:rPr>
        <w:t xml:space="preserve"> </w:t>
      </w:r>
      <w:r w:rsidRPr="00066406">
        <w:t>Taxonomic composition exhibited the same classes of microbes in both infection groups, with Bacilli far more abundant in mite-infected ear canals.</w:t>
      </w:r>
    </w:p>
    <w:p w14:paraId="6428E281" w14:textId="77777777" w:rsidR="001D3417" w:rsidRPr="00066406" w:rsidRDefault="001D3417" w:rsidP="00214BF7"/>
    <w:p w14:paraId="0F8669D3" w14:textId="375A990C" w:rsidR="001D3417" w:rsidRPr="00066406" w:rsidRDefault="001D3417" w:rsidP="00214BF7">
      <w:proofErr w:type="gramStart"/>
      <w:r w:rsidRPr="00066406">
        <w:rPr>
          <w:b/>
        </w:rPr>
        <w:t>Supplemental Table SE1</w:t>
      </w:r>
      <w:r w:rsidR="00D50DBD" w:rsidRPr="00066406">
        <w:t>.</w:t>
      </w:r>
      <w:proofErr w:type="gramEnd"/>
      <w:r w:rsidR="00D50DBD" w:rsidRPr="00066406">
        <w:t xml:space="preserve"> Percent d</w:t>
      </w:r>
      <w:r w:rsidRPr="00066406">
        <w:t xml:space="preserve">ifference in </w:t>
      </w:r>
      <w:r w:rsidRPr="00066406">
        <w:rPr>
          <w:i/>
        </w:rPr>
        <w:t>r</w:t>
      </w:r>
      <w:r w:rsidRPr="00066406">
        <w:rPr>
          <w:i/>
          <w:vertAlign w:val="superscript"/>
        </w:rPr>
        <w:t>2</w:t>
      </w:r>
      <w:r w:rsidRPr="00066406">
        <w:rPr>
          <w:vertAlign w:val="superscript"/>
        </w:rPr>
        <w:t xml:space="preserve"> </w:t>
      </w:r>
      <w:r w:rsidRPr="00066406">
        <w:t>calculated between the full OLS model and one excluding a single vari</w:t>
      </w:r>
      <w:r w:rsidR="005A4FFF" w:rsidRPr="00066406">
        <w:t>able at a time. Mite infection wa</w:t>
      </w:r>
      <w:r w:rsidRPr="00066406">
        <w:t xml:space="preserve">s the variable of largest effect in this model, since its removal caused the largest change in </w:t>
      </w:r>
      <w:r w:rsidRPr="00066406">
        <w:rPr>
          <w:i/>
        </w:rPr>
        <w:t>r</w:t>
      </w:r>
      <w:r w:rsidRPr="00066406">
        <w:rPr>
          <w:i/>
          <w:vertAlign w:val="superscript"/>
        </w:rPr>
        <w:t>2</w:t>
      </w:r>
      <w:r w:rsidRPr="00066406">
        <w:t>.</w:t>
      </w:r>
    </w:p>
    <w:p w14:paraId="51CF59E0" w14:textId="77777777" w:rsidR="001D3417" w:rsidRPr="00066406" w:rsidRDefault="001D3417" w:rsidP="00214BF7"/>
    <w:tbl>
      <w:tblPr>
        <w:tblW w:w="4515" w:type="dxa"/>
        <w:jc w:val="center"/>
        <w:tblInd w:w="93" w:type="dxa"/>
        <w:tblLook w:val="04A0" w:firstRow="1" w:lastRow="0" w:firstColumn="1" w:lastColumn="0" w:noHBand="0" w:noVBand="1"/>
      </w:tblPr>
      <w:tblGrid>
        <w:gridCol w:w="2300"/>
        <w:gridCol w:w="2215"/>
      </w:tblGrid>
      <w:tr w:rsidR="008E01B2" w:rsidRPr="00066406" w14:paraId="50681DAB" w14:textId="77777777" w:rsidTr="008E01B2">
        <w:trPr>
          <w:trHeight w:val="300"/>
          <w:jc w:val="center"/>
        </w:trPr>
        <w:tc>
          <w:tcPr>
            <w:tcW w:w="2300" w:type="dxa"/>
            <w:tcBorders>
              <w:top w:val="single" w:sz="4" w:space="0" w:color="auto"/>
              <w:left w:val="nil"/>
              <w:bottom w:val="single" w:sz="4" w:space="0" w:color="auto"/>
              <w:right w:val="nil"/>
            </w:tcBorders>
            <w:shd w:val="clear" w:color="auto" w:fill="auto"/>
            <w:noWrap/>
            <w:vAlign w:val="bottom"/>
            <w:hideMark/>
          </w:tcPr>
          <w:p w14:paraId="692DADF9" w14:textId="77777777" w:rsidR="008E01B2" w:rsidRPr="00066406" w:rsidRDefault="008E01B2" w:rsidP="008E01B2">
            <w:pPr>
              <w:jc w:val="center"/>
              <w:rPr>
                <w:rFonts w:eastAsia="Times New Roman"/>
                <w:b/>
                <w:bCs/>
                <w:color w:val="000000"/>
              </w:rPr>
            </w:pPr>
            <w:r w:rsidRPr="00066406">
              <w:rPr>
                <w:rFonts w:eastAsia="Times New Roman"/>
                <w:b/>
                <w:bCs/>
                <w:color w:val="000000"/>
              </w:rPr>
              <w:t>Variable</w:t>
            </w:r>
          </w:p>
        </w:tc>
        <w:tc>
          <w:tcPr>
            <w:tcW w:w="2215" w:type="dxa"/>
            <w:tcBorders>
              <w:top w:val="single" w:sz="4" w:space="0" w:color="auto"/>
              <w:left w:val="nil"/>
              <w:bottom w:val="single" w:sz="4" w:space="0" w:color="auto"/>
              <w:right w:val="nil"/>
            </w:tcBorders>
            <w:shd w:val="clear" w:color="auto" w:fill="auto"/>
            <w:noWrap/>
            <w:vAlign w:val="bottom"/>
            <w:hideMark/>
          </w:tcPr>
          <w:p w14:paraId="18780BC4" w14:textId="77777777" w:rsidR="008E01B2" w:rsidRPr="00066406" w:rsidRDefault="008E01B2" w:rsidP="008E01B2">
            <w:pPr>
              <w:jc w:val="center"/>
              <w:rPr>
                <w:rFonts w:eastAsia="Times New Roman"/>
                <w:b/>
                <w:bCs/>
                <w:color w:val="000000"/>
              </w:rPr>
            </w:pPr>
            <w:r w:rsidRPr="00066406">
              <w:rPr>
                <w:rFonts w:eastAsia="Times New Roman"/>
                <w:b/>
                <w:bCs/>
                <w:color w:val="000000"/>
              </w:rPr>
              <w:t xml:space="preserve">% </w:t>
            </w:r>
            <w:proofErr w:type="gramStart"/>
            <w:r w:rsidRPr="00066406">
              <w:rPr>
                <w:rFonts w:eastAsia="Times New Roman"/>
                <w:b/>
                <w:bCs/>
                <w:color w:val="000000"/>
              </w:rPr>
              <w:t>difference</w:t>
            </w:r>
            <w:proofErr w:type="gramEnd"/>
            <w:r w:rsidRPr="00066406">
              <w:rPr>
                <w:rFonts w:eastAsia="Times New Roman"/>
                <w:b/>
                <w:bCs/>
                <w:color w:val="000000"/>
              </w:rPr>
              <w:t xml:space="preserve"> in </w:t>
            </w:r>
            <w:r w:rsidRPr="00066406">
              <w:rPr>
                <w:rFonts w:eastAsia="Times New Roman"/>
                <w:b/>
                <w:bCs/>
                <w:i/>
                <w:color w:val="000000"/>
              </w:rPr>
              <w:t>r</w:t>
            </w:r>
            <w:r w:rsidRPr="00066406">
              <w:rPr>
                <w:rFonts w:eastAsia="Times New Roman"/>
                <w:b/>
                <w:bCs/>
                <w:i/>
                <w:color w:val="000000"/>
                <w:vertAlign w:val="superscript"/>
              </w:rPr>
              <w:t>2</w:t>
            </w:r>
          </w:p>
        </w:tc>
      </w:tr>
      <w:tr w:rsidR="008E01B2" w:rsidRPr="00066406" w14:paraId="0021A472" w14:textId="77777777" w:rsidTr="008E01B2">
        <w:trPr>
          <w:trHeight w:val="300"/>
          <w:jc w:val="center"/>
        </w:trPr>
        <w:tc>
          <w:tcPr>
            <w:tcW w:w="2300" w:type="dxa"/>
            <w:tcBorders>
              <w:top w:val="nil"/>
              <w:left w:val="nil"/>
              <w:bottom w:val="nil"/>
              <w:right w:val="nil"/>
            </w:tcBorders>
            <w:shd w:val="clear" w:color="auto" w:fill="auto"/>
            <w:noWrap/>
            <w:vAlign w:val="bottom"/>
            <w:hideMark/>
          </w:tcPr>
          <w:p w14:paraId="4546FD31" w14:textId="77777777" w:rsidR="008E01B2" w:rsidRPr="00066406" w:rsidRDefault="008E01B2" w:rsidP="008E01B2">
            <w:pPr>
              <w:jc w:val="center"/>
              <w:rPr>
                <w:rFonts w:eastAsia="Times New Roman"/>
                <w:color w:val="000000"/>
              </w:rPr>
            </w:pPr>
            <w:r w:rsidRPr="00066406">
              <w:rPr>
                <w:rFonts w:eastAsia="Times New Roman"/>
                <w:color w:val="000000"/>
              </w:rPr>
              <w:t>Sampling Location</w:t>
            </w:r>
          </w:p>
        </w:tc>
        <w:tc>
          <w:tcPr>
            <w:tcW w:w="2215" w:type="dxa"/>
            <w:tcBorders>
              <w:top w:val="nil"/>
              <w:left w:val="nil"/>
              <w:bottom w:val="nil"/>
              <w:right w:val="nil"/>
            </w:tcBorders>
            <w:shd w:val="clear" w:color="auto" w:fill="auto"/>
            <w:noWrap/>
            <w:vAlign w:val="bottom"/>
            <w:hideMark/>
          </w:tcPr>
          <w:p w14:paraId="4F6C12FF" w14:textId="77777777" w:rsidR="008E01B2" w:rsidRPr="00066406" w:rsidRDefault="008E01B2" w:rsidP="008E01B2">
            <w:pPr>
              <w:jc w:val="center"/>
              <w:rPr>
                <w:rFonts w:eastAsia="Times New Roman"/>
                <w:color w:val="000000"/>
              </w:rPr>
            </w:pPr>
            <w:r w:rsidRPr="00066406">
              <w:rPr>
                <w:rFonts w:eastAsia="Times New Roman"/>
                <w:color w:val="000000"/>
              </w:rPr>
              <w:t>1.88%</w:t>
            </w:r>
          </w:p>
        </w:tc>
      </w:tr>
      <w:tr w:rsidR="008E01B2" w:rsidRPr="00066406" w14:paraId="58B84956" w14:textId="77777777" w:rsidTr="008E01B2">
        <w:trPr>
          <w:trHeight w:val="300"/>
          <w:jc w:val="center"/>
        </w:trPr>
        <w:tc>
          <w:tcPr>
            <w:tcW w:w="2300" w:type="dxa"/>
            <w:tcBorders>
              <w:top w:val="nil"/>
              <w:left w:val="nil"/>
              <w:bottom w:val="nil"/>
              <w:right w:val="nil"/>
            </w:tcBorders>
            <w:shd w:val="clear" w:color="auto" w:fill="auto"/>
            <w:noWrap/>
            <w:vAlign w:val="bottom"/>
            <w:hideMark/>
          </w:tcPr>
          <w:p w14:paraId="25AE5ACB" w14:textId="77777777" w:rsidR="008E01B2" w:rsidRPr="00066406" w:rsidRDefault="008E01B2" w:rsidP="008E01B2">
            <w:pPr>
              <w:jc w:val="center"/>
              <w:rPr>
                <w:rFonts w:eastAsia="Times New Roman"/>
                <w:color w:val="000000"/>
              </w:rPr>
            </w:pPr>
            <w:r w:rsidRPr="00066406">
              <w:rPr>
                <w:rFonts w:eastAsia="Times New Roman"/>
                <w:color w:val="000000"/>
              </w:rPr>
              <w:t>Age Class</w:t>
            </w:r>
          </w:p>
        </w:tc>
        <w:tc>
          <w:tcPr>
            <w:tcW w:w="2215" w:type="dxa"/>
            <w:tcBorders>
              <w:top w:val="nil"/>
              <w:left w:val="nil"/>
              <w:bottom w:val="nil"/>
              <w:right w:val="nil"/>
            </w:tcBorders>
            <w:shd w:val="clear" w:color="auto" w:fill="auto"/>
            <w:noWrap/>
            <w:vAlign w:val="bottom"/>
            <w:hideMark/>
          </w:tcPr>
          <w:p w14:paraId="2CDDEC20" w14:textId="77777777" w:rsidR="008E01B2" w:rsidRPr="00066406" w:rsidRDefault="008E01B2" w:rsidP="008E01B2">
            <w:pPr>
              <w:jc w:val="center"/>
              <w:rPr>
                <w:rFonts w:eastAsia="Times New Roman"/>
                <w:color w:val="000000"/>
              </w:rPr>
            </w:pPr>
            <w:r w:rsidRPr="00066406">
              <w:rPr>
                <w:rFonts w:eastAsia="Times New Roman"/>
                <w:color w:val="000000"/>
              </w:rPr>
              <w:t>1.62%</w:t>
            </w:r>
          </w:p>
        </w:tc>
      </w:tr>
      <w:tr w:rsidR="008E01B2" w:rsidRPr="00066406" w14:paraId="610439A2" w14:textId="77777777" w:rsidTr="008E01B2">
        <w:trPr>
          <w:trHeight w:val="300"/>
          <w:jc w:val="center"/>
        </w:trPr>
        <w:tc>
          <w:tcPr>
            <w:tcW w:w="2300" w:type="dxa"/>
            <w:tcBorders>
              <w:top w:val="nil"/>
              <w:left w:val="nil"/>
              <w:bottom w:val="nil"/>
              <w:right w:val="nil"/>
            </w:tcBorders>
            <w:shd w:val="clear" w:color="auto" w:fill="auto"/>
            <w:noWrap/>
            <w:vAlign w:val="bottom"/>
            <w:hideMark/>
          </w:tcPr>
          <w:p w14:paraId="30E24D8C" w14:textId="77777777" w:rsidR="008E01B2" w:rsidRPr="00066406" w:rsidRDefault="008E01B2" w:rsidP="008E01B2">
            <w:pPr>
              <w:jc w:val="center"/>
              <w:rPr>
                <w:rFonts w:eastAsia="Times New Roman"/>
                <w:color w:val="000000"/>
              </w:rPr>
            </w:pPr>
            <w:r w:rsidRPr="00066406">
              <w:rPr>
                <w:rFonts w:eastAsia="Times New Roman"/>
                <w:color w:val="000000"/>
              </w:rPr>
              <w:t>Body Condition</w:t>
            </w:r>
          </w:p>
        </w:tc>
        <w:tc>
          <w:tcPr>
            <w:tcW w:w="2215" w:type="dxa"/>
            <w:tcBorders>
              <w:top w:val="nil"/>
              <w:left w:val="nil"/>
              <w:bottom w:val="nil"/>
              <w:right w:val="nil"/>
            </w:tcBorders>
            <w:shd w:val="clear" w:color="auto" w:fill="auto"/>
            <w:noWrap/>
            <w:vAlign w:val="bottom"/>
            <w:hideMark/>
          </w:tcPr>
          <w:p w14:paraId="74C5BD83" w14:textId="77777777" w:rsidR="008E01B2" w:rsidRPr="00066406" w:rsidRDefault="008E01B2" w:rsidP="008E01B2">
            <w:pPr>
              <w:jc w:val="center"/>
              <w:rPr>
                <w:rFonts w:eastAsia="Times New Roman"/>
                <w:color w:val="000000"/>
              </w:rPr>
            </w:pPr>
            <w:r w:rsidRPr="00066406">
              <w:rPr>
                <w:rFonts w:eastAsia="Times New Roman"/>
                <w:color w:val="000000"/>
              </w:rPr>
              <w:t>1.31%</w:t>
            </w:r>
          </w:p>
        </w:tc>
      </w:tr>
      <w:tr w:rsidR="008E01B2" w:rsidRPr="00066406" w14:paraId="284B5F10" w14:textId="77777777" w:rsidTr="008E01B2">
        <w:trPr>
          <w:trHeight w:val="300"/>
          <w:jc w:val="center"/>
        </w:trPr>
        <w:tc>
          <w:tcPr>
            <w:tcW w:w="2300" w:type="dxa"/>
            <w:tcBorders>
              <w:top w:val="nil"/>
              <w:left w:val="nil"/>
              <w:bottom w:val="nil"/>
              <w:right w:val="nil"/>
            </w:tcBorders>
            <w:shd w:val="clear" w:color="auto" w:fill="auto"/>
            <w:noWrap/>
            <w:vAlign w:val="bottom"/>
            <w:hideMark/>
          </w:tcPr>
          <w:p w14:paraId="7A23DD2E" w14:textId="77777777" w:rsidR="008E01B2" w:rsidRPr="00066406" w:rsidRDefault="008E01B2" w:rsidP="008E01B2">
            <w:pPr>
              <w:jc w:val="center"/>
              <w:rPr>
                <w:rFonts w:eastAsia="Times New Roman"/>
                <w:color w:val="000000"/>
              </w:rPr>
            </w:pPr>
            <w:r w:rsidRPr="00066406">
              <w:rPr>
                <w:rFonts w:eastAsia="Times New Roman"/>
                <w:color w:val="000000"/>
              </w:rPr>
              <w:t>Sex</w:t>
            </w:r>
          </w:p>
        </w:tc>
        <w:tc>
          <w:tcPr>
            <w:tcW w:w="2215" w:type="dxa"/>
            <w:tcBorders>
              <w:top w:val="nil"/>
              <w:left w:val="nil"/>
              <w:bottom w:val="nil"/>
              <w:right w:val="nil"/>
            </w:tcBorders>
            <w:shd w:val="clear" w:color="auto" w:fill="auto"/>
            <w:noWrap/>
            <w:vAlign w:val="bottom"/>
            <w:hideMark/>
          </w:tcPr>
          <w:p w14:paraId="4CE92C0A" w14:textId="77777777" w:rsidR="008E01B2" w:rsidRPr="00066406" w:rsidRDefault="008E01B2" w:rsidP="008E01B2">
            <w:pPr>
              <w:jc w:val="center"/>
              <w:rPr>
                <w:rFonts w:eastAsia="Times New Roman"/>
                <w:color w:val="000000"/>
              </w:rPr>
            </w:pPr>
            <w:r w:rsidRPr="00066406">
              <w:rPr>
                <w:rFonts w:eastAsia="Times New Roman"/>
                <w:color w:val="000000"/>
              </w:rPr>
              <w:t>1.31%</w:t>
            </w:r>
          </w:p>
        </w:tc>
      </w:tr>
      <w:tr w:rsidR="008E01B2" w:rsidRPr="00066406" w14:paraId="3F4F88FE" w14:textId="77777777" w:rsidTr="008E01B2">
        <w:trPr>
          <w:trHeight w:val="300"/>
          <w:jc w:val="center"/>
        </w:trPr>
        <w:tc>
          <w:tcPr>
            <w:tcW w:w="2300" w:type="dxa"/>
            <w:tcBorders>
              <w:top w:val="nil"/>
              <w:left w:val="nil"/>
              <w:bottom w:val="nil"/>
              <w:right w:val="nil"/>
            </w:tcBorders>
            <w:shd w:val="clear" w:color="auto" w:fill="auto"/>
            <w:noWrap/>
            <w:vAlign w:val="bottom"/>
            <w:hideMark/>
          </w:tcPr>
          <w:p w14:paraId="6E8AC413" w14:textId="77777777" w:rsidR="008E01B2" w:rsidRPr="00066406" w:rsidRDefault="008E01B2" w:rsidP="008E01B2">
            <w:pPr>
              <w:jc w:val="center"/>
              <w:rPr>
                <w:rFonts w:eastAsia="Times New Roman"/>
                <w:color w:val="000000"/>
              </w:rPr>
            </w:pPr>
            <w:r w:rsidRPr="00066406">
              <w:rPr>
                <w:rFonts w:eastAsia="Times New Roman"/>
                <w:color w:val="000000"/>
              </w:rPr>
              <w:t>Weight</w:t>
            </w:r>
          </w:p>
        </w:tc>
        <w:tc>
          <w:tcPr>
            <w:tcW w:w="2215" w:type="dxa"/>
            <w:tcBorders>
              <w:top w:val="nil"/>
              <w:left w:val="nil"/>
              <w:bottom w:val="nil"/>
              <w:right w:val="nil"/>
            </w:tcBorders>
            <w:shd w:val="clear" w:color="auto" w:fill="auto"/>
            <w:noWrap/>
            <w:vAlign w:val="bottom"/>
            <w:hideMark/>
          </w:tcPr>
          <w:p w14:paraId="5C90EFE2" w14:textId="77777777" w:rsidR="008E01B2" w:rsidRPr="00066406" w:rsidRDefault="008E01B2" w:rsidP="008E01B2">
            <w:pPr>
              <w:jc w:val="center"/>
              <w:rPr>
                <w:rFonts w:eastAsia="Times New Roman"/>
                <w:color w:val="000000"/>
              </w:rPr>
            </w:pPr>
            <w:r w:rsidRPr="00066406">
              <w:rPr>
                <w:rFonts w:eastAsia="Times New Roman"/>
                <w:color w:val="000000"/>
              </w:rPr>
              <w:t>1.95%</w:t>
            </w:r>
          </w:p>
        </w:tc>
      </w:tr>
      <w:tr w:rsidR="008E01B2" w:rsidRPr="00066406" w14:paraId="322A1509" w14:textId="77777777" w:rsidTr="008E01B2">
        <w:trPr>
          <w:trHeight w:val="300"/>
          <w:jc w:val="center"/>
        </w:trPr>
        <w:tc>
          <w:tcPr>
            <w:tcW w:w="2300" w:type="dxa"/>
            <w:tcBorders>
              <w:top w:val="nil"/>
              <w:left w:val="nil"/>
              <w:bottom w:val="single" w:sz="4" w:space="0" w:color="auto"/>
              <w:right w:val="nil"/>
            </w:tcBorders>
            <w:shd w:val="clear" w:color="auto" w:fill="auto"/>
            <w:noWrap/>
            <w:vAlign w:val="bottom"/>
            <w:hideMark/>
          </w:tcPr>
          <w:p w14:paraId="69475495" w14:textId="77777777" w:rsidR="008E01B2" w:rsidRPr="00066406" w:rsidRDefault="008E01B2" w:rsidP="008E01B2">
            <w:pPr>
              <w:jc w:val="center"/>
              <w:rPr>
                <w:rFonts w:eastAsia="Times New Roman"/>
                <w:color w:val="000000"/>
              </w:rPr>
            </w:pPr>
            <w:r w:rsidRPr="00066406">
              <w:rPr>
                <w:rFonts w:eastAsia="Times New Roman"/>
                <w:color w:val="000000"/>
              </w:rPr>
              <w:t>Mite Infection</w:t>
            </w:r>
          </w:p>
        </w:tc>
        <w:tc>
          <w:tcPr>
            <w:tcW w:w="2215" w:type="dxa"/>
            <w:tcBorders>
              <w:top w:val="nil"/>
              <w:left w:val="nil"/>
              <w:bottom w:val="single" w:sz="4" w:space="0" w:color="auto"/>
              <w:right w:val="nil"/>
            </w:tcBorders>
            <w:shd w:val="clear" w:color="auto" w:fill="auto"/>
            <w:noWrap/>
            <w:vAlign w:val="bottom"/>
            <w:hideMark/>
          </w:tcPr>
          <w:p w14:paraId="7084CFF0" w14:textId="77777777" w:rsidR="008E01B2" w:rsidRPr="00066406" w:rsidRDefault="008E01B2" w:rsidP="008E01B2">
            <w:pPr>
              <w:jc w:val="center"/>
              <w:rPr>
                <w:rFonts w:eastAsia="Times New Roman"/>
                <w:color w:val="000000"/>
              </w:rPr>
            </w:pPr>
            <w:r w:rsidRPr="00066406">
              <w:rPr>
                <w:rFonts w:eastAsia="Times New Roman"/>
                <w:color w:val="000000"/>
              </w:rPr>
              <w:t>2.81%</w:t>
            </w:r>
          </w:p>
        </w:tc>
      </w:tr>
    </w:tbl>
    <w:p w14:paraId="03CAC7D2" w14:textId="77777777" w:rsidR="00431DA6" w:rsidRPr="00066406" w:rsidRDefault="00431DA6" w:rsidP="006D588A"/>
    <w:p w14:paraId="15607FD6" w14:textId="77777777" w:rsidR="00431DA6" w:rsidRPr="00066406" w:rsidRDefault="00431DA6" w:rsidP="006D588A"/>
    <w:p w14:paraId="3214F639" w14:textId="77777777" w:rsidR="00431DA6" w:rsidRPr="00066406" w:rsidRDefault="00431DA6" w:rsidP="006D588A"/>
    <w:p w14:paraId="6936A9DB" w14:textId="1374513B" w:rsidR="00431DA6" w:rsidRPr="00066406" w:rsidRDefault="00405F99" w:rsidP="006D588A">
      <w:r w:rsidRPr="00066406">
        <w:rPr>
          <w:noProof/>
        </w:rPr>
        <w:drawing>
          <wp:inline distT="0" distB="0" distL="0" distR="0" wp14:anchorId="50ED890D" wp14:editId="4401C877">
            <wp:extent cx="5932805" cy="4311015"/>
            <wp:effectExtent l="0" t="0" r="10795" b="6985"/>
            <wp:docPr id="9" name="Picture 9" descr="Macintosh HD:Users:adecandia:Dropbox (personal):SCA_Microbiome:Figures:20190524:FigureS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ecandia:Dropbox (personal):SCA_Microbiome:Figures:20190524:FigureSE4.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4311015"/>
                    </a:xfrm>
                    <a:prstGeom prst="rect">
                      <a:avLst/>
                    </a:prstGeom>
                    <a:noFill/>
                    <a:ln>
                      <a:noFill/>
                    </a:ln>
                  </pic:spPr>
                </pic:pic>
              </a:graphicData>
            </a:graphic>
          </wp:inline>
        </w:drawing>
      </w:r>
    </w:p>
    <w:p w14:paraId="0ED03361" w14:textId="77777777" w:rsidR="00431DA6" w:rsidRPr="00066406" w:rsidRDefault="00431DA6" w:rsidP="006D588A"/>
    <w:p w14:paraId="67AFF106" w14:textId="7596D2C3" w:rsidR="006D588A" w:rsidRPr="00F0693E" w:rsidRDefault="00431DA6" w:rsidP="006D588A">
      <w:proofErr w:type="gramStart"/>
      <w:r w:rsidRPr="00066406">
        <w:rPr>
          <w:b/>
        </w:rPr>
        <w:t>Supplemental Figure SE</w:t>
      </w:r>
      <w:r w:rsidR="009550B8" w:rsidRPr="00066406">
        <w:rPr>
          <w:b/>
        </w:rPr>
        <w:t>4</w:t>
      </w:r>
      <w:r w:rsidRPr="00066406">
        <w:rPr>
          <w:b/>
        </w:rPr>
        <w:t>.</w:t>
      </w:r>
      <w:proofErr w:type="gramEnd"/>
      <w:r w:rsidRPr="00066406">
        <w:rPr>
          <w:b/>
        </w:rPr>
        <w:t xml:space="preserve"> </w:t>
      </w:r>
      <w:r w:rsidRPr="00066406">
        <w:t>(A) Proportion bar plots for two taxonomic features contained in the gneiss balance associated with ear mite infection: balance y0</w:t>
      </w:r>
      <w:r w:rsidR="00405F99" w:rsidRPr="00066406">
        <w:t>2</w:t>
      </w:r>
      <w:r w:rsidRPr="00066406">
        <w:t xml:space="preserve">. </w:t>
      </w:r>
      <w:r w:rsidRPr="00066406">
        <w:rPr>
          <w:i/>
        </w:rPr>
        <w:t xml:space="preserve">S. </w:t>
      </w:r>
      <w:proofErr w:type="gramStart"/>
      <w:r w:rsidRPr="00066406">
        <w:rPr>
          <w:i/>
        </w:rPr>
        <w:t>pseudintermedius</w:t>
      </w:r>
      <w:proofErr w:type="gramEnd"/>
      <w:r w:rsidRPr="00066406">
        <w:rPr>
          <w:i/>
        </w:rPr>
        <w:t xml:space="preserve"> </w:t>
      </w:r>
      <w:r w:rsidRPr="00066406">
        <w:t xml:space="preserve">had the largest difference in proportion between mite-infected and uninfected ear canals, with </w:t>
      </w:r>
      <w:r w:rsidRPr="00066406">
        <w:rPr>
          <w:i/>
        </w:rPr>
        <w:t>Enterococcus s</w:t>
      </w:r>
      <w:r w:rsidR="009232AE" w:rsidRPr="00066406">
        <w:rPr>
          <w:i/>
        </w:rPr>
        <w:t>p</w:t>
      </w:r>
      <w:r w:rsidRPr="00066406">
        <w:rPr>
          <w:i/>
        </w:rPr>
        <w:t xml:space="preserve">p. </w:t>
      </w:r>
      <w:r w:rsidRPr="00066406">
        <w:t xml:space="preserve">clustered with </w:t>
      </w:r>
      <w:r w:rsidRPr="00066406">
        <w:rPr>
          <w:i/>
        </w:rPr>
        <w:t xml:space="preserve">S. pseudintermedius </w:t>
      </w:r>
      <w:r w:rsidRPr="00066406">
        <w:t>in the (B) hierarchy relating all microbial taxa. Balances y0</w:t>
      </w:r>
      <w:r w:rsidR="00405F99" w:rsidRPr="00066406">
        <w:t>2</w:t>
      </w:r>
      <w:r w:rsidRPr="00066406">
        <w:t xml:space="preserve"> is highlighted in red, and </w:t>
      </w:r>
      <w:r w:rsidRPr="00066406">
        <w:rPr>
          <w:i/>
        </w:rPr>
        <w:t xml:space="preserve">S. pseudintermedius </w:t>
      </w:r>
      <w:r w:rsidRPr="00066406">
        <w:t>is indicated with a star.</w:t>
      </w:r>
      <w:r w:rsidR="009550B8" w:rsidRPr="00F0693E">
        <w:t xml:space="preserve"> </w:t>
      </w:r>
    </w:p>
    <w:sectPr w:rsidR="006D588A" w:rsidRPr="00F0693E" w:rsidSect="00214B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40B42"/>
    <w:multiLevelType w:val="multilevel"/>
    <w:tmpl w:val="EB18843A"/>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E0"/>
    <w:rsid w:val="00023178"/>
    <w:rsid w:val="0003710F"/>
    <w:rsid w:val="00066406"/>
    <w:rsid w:val="00067ED4"/>
    <w:rsid w:val="000B1E13"/>
    <w:rsid w:val="000D5FF0"/>
    <w:rsid w:val="00101FFC"/>
    <w:rsid w:val="00110E5C"/>
    <w:rsid w:val="001175B2"/>
    <w:rsid w:val="00142D95"/>
    <w:rsid w:val="001605E5"/>
    <w:rsid w:val="00187C26"/>
    <w:rsid w:val="001A5BE9"/>
    <w:rsid w:val="001A6C1A"/>
    <w:rsid w:val="001C73B8"/>
    <w:rsid w:val="001D0A37"/>
    <w:rsid w:val="001D3417"/>
    <w:rsid w:val="001D6E33"/>
    <w:rsid w:val="001E3D89"/>
    <w:rsid w:val="00205B30"/>
    <w:rsid w:val="00214BF7"/>
    <w:rsid w:val="002B5B1C"/>
    <w:rsid w:val="002C21B6"/>
    <w:rsid w:val="002D0440"/>
    <w:rsid w:val="00337579"/>
    <w:rsid w:val="00352C26"/>
    <w:rsid w:val="003C01C8"/>
    <w:rsid w:val="003E5B14"/>
    <w:rsid w:val="00405F99"/>
    <w:rsid w:val="00431DA6"/>
    <w:rsid w:val="00440B8D"/>
    <w:rsid w:val="0044356C"/>
    <w:rsid w:val="00451E2F"/>
    <w:rsid w:val="00462FD4"/>
    <w:rsid w:val="00477FC4"/>
    <w:rsid w:val="00483884"/>
    <w:rsid w:val="004A5276"/>
    <w:rsid w:val="004B2CD1"/>
    <w:rsid w:val="004D4A9A"/>
    <w:rsid w:val="004E3D9C"/>
    <w:rsid w:val="004F6E99"/>
    <w:rsid w:val="00504636"/>
    <w:rsid w:val="00527DCE"/>
    <w:rsid w:val="00564372"/>
    <w:rsid w:val="005A4FFF"/>
    <w:rsid w:val="005B6CBF"/>
    <w:rsid w:val="005C4BF1"/>
    <w:rsid w:val="00636E89"/>
    <w:rsid w:val="0065242F"/>
    <w:rsid w:val="006573E0"/>
    <w:rsid w:val="006D588A"/>
    <w:rsid w:val="007158B0"/>
    <w:rsid w:val="00777ED0"/>
    <w:rsid w:val="007E67C0"/>
    <w:rsid w:val="00804EF9"/>
    <w:rsid w:val="0084568E"/>
    <w:rsid w:val="00846400"/>
    <w:rsid w:val="00861D0E"/>
    <w:rsid w:val="00863954"/>
    <w:rsid w:val="0086705C"/>
    <w:rsid w:val="008915AF"/>
    <w:rsid w:val="008A0BCA"/>
    <w:rsid w:val="008B1555"/>
    <w:rsid w:val="008B3407"/>
    <w:rsid w:val="008B38C6"/>
    <w:rsid w:val="008B3BC7"/>
    <w:rsid w:val="008C1526"/>
    <w:rsid w:val="008E01B2"/>
    <w:rsid w:val="00921A5F"/>
    <w:rsid w:val="0092240C"/>
    <w:rsid w:val="009232AE"/>
    <w:rsid w:val="009365B5"/>
    <w:rsid w:val="009550B8"/>
    <w:rsid w:val="00974432"/>
    <w:rsid w:val="00986ACB"/>
    <w:rsid w:val="0098716B"/>
    <w:rsid w:val="009E3DE6"/>
    <w:rsid w:val="009E6860"/>
    <w:rsid w:val="00A214EE"/>
    <w:rsid w:val="00A54F8F"/>
    <w:rsid w:val="00A70425"/>
    <w:rsid w:val="00A71777"/>
    <w:rsid w:val="00A772EC"/>
    <w:rsid w:val="00A92C26"/>
    <w:rsid w:val="00AA3AE0"/>
    <w:rsid w:val="00AB3A17"/>
    <w:rsid w:val="00AD186D"/>
    <w:rsid w:val="00B61A5A"/>
    <w:rsid w:val="00BB04FC"/>
    <w:rsid w:val="00BD4496"/>
    <w:rsid w:val="00BD71D9"/>
    <w:rsid w:val="00BE531F"/>
    <w:rsid w:val="00C11E2B"/>
    <w:rsid w:val="00C1301B"/>
    <w:rsid w:val="00C154E1"/>
    <w:rsid w:val="00C25672"/>
    <w:rsid w:val="00C27C76"/>
    <w:rsid w:val="00C60F94"/>
    <w:rsid w:val="00C82F51"/>
    <w:rsid w:val="00CB283A"/>
    <w:rsid w:val="00CC6D23"/>
    <w:rsid w:val="00CD2091"/>
    <w:rsid w:val="00CD5ABE"/>
    <w:rsid w:val="00CF27EA"/>
    <w:rsid w:val="00D3248D"/>
    <w:rsid w:val="00D50DBD"/>
    <w:rsid w:val="00D64A34"/>
    <w:rsid w:val="00D91435"/>
    <w:rsid w:val="00DA11A1"/>
    <w:rsid w:val="00DB29AC"/>
    <w:rsid w:val="00DD5303"/>
    <w:rsid w:val="00DF1226"/>
    <w:rsid w:val="00E2652C"/>
    <w:rsid w:val="00E403FF"/>
    <w:rsid w:val="00E74C1B"/>
    <w:rsid w:val="00EB5240"/>
    <w:rsid w:val="00F0693E"/>
    <w:rsid w:val="00F23B70"/>
    <w:rsid w:val="00F25D71"/>
    <w:rsid w:val="00F35FAF"/>
    <w:rsid w:val="00F36375"/>
    <w:rsid w:val="00F46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A091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1A6C1A"/>
    <w:pPr>
      <w:numPr>
        <w:numId w:val="1"/>
      </w:numPr>
    </w:pPr>
  </w:style>
  <w:style w:type="paragraph" w:styleId="ListParagraph">
    <w:name w:val="List Paragraph"/>
    <w:basedOn w:val="Normal"/>
    <w:uiPriority w:val="34"/>
    <w:qFormat/>
    <w:rsid w:val="008915AF"/>
    <w:pPr>
      <w:ind w:left="720"/>
      <w:contextualSpacing/>
    </w:pPr>
  </w:style>
  <w:style w:type="paragraph" w:styleId="BalloonText">
    <w:name w:val="Balloon Text"/>
    <w:basedOn w:val="Normal"/>
    <w:link w:val="BalloonTextChar"/>
    <w:uiPriority w:val="99"/>
    <w:semiHidden/>
    <w:unhideWhenUsed/>
    <w:rsid w:val="00891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5A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D4A9A"/>
    <w:rPr>
      <w:sz w:val="18"/>
      <w:szCs w:val="18"/>
    </w:rPr>
  </w:style>
  <w:style w:type="paragraph" w:styleId="CommentText">
    <w:name w:val="annotation text"/>
    <w:basedOn w:val="Normal"/>
    <w:link w:val="CommentTextChar"/>
    <w:uiPriority w:val="99"/>
    <w:semiHidden/>
    <w:unhideWhenUsed/>
    <w:rsid w:val="004D4A9A"/>
  </w:style>
  <w:style w:type="character" w:customStyle="1" w:styleId="CommentTextChar">
    <w:name w:val="Comment Text Char"/>
    <w:basedOn w:val="DefaultParagraphFont"/>
    <w:link w:val="CommentText"/>
    <w:uiPriority w:val="99"/>
    <w:semiHidden/>
    <w:rsid w:val="004D4A9A"/>
  </w:style>
  <w:style w:type="paragraph" w:styleId="CommentSubject">
    <w:name w:val="annotation subject"/>
    <w:basedOn w:val="CommentText"/>
    <w:next w:val="CommentText"/>
    <w:link w:val="CommentSubjectChar"/>
    <w:uiPriority w:val="99"/>
    <w:semiHidden/>
    <w:unhideWhenUsed/>
    <w:rsid w:val="00EB5240"/>
    <w:rPr>
      <w:b/>
      <w:bCs/>
      <w:sz w:val="20"/>
      <w:szCs w:val="20"/>
    </w:rPr>
  </w:style>
  <w:style w:type="character" w:customStyle="1" w:styleId="CommentSubjectChar">
    <w:name w:val="Comment Subject Char"/>
    <w:basedOn w:val="CommentTextChar"/>
    <w:link w:val="CommentSubject"/>
    <w:uiPriority w:val="99"/>
    <w:semiHidden/>
    <w:rsid w:val="00EB524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1A6C1A"/>
    <w:pPr>
      <w:numPr>
        <w:numId w:val="1"/>
      </w:numPr>
    </w:pPr>
  </w:style>
  <w:style w:type="paragraph" w:styleId="ListParagraph">
    <w:name w:val="List Paragraph"/>
    <w:basedOn w:val="Normal"/>
    <w:uiPriority w:val="34"/>
    <w:qFormat/>
    <w:rsid w:val="008915AF"/>
    <w:pPr>
      <w:ind w:left="720"/>
      <w:contextualSpacing/>
    </w:pPr>
  </w:style>
  <w:style w:type="paragraph" w:styleId="BalloonText">
    <w:name w:val="Balloon Text"/>
    <w:basedOn w:val="Normal"/>
    <w:link w:val="BalloonTextChar"/>
    <w:uiPriority w:val="99"/>
    <w:semiHidden/>
    <w:unhideWhenUsed/>
    <w:rsid w:val="00891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5A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D4A9A"/>
    <w:rPr>
      <w:sz w:val="18"/>
      <w:szCs w:val="18"/>
    </w:rPr>
  </w:style>
  <w:style w:type="paragraph" w:styleId="CommentText">
    <w:name w:val="annotation text"/>
    <w:basedOn w:val="Normal"/>
    <w:link w:val="CommentTextChar"/>
    <w:uiPriority w:val="99"/>
    <w:semiHidden/>
    <w:unhideWhenUsed/>
    <w:rsid w:val="004D4A9A"/>
  </w:style>
  <w:style w:type="character" w:customStyle="1" w:styleId="CommentTextChar">
    <w:name w:val="Comment Text Char"/>
    <w:basedOn w:val="DefaultParagraphFont"/>
    <w:link w:val="CommentText"/>
    <w:uiPriority w:val="99"/>
    <w:semiHidden/>
    <w:rsid w:val="004D4A9A"/>
  </w:style>
  <w:style w:type="paragraph" w:styleId="CommentSubject">
    <w:name w:val="annotation subject"/>
    <w:basedOn w:val="CommentText"/>
    <w:next w:val="CommentText"/>
    <w:link w:val="CommentSubjectChar"/>
    <w:uiPriority w:val="99"/>
    <w:semiHidden/>
    <w:unhideWhenUsed/>
    <w:rsid w:val="00EB5240"/>
    <w:rPr>
      <w:b/>
      <w:bCs/>
      <w:sz w:val="20"/>
      <w:szCs w:val="20"/>
    </w:rPr>
  </w:style>
  <w:style w:type="character" w:customStyle="1" w:styleId="CommentSubjectChar">
    <w:name w:val="Comment Subject Char"/>
    <w:basedOn w:val="CommentTextChar"/>
    <w:link w:val="CommentSubject"/>
    <w:uiPriority w:val="99"/>
    <w:semiHidden/>
    <w:rsid w:val="00EB52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8052">
      <w:bodyDiv w:val="1"/>
      <w:marLeft w:val="0"/>
      <w:marRight w:val="0"/>
      <w:marTop w:val="0"/>
      <w:marBottom w:val="0"/>
      <w:divBdr>
        <w:top w:val="none" w:sz="0" w:space="0" w:color="auto"/>
        <w:left w:val="none" w:sz="0" w:space="0" w:color="auto"/>
        <w:bottom w:val="none" w:sz="0" w:space="0" w:color="auto"/>
        <w:right w:val="none" w:sz="0" w:space="0" w:color="auto"/>
      </w:divBdr>
    </w:div>
    <w:div w:id="399183071">
      <w:bodyDiv w:val="1"/>
      <w:marLeft w:val="0"/>
      <w:marRight w:val="0"/>
      <w:marTop w:val="0"/>
      <w:marBottom w:val="0"/>
      <w:divBdr>
        <w:top w:val="none" w:sz="0" w:space="0" w:color="auto"/>
        <w:left w:val="none" w:sz="0" w:space="0" w:color="auto"/>
        <w:bottom w:val="none" w:sz="0" w:space="0" w:color="auto"/>
        <w:right w:val="none" w:sz="0" w:space="0" w:color="auto"/>
      </w:divBdr>
    </w:div>
    <w:div w:id="406659097">
      <w:bodyDiv w:val="1"/>
      <w:marLeft w:val="0"/>
      <w:marRight w:val="0"/>
      <w:marTop w:val="0"/>
      <w:marBottom w:val="0"/>
      <w:divBdr>
        <w:top w:val="none" w:sz="0" w:space="0" w:color="auto"/>
        <w:left w:val="none" w:sz="0" w:space="0" w:color="auto"/>
        <w:bottom w:val="none" w:sz="0" w:space="0" w:color="auto"/>
        <w:right w:val="none" w:sz="0" w:space="0" w:color="auto"/>
      </w:divBdr>
    </w:div>
    <w:div w:id="693305742">
      <w:bodyDiv w:val="1"/>
      <w:marLeft w:val="0"/>
      <w:marRight w:val="0"/>
      <w:marTop w:val="0"/>
      <w:marBottom w:val="0"/>
      <w:divBdr>
        <w:top w:val="none" w:sz="0" w:space="0" w:color="auto"/>
        <w:left w:val="none" w:sz="0" w:space="0" w:color="auto"/>
        <w:bottom w:val="none" w:sz="0" w:space="0" w:color="auto"/>
        <w:right w:val="none" w:sz="0" w:space="0" w:color="auto"/>
      </w:divBdr>
    </w:div>
    <w:div w:id="759831279">
      <w:bodyDiv w:val="1"/>
      <w:marLeft w:val="0"/>
      <w:marRight w:val="0"/>
      <w:marTop w:val="0"/>
      <w:marBottom w:val="0"/>
      <w:divBdr>
        <w:top w:val="none" w:sz="0" w:space="0" w:color="auto"/>
        <w:left w:val="none" w:sz="0" w:space="0" w:color="auto"/>
        <w:bottom w:val="none" w:sz="0" w:space="0" w:color="auto"/>
        <w:right w:val="none" w:sz="0" w:space="0" w:color="auto"/>
      </w:divBdr>
    </w:div>
    <w:div w:id="796605257">
      <w:bodyDiv w:val="1"/>
      <w:marLeft w:val="0"/>
      <w:marRight w:val="0"/>
      <w:marTop w:val="0"/>
      <w:marBottom w:val="0"/>
      <w:divBdr>
        <w:top w:val="none" w:sz="0" w:space="0" w:color="auto"/>
        <w:left w:val="none" w:sz="0" w:space="0" w:color="auto"/>
        <w:bottom w:val="none" w:sz="0" w:space="0" w:color="auto"/>
        <w:right w:val="none" w:sz="0" w:space="0" w:color="auto"/>
      </w:divBdr>
    </w:div>
    <w:div w:id="19056796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6</Pages>
  <Words>1330</Words>
  <Characters>7585</Characters>
  <Application>Microsoft Macintosh Word</Application>
  <DocSecurity>0</DocSecurity>
  <Lines>63</Lines>
  <Paragraphs>17</Paragraphs>
  <ScaleCrop>false</ScaleCrop>
  <Company>Princeton University</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DeCandia</dc:creator>
  <cp:keywords/>
  <dc:description/>
  <cp:lastModifiedBy>Alexandra DeCandia</cp:lastModifiedBy>
  <cp:revision>104</cp:revision>
  <dcterms:created xsi:type="dcterms:W3CDTF">2019-04-02T12:50:00Z</dcterms:created>
  <dcterms:modified xsi:type="dcterms:W3CDTF">2019-05-28T20:01:00Z</dcterms:modified>
</cp:coreProperties>
</file>