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D7B44" w:rsidRDefault="00B569A8">
      <w:pPr>
        <w:widowControl w:val="0"/>
        <w:spacing w:after="220" w:line="240" w:lineRule="auto"/>
        <w:ind w:left="440"/>
        <w:jc w:val="center"/>
      </w:pPr>
      <w:r>
        <w:t>Supporting information</w:t>
      </w:r>
    </w:p>
    <w:p w:rsidR="00BD7B44" w:rsidRDefault="00B569A8">
      <w:pPr>
        <w:spacing w:line="240" w:lineRule="auto"/>
        <w:jc w:val="both"/>
        <w:rPr>
          <w:b/>
          <w:i/>
          <w:sz w:val="32"/>
          <w:szCs w:val="32"/>
        </w:rPr>
      </w:pPr>
      <w:r>
        <w:rPr>
          <w:b/>
          <w:sz w:val="32"/>
          <w:szCs w:val="32"/>
        </w:rPr>
        <w:t xml:space="preserve">Biofilm inhibitor taurolithocholic acid alters colony morphology, specialized metabolism, and virulence of </w:t>
      </w:r>
      <w:r>
        <w:rPr>
          <w:b/>
          <w:i/>
          <w:sz w:val="32"/>
          <w:szCs w:val="32"/>
        </w:rPr>
        <w:t>Pseudomonas aeruginosa</w:t>
      </w:r>
    </w:p>
    <w:p w:rsidR="00BD7B44" w:rsidRDefault="00BD7B44">
      <w:pPr>
        <w:spacing w:line="240" w:lineRule="auto"/>
        <w:jc w:val="both"/>
        <w:rPr>
          <w:b/>
        </w:rPr>
      </w:pPr>
    </w:p>
    <w:p w:rsidR="00BD7B44" w:rsidRDefault="00B569A8">
      <w:pPr>
        <w:spacing w:line="240" w:lineRule="auto"/>
        <w:jc w:val="both"/>
      </w:pPr>
      <w:r>
        <w:t>Alanna R. Condren</w:t>
      </w:r>
      <w:r>
        <w:rPr>
          <w:vertAlign w:val="superscript"/>
        </w:rPr>
        <w:t>1</w:t>
      </w:r>
      <w:r>
        <w:t>, Lisa Kahl</w:t>
      </w:r>
      <w:r>
        <w:rPr>
          <w:vertAlign w:val="superscript"/>
        </w:rPr>
        <w:t>2</w:t>
      </w:r>
      <w:r>
        <w:t>, George Kritikos</w:t>
      </w:r>
      <w:r>
        <w:rPr>
          <w:vertAlign w:val="superscript"/>
        </w:rPr>
        <w:t>3</w:t>
      </w:r>
      <w:r>
        <w:t>, Manuel Banzhaf</w:t>
      </w:r>
      <w:r>
        <w:rPr>
          <w:vertAlign w:val="superscript"/>
        </w:rPr>
        <w:t>3</w:t>
      </w:r>
      <w:r>
        <w:t xml:space="preserve">, Lars </w:t>
      </w:r>
      <w:r w:rsidR="001633CD">
        <w:t xml:space="preserve">E.P. </w:t>
      </w:r>
      <w:r>
        <w:t>Dietrich</w:t>
      </w:r>
      <w:r>
        <w:rPr>
          <w:vertAlign w:val="superscript"/>
        </w:rPr>
        <w:t>2</w:t>
      </w:r>
      <w:r>
        <w:t>, and Laura M Sanchez</w:t>
      </w:r>
      <w:r>
        <w:rPr>
          <w:vertAlign w:val="superscript"/>
        </w:rPr>
        <w:t>1</w:t>
      </w:r>
      <w:r>
        <w:t>*</w:t>
      </w:r>
    </w:p>
    <w:p w:rsidR="00BD7B44" w:rsidRDefault="00BD7B44">
      <w:pPr>
        <w:spacing w:line="240" w:lineRule="auto"/>
        <w:jc w:val="both"/>
        <w:rPr>
          <w:b/>
        </w:rPr>
      </w:pPr>
    </w:p>
    <w:p w:rsidR="00BD7B44" w:rsidRDefault="00B569A8">
      <w:pPr>
        <w:numPr>
          <w:ilvl w:val="0"/>
          <w:numId w:val="1"/>
        </w:numPr>
        <w:spacing w:line="240" w:lineRule="auto"/>
        <w:jc w:val="both"/>
      </w:pPr>
      <w:r>
        <w:t>Department of Medicinal Chemistry and Pharmacognosy, University of Illinois at Chicago, Chicago IL 60612</w:t>
      </w:r>
    </w:p>
    <w:p w:rsidR="00BD7B44" w:rsidRDefault="00B569A8">
      <w:pPr>
        <w:numPr>
          <w:ilvl w:val="0"/>
          <w:numId w:val="1"/>
        </w:numPr>
        <w:spacing w:line="240" w:lineRule="auto"/>
        <w:jc w:val="both"/>
      </w:pPr>
      <w:r>
        <w:t>Department of Biology, Columbia University, New York, NY, 10027</w:t>
      </w:r>
    </w:p>
    <w:p w:rsidR="00BD7B44" w:rsidRDefault="00B569A8">
      <w:pPr>
        <w:numPr>
          <w:ilvl w:val="0"/>
          <w:numId w:val="1"/>
        </w:numPr>
        <w:spacing w:line="240" w:lineRule="auto"/>
        <w:jc w:val="both"/>
      </w:pPr>
      <w:r>
        <w:t>Institute for Microbiology and Infection, University of Birmin</w:t>
      </w:r>
      <w:r>
        <w:t>gham, UK</w:t>
      </w:r>
      <w:r>
        <w:rPr>
          <w:b/>
        </w:rPr>
        <w:t xml:space="preserve"> </w:t>
      </w:r>
    </w:p>
    <w:p w:rsidR="00BD7B44" w:rsidRDefault="00BD7B44">
      <w:pPr>
        <w:spacing w:line="240" w:lineRule="auto"/>
        <w:ind w:left="720"/>
        <w:jc w:val="both"/>
      </w:pPr>
    </w:p>
    <w:p w:rsidR="00BD7B44" w:rsidRDefault="00BD7B44">
      <w:pPr>
        <w:spacing w:line="240" w:lineRule="auto"/>
        <w:jc w:val="both"/>
      </w:pPr>
    </w:p>
    <w:p w:rsidR="00BD7B44" w:rsidRDefault="00BD7B44">
      <w:pPr>
        <w:spacing w:line="240" w:lineRule="auto"/>
        <w:jc w:val="both"/>
      </w:pPr>
    </w:p>
    <w:tbl>
      <w:tblPr>
        <w:tblStyle w:val="a"/>
        <w:tblW w:w="936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8625"/>
        <w:gridCol w:w="735"/>
      </w:tblGrid>
      <w:tr w:rsidR="00BD7B44">
        <w:tc>
          <w:tcPr>
            <w:tcW w:w="8625" w:type="dxa"/>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spacing w:line="240" w:lineRule="auto"/>
            </w:pPr>
            <w:r>
              <w:t>1. General experimental methods…………………………………………………………….</w:t>
            </w:r>
          </w:p>
        </w:tc>
        <w:tc>
          <w:tcPr>
            <w:tcW w:w="735" w:type="dxa"/>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spacing w:line="240" w:lineRule="auto"/>
            </w:pPr>
            <w:r>
              <w:t>S3</w:t>
            </w:r>
          </w:p>
        </w:tc>
      </w:tr>
      <w:tr w:rsidR="00BD7B44">
        <w:tc>
          <w:tcPr>
            <w:tcW w:w="8625" w:type="dxa"/>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spacing w:line="240" w:lineRule="auto"/>
            </w:pPr>
            <w:r>
              <w:t>2. Figure S1: Colony morphology studies with 250 µM and 1 mM TLCA………………...</w:t>
            </w:r>
          </w:p>
        </w:tc>
        <w:tc>
          <w:tcPr>
            <w:tcW w:w="735" w:type="dxa"/>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spacing w:line="240" w:lineRule="auto"/>
            </w:pPr>
            <w:r>
              <w:t>S5</w:t>
            </w:r>
          </w:p>
        </w:tc>
      </w:tr>
      <w:tr w:rsidR="00BD7B44">
        <w:tc>
          <w:tcPr>
            <w:tcW w:w="8625" w:type="dxa"/>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spacing w:line="240" w:lineRule="auto"/>
            </w:pPr>
            <w:r>
              <w:t xml:space="preserve">3. Figure S2: Molecular networking of </w:t>
            </w:r>
            <w:r>
              <w:rPr>
                <w:i/>
              </w:rPr>
              <w:t xml:space="preserve">P. aeruginosa </w:t>
            </w:r>
            <w:r>
              <w:t>specialized metabolism………</w:t>
            </w:r>
            <w:proofErr w:type="gramStart"/>
            <w:r>
              <w:t>…..</w:t>
            </w:r>
            <w:proofErr w:type="gramEnd"/>
          </w:p>
        </w:tc>
        <w:tc>
          <w:tcPr>
            <w:tcW w:w="735" w:type="dxa"/>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spacing w:line="240" w:lineRule="auto"/>
            </w:pPr>
            <w:r>
              <w:t>S6</w:t>
            </w:r>
          </w:p>
        </w:tc>
      </w:tr>
      <w:tr w:rsidR="00BD7B44">
        <w:tc>
          <w:tcPr>
            <w:tcW w:w="8625" w:type="dxa"/>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spacing w:line="240" w:lineRule="auto"/>
            </w:pPr>
            <w:r>
              <w:t>4. Figures S3: Replicate One of IMS images of PA14 characterized specialized metabolites……………………………………………………………………………………....</w:t>
            </w:r>
          </w:p>
        </w:tc>
        <w:tc>
          <w:tcPr>
            <w:tcW w:w="735" w:type="dxa"/>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spacing w:line="240" w:lineRule="auto"/>
            </w:pPr>
            <w:r>
              <w:t>S9</w:t>
            </w:r>
          </w:p>
        </w:tc>
      </w:tr>
      <w:tr w:rsidR="00BD7B44">
        <w:tc>
          <w:tcPr>
            <w:tcW w:w="8625" w:type="dxa"/>
            <w:shd w:val="clear" w:color="auto" w:fill="auto"/>
            <w:tcMar>
              <w:top w:w="100" w:type="dxa"/>
              <w:left w:w="100" w:type="dxa"/>
              <w:bottom w:w="100" w:type="dxa"/>
              <w:right w:w="100" w:type="dxa"/>
            </w:tcMar>
          </w:tcPr>
          <w:p w:rsidR="00BD7B44" w:rsidRDefault="00B569A8">
            <w:pPr>
              <w:widowControl w:val="0"/>
              <w:spacing w:line="240" w:lineRule="auto"/>
            </w:pPr>
            <w:r>
              <w:t>5. Figures S4: Replicate Two of IMS images of PA14 characterized specialized metabolites………………</w:t>
            </w:r>
            <w:r>
              <w:t>……………………………………………………………………....</w:t>
            </w:r>
          </w:p>
        </w:tc>
        <w:tc>
          <w:tcPr>
            <w:tcW w:w="735" w:type="dxa"/>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spacing w:line="240" w:lineRule="auto"/>
            </w:pPr>
            <w:r>
              <w:t>S10</w:t>
            </w:r>
          </w:p>
        </w:tc>
      </w:tr>
      <w:tr w:rsidR="00BD7B44">
        <w:tc>
          <w:tcPr>
            <w:tcW w:w="8625" w:type="dxa"/>
            <w:shd w:val="clear" w:color="auto" w:fill="auto"/>
            <w:tcMar>
              <w:top w:w="100" w:type="dxa"/>
              <w:left w:w="100" w:type="dxa"/>
              <w:bottom w:w="100" w:type="dxa"/>
              <w:right w:w="100" w:type="dxa"/>
            </w:tcMar>
          </w:tcPr>
          <w:p w:rsidR="00BD7B44" w:rsidRDefault="00B569A8">
            <w:pPr>
              <w:widowControl w:val="0"/>
              <w:spacing w:line="240" w:lineRule="auto"/>
            </w:pPr>
            <w:r>
              <w:t>6. Figures S5: Replicate Three of IMS images of PA14 characterized specialized metabolites……………………………………………………………………………………....</w:t>
            </w:r>
          </w:p>
        </w:tc>
        <w:tc>
          <w:tcPr>
            <w:tcW w:w="735" w:type="dxa"/>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spacing w:line="240" w:lineRule="auto"/>
            </w:pPr>
            <w:r>
              <w:t>S11</w:t>
            </w:r>
          </w:p>
        </w:tc>
      </w:tr>
      <w:tr w:rsidR="00BD7B44">
        <w:tc>
          <w:tcPr>
            <w:tcW w:w="8625" w:type="dxa"/>
            <w:shd w:val="clear" w:color="auto" w:fill="auto"/>
            <w:tcMar>
              <w:top w:w="100" w:type="dxa"/>
              <w:left w:w="100" w:type="dxa"/>
              <w:bottom w:w="100" w:type="dxa"/>
              <w:right w:w="100" w:type="dxa"/>
            </w:tcMar>
          </w:tcPr>
          <w:p w:rsidR="00BD7B44" w:rsidRDefault="00B569A8">
            <w:pPr>
              <w:widowControl w:val="0"/>
              <w:spacing w:line="240" w:lineRule="auto"/>
            </w:pPr>
            <w:r>
              <w:t>7.Figure S6: PA14 Mutant IMS analysis of PCH Production ……………………………...</w:t>
            </w:r>
          </w:p>
        </w:tc>
        <w:tc>
          <w:tcPr>
            <w:tcW w:w="735" w:type="dxa"/>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spacing w:line="240" w:lineRule="auto"/>
            </w:pPr>
            <w:r>
              <w:t>S12</w:t>
            </w:r>
          </w:p>
        </w:tc>
      </w:tr>
      <w:tr w:rsidR="00BD7B44">
        <w:tc>
          <w:tcPr>
            <w:tcW w:w="8625" w:type="dxa"/>
            <w:shd w:val="clear" w:color="auto" w:fill="auto"/>
            <w:tcMar>
              <w:top w:w="100" w:type="dxa"/>
              <w:left w:w="100" w:type="dxa"/>
              <w:bottom w:w="100" w:type="dxa"/>
              <w:right w:w="100" w:type="dxa"/>
            </w:tcMar>
          </w:tcPr>
          <w:p w:rsidR="00BD7B44" w:rsidRDefault="00B569A8">
            <w:pPr>
              <w:widowControl w:val="0"/>
              <w:spacing w:line="240" w:lineRule="auto"/>
            </w:pPr>
            <w:r>
              <w:t>8. Figure S7: Retention time matching and UV-vis</w:t>
            </w:r>
            <w:r>
              <w:t xml:space="preserve"> profile of PCA………………………...</w:t>
            </w:r>
          </w:p>
        </w:tc>
        <w:tc>
          <w:tcPr>
            <w:tcW w:w="735" w:type="dxa"/>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spacing w:line="240" w:lineRule="auto"/>
            </w:pPr>
            <w:r>
              <w:t>S13</w:t>
            </w:r>
          </w:p>
        </w:tc>
      </w:tr>
      <w:tr w:rsidR="00BD7B44">
        <w:tc>
          <w:tcPr>
            <w:tcW w:w="8625" w:type="dxa"/>
            <w:shd w:val="clear" w:color="auto" w:fill="auto"/>
            <w:tcMar>
              <w:top w:w="100" w:type="dxa"/>
              <w:left w:w="100" w:type="dxa"/>
              <w:bottom w:w="100" w:type="dxa"/>
              <w:right w:w="100" w:type="dxa"/>
            </w:tcMar>
          </w:tcPr>
          <w:p w:rsidR="00BD7B44" w:rsidRDefault="00B569A8">
            <w:pPr>
              <w:widowControl w:val="0"/>
              <w:spacing w:line="240" w:lineRule="auto"/>
            </w:pPr>
            <w:r>
              <w:t>8. Figure S8: GNPS search results of PCH for metabolite identification………………....</w:t>
            </w:r>
          </w:p>
        </w:tc>
        <w:tc>
          <w:tcPr>
            <w:tcW w:w="735" w:type="dxa"/>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spacing w:line="240" w:lineRule="auto"/>
            </w:pPr>
            <w:r>
              <w:t>S14</w:t>
            </w:r>
          </w:p>
        </w:tc>
      </w:tr>
      <w:tr w:rsidR="00BD7B44">
        <w:tc>
          <w:tcPr>
            <w:tcW w:w="8625" w:type="dxa"/>
            <w:shd w:val="clear" w:color="auto" w:fill="auto"/>
            <w:tcMar>
              <w:top w:w="100" w:type="dxa"/>
              <w:left w:w="100" w:type="dxa"/>
              <w:bottom w:w="100" w:type="dxa"/>
              <w:right w:w="100" w:type="dxa"/>
            </w:tcMar>
          </w:tcPr>
          <w:p w:rsidR="00BD7B44" w:rsidRDefault="00B569A8">
            <w:pPr>
              <w:widowControl w:val="0"/>
              <w:spacing w:line="240" w:lineRule="auto"/>
            </w:pPr>
            <w:r>
              <w:t>9. Figure S9: UV-vis profile of isolated PCH for metabolite fold-change analysis……….</w:t>
            </w:r>
          </w:p>
        </w:tc>
        <w:tc>
          <w:tcPr>
            <w:tcW w:w="735" w:type="dxa"/>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spacing w:line="240" w:lineRule="auto"/>
            </w:pPr>
            <w:r>
              <w:t>S15</w:t>
            </w:r>
          </w:p>
        </w:tc>
      </w:tr>
      <w:tr w:rsidR="00BD7B44">
        <w:tc>
          <w:tcPr>
            <w:tcW w:w="8625" w:type="dxa"/>
            <w:shd w:val="clear" w:color="auto" w:fill="auto"/>
            <w:tcMar>
              <w:top w:w="100" w:type="dxa"/>
              <w:left w:w="100" w:type="dxa"/>
              <w:bottom w:w="100" w:type="dxa"/>
              <w:right w:w="100" w:type="dxa"/>
            </w:tcMar>
          </w:tcPr>
          <w:p w:rsidR="00BD7B44" w:rsidRDefault="00B569A8">
            <w:pPr>
              <w:widowControl w:val="0"/>
              <w:spacing w:line="240" w:lineRule="auto"/>
            </w:pPr>
            <w:r>
              <w:t>11. Table S1: Statistically significant signals from PA14 IMS experiments……………….</w:t>
            </w:r>
          </w:p>
        </w:tc>
        <w:tc>
          <w:tcPr>
            <w:tcW w:w="735" w:type="dxa"/>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spacing w:line="240" w:lineRule="auto"/>
            </w:pPr>
            <w:r>
              <w:t>S16</w:t>
            </w:r>
          </w:p>
        </w:tc>
      </w:tr>
      <w:tr w:rsidR="00BD7B44">
        <w:tc>
          <w:tcPr>
            <w:tcW w:w="8625" w:type="dxa"/>
            <w:shd w:val="clear" w:color="auto" w:fill="auto"/>
            <w:tcMar>
              <w:top w:w="100" w:type="dxa"/>
              <w:left w:w="100" w:type="dxa"/>
              <w:bottom w:w="100" w:type="dxa"/>
              <w:right w:w="100" w:type="dxa"/>
            </w:tcMar>
          </w:tcPr>
          <w:p w:rsidR="00BD7B44" w:rsidRDefault="00B569A8">
            <w:pPr>
              <w:widowControl w:val="0"/>
              <w:spacing w:line="240" w:lineRule="auto"/>
            </w:pPr>
            <w:r>
              <w:t>12. Table S2: Mass error for PA14 IMS experiments……………………………………….</w:t>
            </w:r>
          </w:p>
        </w:tc>
        <w:tc>
          <w:tcPr>
            <w:tcW w:w="735" w:type="dxa"/>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spacing w:line="240" w:lineRule="auto"/>
            </w:pPr>
            <w:r>
              <w:t>S17</w:t>
            </w:r>
          </w:p>
        </w:tc>
      </w:tr>
      <w:tr w:rsidR="00BD7B44">
        <w:tc>
          <w:tcPr>
            <w:tcW w:w="8625" w:type="dxa"/>
            <w:shd w:val="clear" w:color="auto" w:fill="auto"/>
            <w:tcMar>
              <w:top w:w="100" w:type="dxa"/>
              <w:left w:w="100" w:type="dxa"/>
              <w:bottom w:w="100" w:type="dxa"/>
              <w:right w:w="100" w:type="dxa"/>
            </w:tcMar>
          </w:tcPr>
          <w:p w:rsidR="00BD7B44" w:rsidRDefault="00B569A8">
            <w:pPr>
              <w:widowControl w:val="0"/>
              <w:spacing w:line="240" w:lineRule="auto"/>
            </w:pPr>
            <w:r>
              <w:t>13. Table</w:t>
            </w:r>
            <w:r>
              <w:t xml:space="preserve"> S3: </w:t>
            </w:r>
            <w:proofErr w:type="spellStart"/>
            <w:r>
              <w:t>Statiscal</w:t>
            </w:r>
            <w:proofErr w:type="spellEnd"/>
            <w:r>
              <w:t xml:space="preserve"> analysis of wax moth virulence assay…………………………</w:t>
            </w:r>
            <w:proofErr w:type="gramStart"/>
            <w:r>
              <w:t>…..</w:t>
            </w:r>
            <w:proofErr w:type="gramEnd"/>
          </w:p>
        </w:tc>
        <w:tc>
          <w:tcPr>
            <w:tcW w:w="735" w:type="dxa"/>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spacing w:line="240" w:lineRule="auto"/>
            </w:pPr>
            <w:r>
              <w:t>S18</w:t>
            </w:r>
          </w:p>
        </w:tc>
      </w:tr>
      <w:tr w:rsidR="00BD7B44">
        <w:tc>
          <w:tcPr>
            <w:tcW w:w="8625" w:type="dxa"/>
            <w:shd w:val="clear" w:color="auto" w:fill="auto"/>
            <w:tcMar>
              <w:top w:w="100" w:type="dxa"/>
              <w:left w:w="100" w:type="dxa"/>
              <w:bottom w:w="100" w:type="dxa"/>
              <w:right w:w="100" w:type="dxa"/>
            </w:tcMar>
          </w:tcPr>
          <w:p w:rsidR="00BD7B44" w:rsidRDefault="00B569A8">
            <w:pPr>
              <w:widowControl w:val="0"/>
              <w:spacing w:line="240" w:lineRule="auto"/>
            </w:pPr>
            <w:r>
              <w:t>15. Tables S4: Statistically significance of pyochelin signals from mutant IMS experiments…………………………………………………………………………………</w:t>
            </w:r>
            <w:proofErr w:type="gramStart"/>
            <w:r>
              <w:t>…..</w:t>
            </w:r>
            <w:proofErr w:type="gramEnd"/>
          </w:p>
        </w:tc>
        <w:tc>
          <w:tcPr>
            <w:tcW w:w="735" w:type="dxa"/>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spacing w:line="240" w:lineRule="auto"/>
            </w:pPr>
            <w:r>
              <w:t>S19</w:t>
            </w:r>
          </w:p>
        </w:tc>
      </w:tr>
      <w:tr w:rsidR="00BD7B44">
        <w:tc>
          <w:tcPr>
            <w:tcW w:w="8625" w:type="dxa"/>
            <w:shd w:val="clear" w:color="auto" w:fill="auto"/>
            <w:tcMar>
              <w:top w:w="100" w:type="dxa"/>
              <w:left w:w="100" w:type="dxa"/>
              <w:bottom w:w="100" w:type="dxa"/>
              <w:right w:w="100" w:type="dxa"/>
            </w:tcMar>
          </w:tcPr>
          <w:p w:rsidR="00BD7B44" w:rsidRDefault="00B569A8">
            <w:pPr>
              <w:widowControl w:val="0"/>
              <w:spacing w:line="240" w:lineRule="auto"/>
            </w:pPr>
            <w:r>
              <w:t xml:space="preserve">16. Tables S5: Mass error from </w:t>
            </w:r>
            <w:proofErr w:type="spellStart"/>
            <w:r>
              <w:t>Δ</w:t>
            </w:r>
            <w:r>
              <w:rPr>
                <w:i/>
              </w:rPr>
              <w:t>pqsA</w:t>
            </w:r>
            <w:proofErr w:type="spellEnd"/>
            <w:r>
              <w:rPr>
                <w:i/>
              </w:rPr>
              <w:t xml:space="preserve">-C </w:t>
            </w:r>
            <w:r>
              <w:t>IMS experiments……………………………….</w:t>
            </w:r>
          </w:p>
        </w:tc>
        <w:tc>
          <w:tcPr>
            <w:tcW w:w="735" w:type="dxa"/>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spacing w:line="240" w:lineRule="auto"/>
            </w:pPr>
            <w:r>
              <w:t>S20</w:t>
            </w:r>
          </w:p>
        </w:tc>
      </w:tr>
      <w:tr w:rsidR="00BD7B44">
        <w:tc>
          <w:tcPr>
            <w:tcW w:w="8625" w:type="dxa"/>
            <w:shd w:val="clear" w:color="auto" w:fill="auto"/>
            <w:tcMar>
              <w:top w:w="100" w:type="dxa"/>
              <w:left w:w="100" w:type="dxa"/>
              <w:bottom w:w="100" w:type="dxa"/>
              <w:right w:w="100" w:type="dxa"/>
            </w:tcMar>
          </w:tcPr>
          <w:p w:rsidR="00BD7B44" w:rsidRDefault="00B569A8">
            <w:pPr>
              <w:widowControl w:val="0"/>
              <w:spacing w:line="240" w:lineRule="auto"/>
            </w:pPr>
            <w:r>
              <w:lastRenderedPageBreak/>
              <w:t xml:space="preserve">17. Tables S6: Mass error from </w:t>
            </w:r>
            <w:proofErr w:type="spellStart"/>
            <w:r>
              <w:t>Δ</w:t>
            </w:r>
            <w:r>
              <w:rPr>
                <w:i/>
              </w:rPr>
              <w:t>pqsH</w:t>
            </w:r>
            <w:proofErr w:type="spellEnd"/>
            <w:r>
              <w:rPr>
                <w:i/>
              </w:rPr>
              <w:t xml:space="preserve"> </w:t>
            </w:r>
            <w:r>
              <w:t>IMS experiments…</w:t>
            </w:r>
            <w:r>
              <w:t>……………………………….</w:t>
            </w:r>
          </w:p>
        </w:tc>
        <w:tc>
          <w:tcPr>
            <w:tcW w:w="735" w:type="dxa"/>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spacing w:line="240" w:lineRule="auto"/>
            </w:pPr>
            <w:r>
              <w:t>S21</w:t>
            </w:r>
          </w:p>
        </w:tc>
      </w:tr>
      <w:tr w:rsidR="00BD7B44">
        <w:tc>
          <w:tcPr>
            <w:tcW w:w="8625" w:type="dxa"/>
            <w:shd w:val="clear" w:color="auto" w:fill="auto"/>
            <w:tcMar>
              <w:top w:w="100" w:type="dxa"/>
              <w:left w:w="100" w:type="dxa"/>
              <w:bottom w:w="100" w:type="dxa"/>
              <w:right w:w="100" w:type="dxa"/>
            </w:tcMar>
          </w:tcPr>
          <w:p w:rsidR="00BD7B44" w:rsidRDefault="00B569A8">
            <w:pPr>
              <w:widowControl w:val="0"/>
              <w:spacing w:line="240" w:lineRule="auto"/>
            </w:pPr>
            <w:r>
              <w:t xml:space="preserve">18. Tables S7: Mass error from </w:t>
            </w:r>
            <w:proofErr w:type="spellStart"/>
            <w:r>
              <w:t>Δ</w:t>
            </w:r>
            <w:r>
              <w:rPr>
                <w:i/>
              </w:rPr>
              <w:t>pqsL</w:t>
            </w:r>
            <w:proofErr w:type="spellEnd"/>
            <w:r>
              <w:rPr>
                <w:i/>
              </w:rPr>
              <w:t xml:space="preserve"> </w:t>
            </w:r>
            <w:r>
              <w:t>IMS experiments………………………………</w:t>
            </w:r>
            <w:proofErr w:type="gramStart"/>
            <w:r>
              <w:t>…..</w:t>
            </w:r>
            <w:proofErr w:type="gramEnd"/>
          </w:p>
        </w:tc>
        <w:tc>
          <w:tcPr>
            <w:tcW w:w="735" w:type="dxa"/>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spacing w:line="240" w:lineRule="auto"/>
            </w:pPr>
            <w:r>
              <w:t>S22</w:t>
            </w:r>
          </w:p>
        </w:tc>
      </w:tr>
      <w:tr w:rsidR="00BD7B44">
        <w:tc>
          <w:tcPr>
            <w:tcW w:w="8625" w:type="dxa"/>
            <w:shd w:val="clear" w:color="auto" w:fill="auto"/>
            <w:tcMar>
              <w:top w:w="100" w:type="dxa"/>
              <w:left w:w="100" w:type="dxa"/>
              <w:bottom w:w="100" w:type="dxa"/>
              <w:right w:w="100" w:type="dxa"/>
            </w:tcMar>
          </w:tcPr>
          <w:p w:rsidR="00BD7B44" w:rsidRDefault="00B569A8">
            <w:pPr>
              <w:widowControl w:val="0"/>
              <w:spacing w:line="240" w:lineRule="auto"/>
            </w:pPr>
            <w:r>
              <w:t xml:space="preserve">19. Tables S8: Mass error from </w:t>
            </w:r>
            <w:proofErr w:type="spellStart"/>
            <w:r>
              <w:t>Δ</w:t>
            </w:r>
            <w:r>
              <w:rPr>
                <w:i/>
              </w:rPr>
              <w:t>phz</w:t>
            </w:r>
            <w:proofErr w:type="spellEnd"/>
            <w:r>
              <w:rPr>
                <w:i/>
              </w:rPr>
              <w:t xml:space="preserve"> </w:t>
            </w:r>
            <w:r>
              <w:t>IMS experiments……………………………………</w:t>
            </w:r>
          </w:p>
        </w:tc>
        <w:tc>
          <w:tcPr>
            <w:tcW w:w="735" w:type="dxa"/>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spacing w:line="240" w:lineRule="auto"/>
            </w:pPr>
            <w:r>
              <w:t>S23</w:t>
            </w:r>
          </w:p>
        </w:tc>
      </w:tr>
      <w:tr w:rsidR="00BD7B44">
        <w:tc>
          <w:tcPr>
            <w:tcW w:w="8625" w:type="dxa"/>
            <w:shd w:val="clear" w:color="auto" w:fill="auto"/>
            <w:tcMar>
              <w:top w:w="100" w:type="dxa"/>
              <w:left w:w="100" w:type="dxa"/>
              <w:bottom w:w="100" w:type="dxa"/>
              <w:right w:w="100" w:type="dxa"/>
            </w:tcMar>
          </w:tcPr>
          <w:p w:rsidR="00BD7B44" w:rsidRDefault="00B569A8">
            <w:pPr>
              <w:widowControl w:val="0"/>
              <w:spacing w:line="240" w:lineRule="auto"/>
            </w:pPr>
            <w:r>
              <w:t>20</w:t>
            </w:r>
            <w:r>
              <w:t>. Table S9: Fold Change analysis of PCA and PCH from TLCA treatment…..............</w:t>
            </w:r>
          </w:p>
        </w:tc>
        <w:tc>
          <w:tcPr>
            <w:tcW w:w="735" w:type="dxa"/>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spacing w:line="240" w:lineRule="auto"/>
            </w:pPr>
            <w:r>
              <w:t>S24</w:t>
            </w:r>
          </w:p>
        </w:tc>
      </w:tr>
      <w:tr w:rsidR="00BD7B44">
        <w:tc>
          <w:tcPr>
            <w:tcW w:w="8625" w:type="dxa"/>
            <w:shd w:val="clear" w:color="auto" w:fill="auto"/>
            <w:tcMar>
              <w:top w:w="100" w:type="dxa"/>
              <w:left w:w="100" w:type="dxa"/>
              <w:bottom w:w="100" w:type="dxa"/>
              <w:right w:w="100" w:type="dxa"/>
            </w:tcMar>
          </w:tcPr>
          <w:p w:rsidR="00BD7B44" w:rsidRDefault="00B569A8">
            <w:pPr>
              <w:widowControl w:val="0"/>
              <w:spacing w:line="240" w:lineRule="auto"/>
            </w:pPr>
            <w:r>
              <w:t>21. Table S10: List of strains, plasmids, and primers used………………………………...</w:t>
            </w:r>
          </w:p>
        </w:tc>
        <w:tc>
          <w:tcPr>
            <w:tcW w:w="735" w:type="dxa"/>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spacing w:line="240" w:lineRule="auto"/>
            </w:pPr>
            <w:r>
              <w:t>S25</w:t>
            </w:r>
          </w:p>
        </w:tc>
      </w:tr>
      <w:tr w:rsidR="00BD7B44">
        <w:tc>
          <w:tcPr>
            <w:tcW w:w="8625" w:type="dxa"/>
            <w:shd w:val="clear" w:color="auto" w:fill="auto"/>
            <w:tcMar>
              <w:top w:w="100" w:type="dxa"/>
              <w:left w:w="100" w:type="dxa"/>
              <w:bottom w:w="100" w:type="dxa"/>
              <w:right w:w="100" w:type="dxa"/>
            </w:tcMar>
          </w:tcPr>
          <w:p w:rsidR="00BD7B44" w:rsidRDefault="00B569A8">
            <w:pPr>
              <w:widowControl w:val="0"/>
              <w:spacing w:line="240" w:lineRule="auto"/>
            </w:pPr>
            <w:r>
              <w:t>22.  Data Availability…………………………………………………………………………....</w:t>
            </w:r>
          </w:p>
        </w:tc>
        <w:tc>
          <w:tcPr>
            <w:tcW w:w="735" w:type="dxa"/>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spacing w:line="240" w:lineRule="auto"/>
            </w:pPr>
            <w:r>
              <w:t>S28</w:t>
            </w:r>
          </w:p>
        </w:tc>
      </w:tr>
    </w:tbl>
    <w:p w:rsidR="00BD7B44" w:rsidRDefault="00BD7B44">
      <w:pPr>
        <w:spacing w:line="240" w:lineRule="auto"/>
        <w:jc w:val="both"/>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pPr>
    </w:p>
    <w:p w:rsidR="00BD7B44" w:rsidRDefault="00BD7B44">
      <w:pPr>
        <w:spacing w:line="240" w:lineRule="auto"/>
        <w:jc w:val="both"/>
      </w:pPr>
    </w:p>
    <w:p w:rsidR="00BD7B44" w:rsidRDefault="00BD7B44">
      <w:pPr>
        <w:spacing w:line="240" w:lineRule="auto"/>
        <w:jc w:val="both"/>
      </w:pPr>
    </w:p>
    <w:p w:rsidR="00BD7B44" w:rsidRDefault="00BD7B44">
      <w:pPr>
        <w:spacing w:line="240" w:lineRule="auto"/>
        <w:jc w:val="both"/>
      </w:pPr>
    </w:p>
    <w:p w:rsidR="00BD7B44" w:rsidRDefault="00BD7B44">
      <w:pPr>
        <w:spacing w:line="240" w:lineRule="auto"/>
        <w:jc w:val="both"/>
      </w:pPr>
    </w:p>
    <w:p w:rsidR="00BD7B44" w:rsidRDefault="00BD7B44">
      <w:pPr>
        <w:spacing w:line="240" w:lineRule="auto"/>
        <w:jc w:val="both"/>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569A8">
      <w:pPr>
        <w:widowControl w:val="0"/>
        <w:spacing w:line="240" w:lineRule="auto"/>
        <w:jc w:val="both"/>
        <w:rPr>
          <w:b/>
        </w:rPr>
      </w:pPr>
      <w:r>
        <w:br w:type="page"/>
      </w:r>
    </w:p>
    <w:p w:rsidR="00BD7B44" w:rsidRDefault="00B569A8">
      <w:pPr>
        <w:widowControl w:val="0"/>
        <w:spacing w:line="240" w:lineRule="auto"/>
        <w:jc w:val="both"/>
      </w:pPr>
      <w:r>
        <w:rPr>
          <w:i/>
        </w:rPr>
        <w:lastRenderedPageBreak/>
        <w:t xml:space="preserve">Large scale cultivation and crude extract preparation. </w:t>
      </w:r>
      <w:r>
        <w:t xml:space="preserve">An overnight 5 mL liquid culture was transferred to 50 mL of LB liquid media in a 250 mL Erlenmeyer flask, covered with a </w:t>
      </w:r>
      <w:proofErr w:type="spellStart"/>
      <w:r>
        <w:t>KenAG</w:t>
      </w:r>
      <w:proofErr w:type="spellEnd"/>
      <w:r>
        <w:t xml:space="preserve"> milk filter and autoclave paper, and left to shake overnight at 3</w:t>
      </w:r>
      <w:r>
        <w:t xml:space="preserve">0 ℃. The following day, the 50 mL liquid culture was transferred to 1 L of LB media in a 2.8 L </w:t>
      </w:r>
      <w:proofErr w:type="spellStart"/>
      <w:r>
        <w:t>Fernbach</w:t>
      </w:r>
      <w:proofErr w:type="spellEnd"/>
      <w:r>
        <w:t xml:space="preserve"> flask with milk filter and autoclave paper and left to shake for four days at 30℃. Two growth conditions were employed, 1) a qualitative control where t</w:t>
      </w:r>
      <w:r>
        <w:t>he liquid culture was left to shake for four days and then extracted on day five and 2) exposure to TLCA where an aliquot of TLCA was added to the 1L liquid culture for a final concentration of 250 µM of TLCA after overnight growth at 30 ℃ and left to shak</w:t>
      </w:r>
      <w:r>
        <w:t>e for four days before extraction (Extraction on day 5 of the liquid culture with 4 days of TLCA exposure). To generate crude extracts 20 G of Amberlite XAD16N resin (Sigma) was added to the culture and allowed to shake at 225 rpm at 30 ℃ for one hour. The</w:t>
      </w:r>
      <w:r>
        <w:t xml:space="preserve"> cells and resin were filtered with filter paper (Grade 2/ 8 µM </w:t>
      </w:r>
      <w:proofErr w:type="spellStart"/>
      <w:r>
        <w:t>poresize</w:t>
      </w:r>
      <w:proofErr w:type="spellEnd"/>
      <w:r>
        <w:t xml:space="preserve"> &amp; Grade 934-AH/ 1.5µM pore size, respectively) and filter paper and resin </w:t>
      </w:r>
      <w:proofErr w:type="gramStart"/>
      <w:r>
        <w:t>was</w:t>
      </w:r>
      <w:proofErr w:type="gramEnd"/>
      <w:r>
        <w:t xml:space="preserve"> transferred to a Erlenmeyer flask. Resin was back extracted using 250 mL of methanol and flask was placed</w:t>
      </w:r>
      <w:r>
        <w:t xml:space="preserve"> back on shaker at 30 ℃ for an hour. The resin and methanol solution </w:t>
      </w:r>
      <w:proofErr w:type="gramStart"/>
      <w:r>
        <w:t>was</w:t>
      </w:r>
      <w:proofErr w:type="gramEnd"/>
      <w:r>
        <w:t xml:space="preserve"> then filtered and the organic extract was dried </w:t>
      </w:r>
      <w:r>
        <w:rPr>
          <w:i/>
        </w:rPr>
        <w:t>in vacuo</w:t>
      </w:r>
      <w:r>
        <w:t xml:space="preserve"> to yield a crude organic extract. This crude extraction was subject to solid phase extraction via a </w:t>
      </w:r>
      <w:proofErr w:type="spellStart"/>
      <w:r>
        <w:t>Supleco</w:t>
      </w:r>
      <w:proofErr w:type="spellEnd"/>
      <w:r>
        <w:t xml:space="preserve"> Discovery DSC-18, </w:t>
      </w:r>
      <w:r>
        <w:t xml:space="preserve">5 g,  20 mL tube to separate the crude extract into seven rarified extracts based on polarity (A: 10% MeOH, B: 20% MeOH, C: 40% MeOH, D: 60% MeOH, E: 80% MeOH, F: 100% MeOH, G: 100% </w:t>
      </w:r>
      <w:proofErr w:type="spellStart"/>
      <w:r>
        <w:t>EtoAc</w:t>
      </w:r>
      <w:proofErr w:type="spellEnd"/>
      <w:r>
        <w:t xml:space="preserve">). The seven collected fractions were then dried down </w:t>
      </w:r>
      <w:r>
        <w:rPr>
          <w:i/>
        </w:rPr>
        <w:t>in vacuo</w:t>
      </w:r>
      <w:r>
        <w:t xml:space="preserve"> and st</w:t>
      </w:r>
      <w:r>
        <w:t xml:space="preserve">ored at -20 ℃. </w:t>
      </w:r>
    </w:p>
    <w:p w:rsidR="00BD7B44" w:rsidRDefault="00BD7B44">
      <w:pPr>
        <w:spacing w:line="240" w:lineRule="auto"/>
        <w:jc w:val="center"/>
        <w:rPr>
          <w:b/>
        </w:rPr>
      </w:pPr>
    </w:p>
    <w:p w:rsidR="00BD7B44" w:rsidRDefault="00B569A8">
      <w:pPr>
        <w:spacing w:line="240" w:lineRule="auto"/>
        <w:jc w:val="both"/>
      </w:pPr>
      <w:r>
        <w:rPr>
          <w:i/>
        </w:rPr>
        <w:t xml:space="preserve">LC/MS-MS preparation and experimentation. </w:t>
      </w:r>
      <w:r>
        <w:t>Each of the seven fractions (A-</w:t>
      </w:r>
      <w:proofErr w:type="gramStart"/>
      <w:r>
        <w:t>G)  were</w:t>
      </w:r>
      <w:proofErr w:type="gramEnd"/>
      <w:r>
        <w:t xml:space="preserve"> subjected to LC-MS/MS analysis. Each sample was dissolved in LC-MS grade MeOH to a final </w:t>
      </w:r>
    </w:p>
    <w:p w:rsidR="00BD7B44" w:rsidRDefault="00B569A8">
      <w:pPr>
        <w:spacing w:line="240" w:lineRule="auto"/>
        <w:jc w:val="both"/>
      </w:pPr>
      <w:r>
        <w:t>concentration of 400 µg/</w:t>
      </w:r>
      <w:proofErr w:type="spellStart"/>
      <w:r>
        <w:t>mL.</w:t>
      </w:r>
      <w:proofErr w:type="spellEnd"/>
      <w:r>
        <w:t xml:space="preserve">  All samples were subjected to the same</w:t>
      </w:r>
      <w:r>
        <w:t xml:space="preserve"> LC method (</w:t>
      </w:r>
      <w:proofErr w:type="gramStart"/>
      <w:r>
        <w:t>23 minute</w:t>
      </w:r>
      <w:proofErr w:type="gramEnd"/>
      <w:r>
        <w:t xml:space="preserve"> gradient from 20% MeOH to 95% MeOH with a 10 minute wash and 10 minute equilibration). A Phenomenex </w:t>
      </w:r>
      <w:proofErr w:type="spellStart"/>
      <w:r>
        <w:t>Kinetex</w:t>
      </w:r>
      <w:proofErr w:type="spellEnd"/>
      <w:r>
        <w:t xml:space="preserve"> 5 µm C18 100 </w:t>
      </w:r>
      <w:r>
        <w:rPr>
          <w:rFonts w:ascii="Roboto" w:eastAsia="Roboto" w:hAnsi="Roboto" w:cs="Roboto"/>
          <w:b/>
          <w:color w:val="222222"/>
          <w:highlight w:val="white"/>
        </w:rPr>
        <w:t>Å</w:t>
      </w:r>
      <w:r>
        <w:t xml:space="preserve"> 150 x 4.6mm was used for separation on an Agilent LC-1200 dual-pump HPLC instrument. Separated samples were the</w:t>
      </w:r>
      <w:r>
        <w:t>n sent to a Thermo Finnigan LCQ Advantage Max LC-MS/MS for fragmentation with an ESI source via data dependent fragmentation. Settings for fragmentation data: temp 250 ℃, voltage 35 eV, isolation window 2 Da, collision energy 35%, three MS</w:t>
      </w:r>
      <w:r>
        <w:rPr>
          <w:vertAlign w:val="superscript"/>
        </w:rPr>
        <w:t>2</w:t>
      </w:r>
      <w:r>
        <w:t xml:space="preserve"> instances for e</w:t>
      </w:r>
      <w:r>
        <w:t>very MS</w:t>
      </w:r>
      <w:r>
        <w:rPr>
          <w:vertAlign w:val="superscript"/>
        </w:rPr>
        <w:t>1</w:t>
      </w:r>
      <w:r>
        <w:t>.</w:t>
      </w:r>
    </w:p>
    <w:p w:rsidR="00BD7B44" w:rsidRDefault="00BD7B44">
      <w:pPr>
        <w:spacing w:line="240" w:lineRule="auto"/>
        <w:jc w:val="both"/>
      </w:pPr>
    </w:p>
    <w:p w:rsidR="00BD7B44" w:rsidRDefault="00B569A8">
      <w:pPr>
        <w:spacing w:line="240" w:lineRule="auto"/>
      </w:pPr>
      <w:r>
        <w:rPr>
          <w:i/>
        </w:rPr>
        <w:t>GNPS &amp; Molecular Networking</w:t>
      </w:r>
      <w:r>
        <w:t>. For molecular networking analysis raw tandem MS data was uploaded to GNPS (Global Natural Product Social Molecular Networking). GNPS is an open access knowledge database for the comparison of raw MS/MS data to a libr</w:t>
      </w:r>
      <w:r>
        <w:t xml:space="preserve">ary of MS/MS data of known natural products </w:t>
      </w:r>
      <w:hyperlink r:id="rId7">
        <w:r>
          <w:rPr>
            <w:color w:val="000000"/>
          </w:rPr>
          <w:t>[1]</w:t>
        </w:r>
      </w:hyperlink>
      <w:r>
        <w:t>. For this study, all libraries in GNPS were used for comparison and selected for this workflow under “Spectral Library”. In “basic options” precursor ion</w:t>
      </w:r>
      <w:r>
        <w:t xml:space="preserve"> mass tolerance was set to 0.5 Da and fragment ion mass tolerance was set to 0.3 Da. Under “advanced network options” the minimum matched fragment ions </w:t>
      </w:r>
      <w:proofErr w:type="gramStart"/>
      <w:r>
        <w:t>was</w:t>
      </w:r>
      <w:proofErr w:type="gramEnd"/>
      <w:r>
        <w:t xml:space="preserve"> set to 4. For “advanced library search options” the library search min matched peaks </w:t>
      </w:r>
      <w:proofErr w:type="gramStart"/>
      <w:r>
        <w:t>was</w:t>
      </w:r>
      <w:proofErr w:type="gramEnd"/>
      <w:r>
        <w:t xml:space="preserve"> also change</w:t>
      </w:r>
      <w:r>
        <w:t xml:space="preserve">d to 4. Under “advanced filtering options” the filter precursor window was set to “Don’t Filter” whereas filter library option was left as defaulted showing “Filter Library”. All other options are left at the default settings. Using </w:t>
      </w:r>
      <w:proofErr w:type="spellStart"/>
      <w:r>
        <w:t>cytoscape</w:t>
      </w:r>
      <w:proofErr w:type="spellEnd"/>
      <w:r>
        <w:t xml:space="preserve"> 2.8.3 the dat</w:t>
      </w:r>
      <w:r>
        <w:t xml:space="preserve">a was analyzed with FM3 layout </w:t>
      </w:r>
      <w:hyperlink r:id="rId8">
        <w:r>
          <w:rPr>
            <w:color w:val="000000"/>
          </w:rPr>
          <w:t>[2]</w:t>
        </w:r>
      </w:hyperlink>
      <w:r>
        <w:t xml:space="preserve">. </w:t>
      </w:r>
    </w:p>
    <w:p w:rsidR="00BD7B44" w:rsidRDefault="00BD7B44">
      <w:pPr>
        <w:spacing w:line="480" w:lineRule="auto"/>
        <w:jc w:val="both"/>
      </w:pPr>
    </w:p>
    <w:p w:rsidR="00BD7B44" w:rsidRDefault="00B569A8">
      <w:pPr>
        <w:jc w:val="both"/>
      </w:pPr>
      <w:r>
        <w:rPr>
          <w:i/>
        </w:rPr>
        <w:t xml:space="preserve">Pyochelin (PCH) Identification. </w:t>
      </w:r>
      <w:r>
        <w:t>For PCH fold-change quantification, a gradient of 10%-85% ACN (0.1% TFA) and H</w:t>
      </w:r>
      <w:r>
        <w:rPr>
          <w:vertAlign w:val="subscript"/>
        </w:rPr>
        <w:t>2</w:t>
      </w:r>
      <w:r>
        <w:t xml:space="preserve">0 (0.1% TFA) over 25 minutes </w:t>
      </w:r>
      <w:r>
        <w:t>where separated samples were then sent to a Thermo Finnigan LCQ Advantage Max LC-MS/MS for fragmentation with an ESI source via data dependent fragmentation. Settings for fragmentation data: temp 250 ℃, voltage 35 eV, isolation window 2 Da, collision energ</w:t>
      </w:r>
      <w:r>
        <w:t>y 35%, three MS2 instances for every MS1. After identifying the UV peak and retention time which correlated to PCH (</w:t>
      </w:r>
      <w:r>
        <w:rPr>
          <w:i/>
        </w:rPr>
        <w:t xml:space="preserve">m/z </w:t>
      </w:r>
      <w:r>
        <w:t>325 [M+</w:t>
      </w:r>
      <w:proofErr w:type="gramStart"/>
      <w:r>
        <w:t>H]</w:t>
      </w:r>
      <w:r>
        <w:rPr>
          <w:vertAlign w:val="superscript"/>
        </w:rPr>
        <w:t>+</w:t>
      </w:r>
      <w:proofErr w:type="gramEnd"/>
      <w:r>
        <w:t xml:space="preserve">, RT: 18.9) in our PA14 WT </w:t>
      </w:r>
      <w:r>
        <w:lastRenderedPageBreak/>
        <w:t>extract (N=2). Fragmentation data was uploaded to GNPS and confirmed as a positive hit for the meta</w:t>
      </w:r>
      <w:r>
        <w:t>bolite pyochelin (</w:t>
      </w:r>
      <w:r>
        <w:rPr>
          <w:b/>
        </w:rPr>
        <w:t>Figure S8</w:t>
      </w:r>
      <w:r>
        <w:t xml:space="preserve">). </w:t>
      </w:r>
    </w:p>
    <w:p w:rsidR="00BD7B44" w:rsidRDefault="00BD7B44">
      <w:pPr>
        <w:widowControl w:val="0"/>
        <w:spacing w:line="240" w:lineRule="auto"/>
        <w:jc w:val="both"/>
        <w:rPr>
          <w:b/>
        </w:rPr>
      </w:pPr>
    </w:p>
    <w:p w:rsidR="00BD7B44" w:rsidRDefault="00BD7B44">
      <w:pPr>
        <w:widowControl w:val="0"/>
        <w:spacing w:line="240" w:lineRule="auto"/>
        <w:jc w:val="both"/>
        <w:rPr>
          <w:b/>
        </w:rPr>
      </w:pPr>
    </w:p>
    <w:p w:rsidR="00BD7B44" w:rsidRDefault="00B569A8">
      <w:pPr>
        <w:widowControl w:val="0"/>
        <w:spacing w:line="240" w:lineRule="auto"/>
        <w:jc w:val="both"/>
        <w:rPr>
          <w:b/>
        </w:rPr>
      </w:pPr>
      <w:r>
        <w:br w:type="page"/>
      </w:r>
    </w:p>
    <w:p w:rsidR="00BD7B44" w:rsidRDefault="00B569A8">
      <w:pPr>
        <w:widowControl w:val="0"/>
        <w:spacing w:line="240" w:lineRule="auto"/>
        <w:jc w:val="both"/>
        <w:rPr>
          <w:b/>
        </w:rPr>
      </w:pPr>
      <w:r>
        <w:rPr>
          <w:b/>
        </w:rPr>
        <w:lastRenderedPageBreak/>
        <w:t>Figure S1</w:t>
      </w:r>
      <w:r>
        <w:t xml:space="preserve">: Colony morphology study of </w:t>
      </w:r>
      <w:r>
        <w:rPr>
          <w:i/>
        </w:rPr>
        <w:t>P. aeruginosa</w:t>
      </w:r>
      <w:r>
        <w:t xml:space="preserve"> exposed to two TLCA concentrations (250 µM and 1 mM) over 120 hours. An increase in wrinkling phenotype is observed compared to control with altered morphology correlati</w:t>
      </w:r>
      <w:r>
        <w:t>ng to an increase in TLCA concentration.</w:t>
      </w:r>
    </w:p>
    <w:p w:rsidR="00BD7B44" w:rsidRDefault="00BD7B44">
      <w:pPr>
        <w:spacing w:line="240" w:lineRule="auto"/>
        <w:jc w:val="center"/>
        <w:rPr>
          <w:b/>
        </w:rPr>
      </w:pPr>
    </w:p>
    <w:p w:rsidR="00BD7B44" w:rsidRDefault="00B569A8">
      <w:pPr>
        <w:spacing w:line="240" w:lineRule="auto"/>
        <w:jc w:val="center"/>
        <w:rPr>
          <w:b/>
        </w:rPr>
      </w:pPr>
      <w:r>
        <w:rPr>
          <w:b/>
          <w:noProof/>
        </w:rPr>
        <w:drawing>
          <wp:inline distT="114300" distB="114300" distL="114300" distR="114300">
            <wp:extent cx="5610225" cy="4278653"/>
            <wp:effectExtent l="0" t="0" r="0" b="0"/>
            <wp:docPr id="1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9"/>
                    <a:srcRect/>
                    <a:stretch>
                      <a:fillRect/>
                    </a:stretch>
                  </pic:blipFill>
                  <pic:spPr>
                    <a:xfrm>
                      <a:off x="0" y="0"/>
                      <a:ext cx="5610225" cy="4278653"/>
                    </a:xfrm>
                    <a:prstGeom prst="rect">
                      <a:avLst/>
                    </a:prstGeom>
                    <a:ln/>
                  </pic:spPr>
                </pic:pic>
              </a:graphicData>
            </a:graphic>
          </wp:inline>
        </w:drawing>
      </w:r>
    </w:p>
    <w:p w:rsidR="00BD7B44" w:rsidRDefault="00BD7B44">
      <w:pPr>
        <w:spacing w:line="240" w:lineRule="auto"/>
        <w:jc w:val="center"/>
        <w:rPr>
          <w:b/>
        </w:rPr>
      </w:pPr>
    </w:p>
    <w:p w:rsidR="00BD7B44" w:rsidRDefault="00BD7B44">
      <w:pPr>
        <w:spacing w:line="240" w:lineRule="auto"/>
        <w:jc w:val="center"/>
        <w:rPr>
          <w:b/>
        </w:rPr>
      </w:pPr>
    </w:p>
    <w:p w:rsidR="00BD7B44" w:rsidRDefault="00BD7B44">
      <w:pPr>
        <w:spacing w:line="240" w:lineRule="auto"/>
        <w:jc w:val="center"/>
        <w:rPr>
          <w:b/>
        </w:rPr>
      </w:pPr>
    </w:p>
    <w:p w:rsidR="00BD7B44" w:rsidRDefault="00BD7B44">
      <w:pPr>
        <w:spacing w:line="240" w:lineRule="auto"/>
        <w:rPr>
          <w:b/>
        </w:rPr>
      </w:pPr>
    </w:p>
    <w:p w:rsidR="00BD7B44" w:rsidRDefault="00BD7B44">
      <w:pPr>
        <w:spacing w:line="240" w:lineRule="auto"/>
        <w:rPr>
          <w:b/>
        </w:rPr>
      </w:pPr>
    </w:p>
    <w:p w:rsidR="00BD7B44" w:rsidRDefault="00B569A8">
      <w:pPr>
        <w:spacing w:line="240" w:lineRule="auto"/>
        <w:jc w:val="center"/>
        <w:rPr>
          <w:b/>
        </w:rPr>
      </w:pPr>
      <w:r>
        <w:br w:type="page"/>
      </w:r>
    </w:p>
    <w:p w:rsidR="00BD7B44" w:rsidRDefault="00B569A8">
      <w:pPr>
        <w:spacing w:line="240" w:lineRule="auto"/>
        <w:jc w:val="both"/>
      </w:pPr>
      <w:r>
        <w:rPr>
          <w:b/>
        </w:rPr>
        <w:lastRenderedPageBreak/>
        <w:t>Figure S2</w:t>
      </w:r>
      <w:r>
        <w:t xml:space="preserve">: Complete molecular networks of extracted metabolites from </w:t>
      </w:r>
      <w:r>
        <w:rPr>
          <w:i/>
        </w:rPr>
        <w:t xml:space="preserve">P. aeruginosa </w:t>
      </w:r>
      <w:r>
        <w:t>exposed to TLCA. All background noise such as nodes corresponding to only TLCA or media controls were removed prior to ana</w:t>
      </w:r>
      <w:r>
        <w:t xml:space="preserve">lysis. The network on the left is used to highlight the smaller metabolites of group A (200-230 Da) due to the smaller size of the metabolites and therefore different settings required for GNPS analysis. Both networks </w:t>
      </w:r>
      <w:proofErr w:type="gramStart"/>
      <w:r>
        <w:t>represents</w:t>
      </w:r>
      <w:proofErr w:type="gramEnd"/>
      <w:r>
        <w:t xml:space="preserve"> a total of 1,029 with 181 o</w:t>
      </w:r>
      <w:r>
        <w:t>f the nodes representing metabolites only found in the TLCA condition.  The network on the right represents three technical replicates of LC-MS/MS data. Molecular network clusters of (A) phenazine family, (B) quinolone family, (C) rhamnolipids, and (D) the</w:t>
      </w:r>
      <w:r>
        <w:t xml:space="preserve"> siderophore pyochelin with respective cosine values.</w:t>
      </w:r>
    </w:p>
    <w:p w:rsidR="00BD7B44" w:rsidRDefault="00BD7B44">
      <w:pPr>
        <w:spacing w:line="240" w:lineRule="auto"/>
        <w:jc w:val="both"/>
      </w:pPr>
    </w:p>
    <w:p w:rsidR="00BD7B44" w:rsidRDefault="00BD7B44">
      <w:pPr>
        <w:spacing w:line="240" w:lineRule="auto"/>
        <w:jc w:val="both"/>
        <w:rPr>
          <w:b/>
        </w:rPr>
      </w:pPr>
    </w:p>
    <w:p w:rsidR="00BD7B44" w:rsidRDefault="00BD7B44">
      <w:pPr>
        <w:spacing w:line="240" w:lineRule="auto"/>
        <w:jc w:val="both"/>
        <w:rPr>
          <w:u w:val="single"/>
        </w:rPr>
      </w:pPr>
    </w:p>
    <w:p w:rsidR="00BD7B44" w:rsidRDefault="00B569A8">
      <w:pPr>
        <w:spacing w:line="240" w:lineRule="auto"/>
        <w:jc w:val="both"/>
        <w:rPr>
          <w:u w:val="single"/>
        </w:rPr>
      </w:pPr>
      <w:r>
        <w:rPr>
          <w:noProof/>
          <w:u w:val="single"/>
        </w:rPr>
        <w:drawing>
          <wp:inline distT="114300" distB="114300" distL="114300" distR="114300">
            <wp:extent cx="5943600" cy="3683000"/>
            <wp:effectExtent l="0" t="0" r="0" b="0"/>
            <wp:docPr id="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0"/>
                    <a:srcRect/>
                    <a:stretch>
                      <a:fillRect/>
                    </a:stretch>
                  </pic:blipFill>
                  <pic:spPr>
                    <a:xfrm>
                      <a:off x="0" y="0"/>
                      <a:ext cx="5943600" cy="3683000"/>
                    </a:xfrm>
                    <a:prstGeom prst="rect">
                      <a:avLst/>
                    </a:prstGeom>
                    <a:ln/>
                  </pic:spPr>
                </pic:pic>
              </a:graphicData>
            </a:graphic>
          </wp:inline>
        </w:drawing>
      </w:r>
    </w:p>
    <w:p w:rsidR="00BD7B44" w:rsidRDefault="00BD7B44">
      <w:pPr>
        <w:spacing w:line="240" w:lineRule="auto"/>
        <w:jc w:val="both"/>
        <w:rPr>
          <w:u w:val="single"/>
        </w:rPr>
      </w:pPr>
    </w:p>
    <w:p w:rsidR="00BD7B44" w:rsidRDefault="00BD7B44">
      <w:pPr>
        <w:spacing w:line="240" w:lineRule="auto"/>
        <w:jc w:val="both"/>
        <w:rPr>
          <w:u w:val="single"/>
        </w:rPr>
      </w:pPr>
    </w:p>
    <w:p w:rsidR="00BD7B44" w:rsidRDefault="00BD7B44">
      <w:pPr>
        <w:spacing w:line="240" w:lineRule="auto"/>
        <w:jc w:val="both"/>
        <w:rPr>
          <w:u w:val="single"/>
        </w:rPr>
      </w:pPr>
    </w:p>
    <w:p w:rsidR="00BD7B44" w:rsidRDefault="00BD7B44">
      <w:pPr>
        <w:spacing w:line="240" w:lineRule="auto"/>
        <w:jc w:val="both"/>
        <w:rPr>
          <w:u w:val="single"/>
        </w:rPr>
      </w:pPr>
    </w:p>
    <w:p w:rsidR="00BD7B44" w:rsidRDefault="00B569A8">
      <w:pPr>
        <w:spacing w:line="240" w:lineRule="auto"/>
        <w:jc w:val="both"/>
        <w:rPr>
          <w:u w:val="single"/>
        </w:rPr>
      </w:pPr>
      <w:r>
        <w:rPr>
          <w:noProof/>
          <w:u w:val="single"/>
        </w:rPr>
        <w:lastRenderedPageBreak/>
        <w:drawing>
          <wp:inline distT="114300" distB="114300" distL="114300" distR="114300">
            <wp:extent cx="5873312" cy="3395663"/>
            <wp:effectExtent l="0" t="0" r="0" b="0"/>
            <wp:docPr id="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1"/>
                    <a:srcRect/>
                    <a:stretch>
                      <a:fillRect/>
                    </a:stretch>
                  </pic:blipFill>
                  <pic:spPr>
                    <a:xfrm>
                      <a:off x="0" y="0"/>
                      <a:ext cx="5873312" cy="3395663"/>
                    </a:xfrm>
                    <a:prstGeom prst="rect">
                      <a:avLst/>
                    </a:prstGeom>
                    <a:ln/>
                  </pic:spPr>
                </pic:pic>
              </a:graphicData>
            </a:graphic>
          </wp:inline>
        </w:drawing>
      </w:r>
    </w:p>
    <w:p w:rsidR="00BD7B44" w:rsidRDefault="00BD7B44">
      <w:pPr>
        <w:spacing w:line="240" w:lineRule="auto"/>
        <w:jc w:val="both"/>
        <w:rPr>
          <w:u w:val="single"/>
        </w:rPr>
      </w:pPr>
    </w:p>
    <w:p w:rsidR="00BD7B44" w:rsidRDefault="00BD7B44">
      <w:pPr>
        <w:spacing w:line="240" w:lineRule="auto"/>
        <w:jc w:val="both"/>
        <w:rPr>
          <w:u w:val="single"/>
        </w:rPr>
      </w:pPr>
    </w:p>
    <w:p w:rsidR="00BD7B44" w:rsidRDefault="00B569A8">
      <w:pPr>
        <w:spacing w:line="240" w:lineRule="auto"/>
        <w:jc w:val="both"/>
        <w:rPr>
          <w:u w:val="single"/>
        </w:rPr>
      </w:pPr>
      <w:r>
        <w:rPr>
          <w:noProof/>
          <w:u w:val="single"/>
        </w:rPr>
        <w:drawing>
          <wp:inline distT="114300" distB="114300" distL="114300" distR="114300">
            <wp:extent cx="5943600" cy="3479800"/>
            <wp:effectExtent l="0" t="0" r="0" b="0"/>
            <wp:docPr id="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2"/>
                    <a:srcRect/>
                    <a:stretch>
                      <a:fillRect/>
                    </a:stretch>
                  </pic:blipFill>
                  <pic:spPr>
                    <a:xfrm>
                      <a:off x="0" y="0"/>
                      <a:ext cx="5943600" cy="3479800"/>
                    </a:xfrm>
                    <a:prstGeom prst="rect">
                      <a:avLst/>
                    </a:prstGeom>
                    <a:ln/>
                  </pic:spPr>
                </pic:pic>
              </a:graphicData>
            </a:graphic>
          </wp:inline>
        </w:drawing>
      </w:r>
    </w:p>
    <w:p w:rsidR="00BD7B44" w:rsidRDefault="00BD7B44">
      <w:pPr>
        <w:spacing w:line="240" w:lineRule="auto"/>
        <w:rPr>
          <w:b/>
        </w:rPr>
      </w:pPr>
    </w:p>
    <w:p w:rsidR="00BD7B44" w:rsidRDefault="00BD7B44">
      <w:pPr>
        <w:spacing w:line="240" w:lineRule="auto"/>
        <w:jc w:val="center"/>
      </w:pPr>
    </w:p>
    <w:p w:rsidR="00BD7B44" w:rsidRDefault="00BD7B44">
      <w:pPr>
        <w:spacing w:line="240" w:lineRule="auto"/>
        <w:jc w:val="both"/>
      </w:pPr>
    </w:p>
    <w:p w:rsidR="00BD7B44" w:rsidRDefault="00B569A8">
      <w:pPr>
        <w:spacing w:line="240" w:lineRule="auto"/>
        <w:jc w:val="center"/>
      </w:pPr>
      <w:r>
        <w:rPr>
          <w:noProof/>
        </w:rPr>
        <w:lastRenderedPageBreak/>
        <w:drawing>
          <wp:inline distT="114300" distB="114300" distL="114300" distR="114300">
            <wp:extent cx="5272088" cy="3142975"/>
            <wp:effectExtent l="0" t="0" r="0" b="0"/>
            <wp:docPr id="2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3"/>
                    <a:srcRect/>
                    <a:stretch>
                      <a:fillRect/>
                    </a:stretch>
                  </pic:blipFill>
                  <pic:spPr>
                    <a:xfrm>
                      <a:off x="0" y="0"/>
                      <a:ext cx="5272088" cy="3142975"/>
                    </a:xfrm>
                    <a:prstGeom prst="rect">
                      <a:avLst/>
                    </a:prstGeom>
                    <a:ln/>
                  </pic:spPr>
                </pic:pic>
              </a:graphicData>
            </a:graphic>
          </wp:inline>
        </w:drawing>
      </w:r>
      <w:r>
        <w:rPr>
          <w:noProof/>
        </w:rPr>
        <w:drawing>
          <wp:inline distT="114300" distB="114300" distL="114300" distR="114300">
            <wp:extent cx="5434013" cy="4214843"/>
            <wp:effectExtent l="0" t="0" r="0" b="0"/>
            <wp:docPr id="1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4"/>
                    <a:srcRect/>
                    <a:stretch>
                      <a:fillRect/>
                    </a:stretch>
                  </pic:blipFill>
                  <pic:spPr>
                    <a:xfrm>
                      <a:off x="0" y="0"/>
                      <a:ext cx="5434013" cy="4214843"/>
                    </a:xfrm>
                    <a:prstGeom prst="rect">
                      <a:avLst/>
                    </a:prstGeom>
                    <a:ln/>
                  </pic:spPr>
                </pic:pic>
              </a:graphicData>
            </a:graphic>
          </wp:inline>
        </w:drawing>
      </w:r>
    </w:p>
    <w:p w:rsidR="00BD7B44" w:rsidRDefault="00BD7B44">
      <w:pPr>
        <w:spacing w:line="240" w:lineRule="auto"/>
        <w:jc w:val="both"/>
      </w:pPr>
    </w:p>
    <w:p w:rsidR="00BD7B44" w:rsidRDefault="00B569A8">
      <w:pPr>
        <w:spacing w:line="240" w:lineRule="auto"/>
        <w:jc w:val="both"/>
      </w:pPr>
      <w:r>
        <w:br w:type="page"/>
      </w:r>
    </w:p>
    <w:p w:rsidR="00BD7B44" w:rsidRDefault="00B569A8">
      <w:pPr>
        <w:spacing w:line="240" w:lineRule="auto"/>
        <w:jc w:val="both"/>
        <w:rPr>
          <w:b/>
        </w:rPr>
      </w:pPr>
      <w:r>
        <w:rPr>
          <w:b/>
        </w:rPr>
        <w:lastRenderedPageBreak/>
        <w:t>Figure S3</w:t>
      </w:r>
      <w:r>
        <w:t>: Replicate one IMS analysis of the twelve characterized metabolites seen in Figure 2. Statistical analysis reveals where a signal has altered regulation within the colony (*) or in the surrounding agar (</w:t>
      </w:r>
      <w:r>
        <w:t>ᵻ</w:t>
      </w:r>
      <w:r>
        <w:t>) (p&lt;0.05).</w:t>
      </w:r>
    </w:p>
    <w:p w:rsidR="00BD7B44" w:rsidRDefault="00BD7B44">
      <w:pPr>
        <w:spacing w:line="240" w:lineRule="auto"/>
        <w:jc w:val="both"/>
        <w:rPr>
          <w:b/>
        </w:rPr>
      </w:pPr>
    </w:p>
    <w:p w:rsidR="00BD7B44" w:rsidRDefault="00B569A8">
      <w:pPr>
        <w:spacing w:line="240" w:lineRule="auto"/>
        <w:jc w:val="both"/>
        <w:rPr>
          <w:b/>
        </w:rPr>
      </w:pPr>
      <w:r>
        <w:rPr>
          <w:b/>
          <w:noProof/>
        </w:rPr>
        <w:drawing>
          <wp:inline distT="114300" distB="114300" distL="114300" distR="114300">
            <wp:extent cx="5943600" cy="1727200"/>
            <wp:effectExtent l="0" t="0" r="0" b="0"/>
            <wp:docPr id="1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5"/>
                    <a:srcRect/>
                    <a:stretch>
                      <a:fillRect/>
                    </a:stretch>
                  </pic:blipFill>
                  <pic:spPr>
                    <a:xfrm>
                      <a:off x="0" y="0"/>
                      <a:ext cx="5943600" cy="1727200"/>
                    </a:xfrm>
                    <a:prstGeom prst="rect">
                      <a:avLst/>
                    </a:prstGeom>
                    <a:ln/>
                  </pic:spPr>
                </pic:pic>
              </a:graphicData>
            </a:graphic>
          </wp:inline>
        </w:drawing>
      </w:r>
    </w:p>
    <w:p w:rsidR="00BD7B44" w:rsidRDefault="00BD7B44">
      <w:pPr>
        <w:spacing w:line="240" w:lineRule="auto"/>
        <w:jc w:val="both"/>
        <w:rPr>
          <w:b/>
        </w:rPr>
      </w:pPr>
    </w:p>
    <w:p w:rsidR="00BD7B44" w:rsidRDefault="00B569A8">
      <w:pPr>
        <w:spacing w:line="240" w:lineRule="auto"/>
        <w:jc w:val="both"/>
        <w:rPr>
          <w:b/>
        </w:rPr>
      </w:pPr>
      <w:r>
        <w:br w:type="page"/>
      </w:r>
    </w:p>
    <w:p w:rsidR="00BD7B44" w:rsidRDefault="00B569A8">
      <w:pPr>
        <w:spacing w:line="240" w:lineRule="auto"/>
        <w:jc w:val="both"/>
      </w:pPr>
      <w:r>
        <w:rPr>
          <w:b/>
        </w:rPr>
        <w:lastRenderedPageBreak/>
        <w:t>Figure S4</w:t>
      </w:r>
      <w:r>
        <w:t>: Replicate two IMS anal</w:t>
      </w:r>
      <w:r>
        <w:t>ysis of the twelve characterized metabolites seen in Figure 2. Statistical analysis reveals where a signal has altered regulation within the colony (*) or in the surrounding agar (</w:t>
      </w:r>
      <w:r>
        <w:t>ᵻ</w:t>
      </w:r>
      <w:r>
        <w:t>) (p&lt;0.05).</w:t>
      </w:r>
    </w:p>
    <w:p w:rsidR="00BD7B44" w:rsidRDefault="00BD7B44">
      <w:pPr>
        <w:spacing w:line="240" w:lineRule="auto"/>
        <w:jc w:val="both"/>
      </w:pPr>
    </w:p>
    <w:p w:rsidR="00BD7B44" w:rsidRDefault="00B569A8">
      <w:pPr>
        <w:spacing w:line="240" w:lineRule="auto"/>
        <w:jc w:val="both"/>
        <w:rPr>
          <w:b/>
        </w:rPr>
      </w:pPr>
      <w:r>
        <w:rPr>
          <w:b/>
          <w:noProof/>
        </w:rPr>
        <w:drawing>
          <wp:inline distT="114300" distB="114300" distL="114300" distR="114300">
            <wp:extent cx="5943600" cy="1778000"/>
            <wp:effectExtent l="0" t="0" r="0" b="0"/>
            <wp:docPr id="2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6"/>
                    <a:srcRect/>
                    <a:stretch>
                      <a:fillRect/>
                    </a:stretch>
                  </pic:blipFill>
                  <pic:spPr>
                    <a:xfrm>
                      <a:off x="0" y="0"/>
                      <a:ext cx="5943600" cy="1778000"/>
                    </a:xfrm>
                    <a:prstGeom prst="rect">
                      <a:avLst/>
                    </a:prstGeom>
                    <a:ln/>
                  </pic:spPr>
                </pic:pic>
              </a:graphicData>
            </a:graphic>
          </wp:inline>
        </w:drawing>
      </w:r>
    </w:p>
    <w:p w:rsidR="00BD7B44" w:rsidRDefault="00BD7B44">
      <w:pPr>
        <w:spacing w:line="240" w:lineRule="auto"/>
        <w:jc w:val="both"/>
        <w:rPr>
          <w:b/>
        </w:rPr>
      </w:pPr>
    </w:p>
    <w:p w:rsidR="00BD7B44" w:rsidRDefault="00B569A8">
      <w:pPr>
        <w:spacing w:line="240" w:lineRule="auto"/>
        <w:jc w:val="both"/>
        <w:rPr>
          <w:b/>
        </w:rPr>
      </w:pPr>
      <w:r>
        <w:br w:type="page"/>
      </w:r>
    </w:p>
    <w:p w:rsidR="00BD7B44" w:rsidRDefault="00B569A8">
      <w:pPr>
        <w:spacing w:line="240" w:lineRule="auto"/>
        <w:jc w:val="both"/>
      </w:pPr>
      <w:r>
        <w:rPr>
          <w:b/>
        </w:rPr>
        <w:lastRenderedPageBreak/>
        <w:t>Figure S5</w:t>
      </w:r>
      <w:r>
        <w:t>: Replicate three IMS analysis of the twelve cha</w:t>
      </w:r>
      <w:r>
        <w:t>racterized metabolites seen in Figure 2. Statistical analysis reveals where a signal has altered regulation within the colony (*) or in the surrounding agar (</w:t>
      </w:r>
      <w:r>
        <w:t>ᵻ</w:t>
      </w:r>
      <w:r>
        <w:t>) (p&lt;0.05).</w:t>
      </w:r>
    </w:p>
    <w:p w:rsidR="00BD7B44" w:rsidRDefault="00BD7B44">
      <w:pPr>
        <w:spacing w:line="240" w:lineRule="auto"/>
        <w:jc w:val="both"/>
      </w:pPr>
    </w:p>
    <w:p w:rsidR="00BD7B44" w:rsidRDefault="00B569A8">
      <w:pPr>
        <w:spacing w:line="240" w:lineRule="auto"/>
        <w:jc w:val="both"/>
      </w:pPr>
      <w:r>
        <w:rPr>
          <w:noProof/>
        </w:rPr>
        <w:drawing>
          <wp:inline distT="114300" distB="114300" distL="114300" distR="114300">
            <wp:extent cx="5943600" cy="1689100"/>
            <wp:effectExtent l="0" t="0" r="0" b="0"/>
            <wp:docPr id="1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7"/>
                    <a:srcRect/>
                    <a:stretch>
                      <a:fillRect/>
                    </a:stretch>
                  </pic:blipFill>
                  <pic:spPr>
                    <a:xfrm>
                      <a:off x="0" y="0"/>
                      <a:ext cx="5943600" cy="1689100"/>
                    </a:xfrm>
                    <a:prstGeom prst="rect">
                      <a:avLst/>
                    </a:prstGeom>
                    <a:ln/>
                  </pic:spPr>
                </pic:pic>
              </a:graphicData>
            </a:graphic>
          </wp:inline>
        </w:drawing>
      </w:r>
    </w:p>
    <w:p w:rsidR="00BD7B44" w:rsidRDefault="00BD7B44">
      <w:pPr>
        <w:spacing w:line="240" w:lineRule="auto"/>
        <w:jc w:val="both"/>
        <w:rPr>
          <w:b/>
        </w:rPr>
      </w:pPr>
    </w:p>
    <w:p w:rsidR="00BD7B44" w:rsidRDefault="00BD7B44">
      <w:pPr>
        <w:spacing w:line="240" w:lineRule="auto"/>
        <w:jc w:val="both"/>
        <w:rPr>
          <w:b/>
        </w:rPr>
      </w:pPr>
    </w:p>
    <w:p w:rsidR="00BD7B44" w:rsidRDefault="00B569A8">
      <w:pPr>
        <w:spacing w:line="240" w:lineRule="auto"/>
        <w:jc w:val="both"/>
        <w:rPr>
          <w:b/>
        </w:rPr>
      </w:pPr>
      <w:r>
        <w:br w:type="page"/>
      </w:r>
    </w:p>
    <w:p w:rsidR="00BD7B44" w:rsidRDefault="00B569A8">
      <w:pPr>
        <w:spacing w:line="240" w:lineRule="auto"/>
        <w:jc w:val="both"/>
      </w:pPr>
      <w:r>
        <w:rPr>
          <w:b/>
        </w:rPr>
        <w:lastRenderedPageBreak/>
        <w:t xml:space="preserve">Figure S6: </w:t>
      </w:r>
      <w:r>
        <w:t>IMS of PA14 mutants revealed TLCA exposure induced an increase in p</w:t>
      </w:r>
      <w:r>
        <w:t xml:space="preserve">yochelin production in only the </w:t>
      </w:r>
      <w:proofErr w:type="spellStart"/>
      <w:r>
        <w:rPr>
          <w:i/>
        </w:rPr>
        <w:t>pqsH</w:t>
      </w:r>
      <w:proofErr w:type="spellEnd"/>
      <w:r>
        <w:rPr>
          <w:i/>
        </w:rPr>
        <w:t xml:space="preserve"> </w:t>
      </w:r>
      <w:r>
        <w:t>knockout, resembling the trend observed in wild type experiments. ♱♱ denotes the observed regulation was statistically significant over three biological replicates (p&lt;0.05)</w:t>
      </w:r>
    </w:p>
    <w:p w:rsidR="00BD7B44" w:rsidRDefault="00B569A8">
      <w:pPr>
        <w:spacing w:line="240" w:lineRule="auto"/>
        <w:jc w:val="center"/>
        <w:rPr>
          <w:b/>
        </w:rPr>
      </w:pPr>
      <w:r>
        <w:rPr>
          <w:b/>
          <w:noProof/>
        </w:rPr>
        <w:drawing>
          <wp:inline distT="19050" distB="19050" distL="19050" distR="19050">
            <wp:extent cx="5284247" cy="2751175"/>
            <wp:effectExtent l="0" t="0" r="0" b="0"/>
            <wp:docPr id="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8"/>
                    <a:srcRect/>
                    <a:stretch>
                      <a:fillRect/>
                    </a:stretch>
                  </pic:blipFill>
                  <pic:spPr>
                    <a:xfrm>
                      <a:off x="0" y="0"/>
                      <a:ext cx="5284247" cy="2751175"/>
                    </a:xfrm>
                    <a:prstGeom prst="rect">
                      <a:avLst/>
                    </a:prstGeom>
                    <a:ln/>
                  </pic:spPr>
                </pic:pic>
              </a:graphicData>
            </a:graphic>
          </wp:inline>
        </w:drawing>
      </w:r>
    </w:p>
    <w:p w:rsidR="00BD7B44" w:rsidRDefault="00B569A8">
      <w:pPr>
        <w:spacing w:line="240" w:lineRule="auto"/>
        <w:jc w:val="both"/>
        <w:rPr>
          <w:b/>
        </w:rPr>
      </w:pPr>
      <w:r>
        <w:br w:type="page"/>
      </w:r>
    </w:p>
    <w:p w:rsidR="00BD7B44" w:rsidRDefault="00B569A8">
      <w:pPr>
        <w:spacing w:line="240" w:lineRule="auto"/>
        <w:jc w:val="both"/>
      </w:pPr>
      <w:r>
        <w:rPr>
          <w:b/>
        </w:rPr>
        <w:lastRenderedPageBreak/>
        <w:t xml:space="preserve">Figure S7: </w:t>
      </w:r>
      <w:r>
        <w:t>HPLC chromatogram and UV-Vis sp</w:t>
      </w:r>
      <w:r>
        <w:t>ectra of phenazine-1-carboxylic acid (PCA) standard (green solid line) and PA14 extract (red dashed line). PCA is characterized by UV maxima at 250 nm and 370 nm.</w:t>
      </w:r>
    </w:p>
    <w:p w:rsidR="00BD7B44" w:rsidRDefault="00B569A8">
      <w:pPr>
        <w:spacing w:line="240" w:lineRule="auto"/>
        <w:jc w:val="center"/>
        <w:rPr>
          <w:b/>
        </w:rPr>
      </w:pPr>
      <w:r>
        <w:rPr>
          <w:b/>
        </w:rPr>
        <w:t xml:space="preserve"> </w:t>
      </w:r>
      <w:r>
        <w:rPr>
          <w:b/>
          <w:noProof/>
        </w:rPr>
        <w:drawing>
          <wp:inline distT="114300" distB="114300" distL="114300" distR="114300">
            <wp:extent cx="5943600" cy="3898900"/>
            <wp:effectExtent l="0" t="0" r="0" b="0"/>
            <wp:docPr id="1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9"/>
                    <a:srcRect/>
                    <a:stretch>
                      <a:fillRect/>
                    </a:stretch>
                  </pic:blipFill>
                  <pic:spPr>
                    <a:xfrm>
                      <a:off x="0" y="0"/>
                      <a:ext cx="5943600" cy="3898900"/>
                    </a:xfrm>
                    <a:prstGeom prst="rect">
                      <a:avLst/>
                    </a:prstGeom>
                    <a:ln/>
                  </pic:spPr>
                </pic:pic>
              </a:graphicData>
            </a:graphic>
          </wp:inline>
        </w:drawing>
      </w:r>
    </w:p>
    <w:p w:rsidR="00BD7B44" w:rsidRDefault="00B569A8">
      <w:pPr>
        <w:spacing w:line="240" w:lineRule="auto"/>
        <w:jc w:val="both"/>
        <w:rPr>
          <w:b/>
        </w:rPr>
      </w:pPr>
      <w:r>
        <w:br w:type="page"/>
      </w:r>
    </w:p>
    <w:p w:rsidR="00BD7B44" w:rsidRDefault="00B569A8">
      <w:pPr>
        <w:spacing w:line="240" w:lineRule="auto"/>
        <w:jc w:val="both"/>
      </w:pPr>
      <w:r>
        <w:rPr>
          <w:b/>
        </w:rPr>
        <w:lastRenderedPageBreak/>
        <w:t xml:space="preserve">Figure S8: </w:t>
      </w:r>
      <w:r>
        <w:t>GNPS result comparing raw tandem MS/MS spectrum (black/top) to library hit for pyochelin (green/bottom) confirming the identification of pyochelin in the PA14 extract with a cosine similarity score of 0.93.</w:t>
      </w:r>
      <w:r>
        <w:rPr>
          <w:noProof/>
        </w:rPr>
        <w:drawing>
          <wp:inline distT="114300" distB="114300" distL="114300" distR="114300">
            <wp:extent cx="5943600" cy="3771900"/>
            <wp:effectExtent l="0" t="0" r="0" b="0"/>
            <wp:docPr id="1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0"/>
                    <a:srcRect/>
                    <a:stretch>
                      <a:fillRect/>
                    </a:stretch>
                  </pic:blipFill>
                  <pic:spPr>
                    <a:xfrm>
                      <a:off x="0" y="0"/>
                      <a:ext cx="5943600" cy="3771900"/>
                    </a:xfrm>
                    <a:prstGeom prst="rect">
                      <a:avLst/>
                    </a:prstGeom>
                    <a:ln/>
                  </pic:spPr>
                </pic:pic>
              </a:graphicData>
            </a:graphic>
          </wp:inline>
        </w:drawing>
      </w:r>
    </w:p>
    <w:p w:rsidR="00BD7B44" w:rsidRDefault="00BD7B44">
      <w:pPr>
        <w:spacing w:line="240" w:lineRule="auto"/>
        <w:jc w:val="both"/>
      </w:pPr>
    </w:p>
    <w:p w:rsidR="00BD7B44" w:rsidRDefault="00BD7B44">
      <w:pPr>
        <w:spacing w:line="240" w:lineRule="auto"/>
        <w:jc w:val="both"/>
      </w:pPr>
    </w:p>
    <w:p w:rsidR="00BD7B44" w:rsidRDefault="00B569A8">
      <w:pPr>
        <w:spacing w:line="240" w:lineRule="auto"/>
        <w:jc w:val="both"/>
        <w:rPr>
          <w:b/>
        </w:rPr>
      </w:pPr>
      <w:r>
        <w:br w:type="page"/>
      </w:r>
    </w:p>
    <w:p w:rsidR="00BD7B44" w:rsidRDefault="00B569A8">
      <w:pPr>
        <w:spacing w:line="240" w:lineRule="auto"/>
        <w:jc w:val="both"/>
      </w:pPr>
      <w:r>
        <w:rPr>
          <w:b/>
        </w:rPr>
        <w:lastRenderedPageBreak/>
        <w:t xml:space="preserve">Figure S9: </w:t>
      </w:r>
      <w:r>
        <w:t>HPLC chromatogram and UV-Vis spec</w:t>
      </w:r>
      <w:r>
        <w:t xml:space="preserve">tra of isolated pyochelin (PCH) from PA14 extract. Fe-bound PCH is characterized by UV maxima at 237 nm, 255 nm, and 325 nm </w:t>
      </w:r>
      <w:hyperlink r:id="rId21">
        <w:r>
          <w:rPr>
            <w:color w:val="000000"/>
          </w:rPr>
          <w:t>[3]</w:t>
        </w:r>
      </w:hyperlink>
      <w:r>
        <w:t>.</w:t>
      </w:r>
    </w:p>
    <w:p w:rsidR="00BD7B44" w:rsidRDefault="00B569A8">
      <w:pPr>
        <w:spacing w:line="240" w:lineRule="auto"/>
        <w:jc w:val="both"/>
        <w:rPr>
          <w:b/>
        </w:rPr>
      </w:pPr>
      <w:r>
        <w:rPr>
          <w:b/>
          <w:noProof/>
        </w:rPr>
        <w:drawing>
          <wp:inline distT="114300" distB="114300" distL="114300" distR="114300">
            <wp:extent cx="5943600" cy="4457700"/>
            <wp:effectExtent l="0" t="0" r="0" b="0"/>
            <wp:docPr id="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2"/>
                    <a:srcRect/>
                    <a:stretch>
                      <a:fillRect/>
                    </a:stretch>
                  </pic:blipFill>
                  <pic:spPr>
                    <a:xfrm>
                      <a:off x="0" y="0"/>
                      <a:ext cx="5943600" cy="4457700"/>
                    </a:xfrm>
                    <a:prstGeom prst="rect">
                      <a:avLst/>
                    </a:prstGeom>
                    <a:ln/>
                  </pic:spPr>
                </pic:pic>
              </a:graphicData>
            </a:graphic>
          </wp:inline>
        </w:drawing>
      </w:r>
    </w:p>
    <w:p w:rsidR="00BD7B44" w:rsidRDefault="00B569A8">
      <w:pPr>
        <w:spacing w:line="240" w:lineRule="auto"/>
        <w:jc w:val="both"/>
        <w:rPr>
          <w:b/>
        </w:rPr>
      </w:pPr>
      <w:r>
        <w:br w:type="page"/>
      </w:r>
    </w:p>
    <w:p w:rsidR="00BD7B44" w:rsidRDefault="00B569A8">
      <w:pPr>
        <w:spacing w:line="240" w:lineRule="auto"/>
        <w:jc w:val="both"/>
      </w:pPr>
      <w:r>
        <w:rPr>
          <w:b/>
        </w:rPr>
        <w:lastRenderedPageBreak/>
        <w:t>Table S1</w:t>
      </w:r>
      <w:r>
        <w:t xml:space="preserve">: Statistically significant signals from IMS experiments. </w:t>
      </w:r>
      <w:proofErr w:type="spellStart"/>
      <w:r>
        <w:t>Bu</w:t>
      </w:r>
      <w:r>
        <w:t>rker’s</w:t>
      </w:r>
      <w:proofErr w:type="spellEnd"/>
      <w:r>
        <w:t xml:space="preserve"> </w:t>
      </w:r>
      <w:proofErr w:type="spellStart"/>
      <w:r>
        <w:t>SCiLS</w:t>
      </w:r>
      <w:proofErr w:type="spellEnd"/>
      <w:r>
        <w:t xml:space="preserve"> software identified that all signals had significant altered regulation when exposed to TLCA whether within the bacterial colony (*) or from excretion in the surrounding agar (</w:t>
      </w:r>
      <w:r>
        <w:t>ᵻ</w:t>
      </w:r>
      <w:r>
        <w:t>) (p&lt;0.05). NS = not significant.</w:t>
      </w:r>
    </w:p>
    <w:p w:rsidR="00BD7B44" w:rsidRDefault="00BD7B44">
      <w:pPr>
        <w:spacing w:line="240" w:lineRule="auto"/>
        <w:jc w:val="both"/>
      </w:pPr>
    </w:p>
    <w:p w:rsidR="00BD7B44" w:rsidRDefault="00B569A8">
      <w:pPr>
        <w:spacing w:line="240" w:lineRule="auto"/>
        <w:jc w:val="center"/>
      </w:pPr>
      <w:r>
        <w:rPr>
          <w:noProof/>
        </w:rPr>
        <w:drawing>
          <wp:inline distT="114300" distB="114300" distL="114300" distR="114300">
            <wp:extent cx="5943600" cy="2044700"/>
            <wp:effectExtent l="0" t="0" r="0" b="0"/>
            <wp:docPr id="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3"/>
                    <a:srcRect/>
                    <a:stretch>
                      <a:fillRect/>
                    </a:stretch>
                  </pic:blipFill>
                  <pic:spPr>
                    <a:xfrm>
                      <a:off x="0" y="0"/>
                      <a:ext cx="5943600" cy="2044700"/>
                    </a:xfrm>
                    <a:prstGeom prst="rect">
                      <a:avLst/>
                    </a:prstGeom>
                    <a:ln/>
                  </pic:spPr>
                </pic:pic>
              </a:graphicData>
            </a:graphic>
          </wp:inline>
        </w:drawing>
      </w:r>
    </w:p>
    <w:p w:rsidR="00BD7B44" w:rsidRDefault="00BD7B44">
      <w:pPr>
        <w:spacing w:line="240" w:lineRule="auto"/>
        <w:jc w:val="both"/>
      </w:pPr>
    </w:p>
    <w:p w:rsidR="00BD7B44" w:rsidRDefault="00BD7B44">
      <w:pPr>
        <w:spacing w:line="240" w:lineRule="auto"/>
        <w:jc w:val="center"/>
      </w:pPr>
    </w:p>
    <w:p w:rsidR="00BD7B44" w:rsidRDefault="00B569A8">
      <w:pPr>
        <w:spacing w:line="240" w:lineRule="auto"/>
        <w:rPr>
          <w:b/>
        </w:rPr>
      </w:pPr>
      <w:r>
        <w:br w:type="page"/>
      </w:r>
    </w:p>
    <w:p w:rsidR="00BD7B44" w:rsidRDefault="00B569A8">
      <w:pPr>
        <w:spacing w:line="240" w:lineRule="auto"/>
      </w:pPr>
      <w:r>
        <w:rPr>
          <w:b/>
        </w:rPr>
        <w:lastRenderedPageBreak/>
        <w:t>Table S2</w:t>
      </w:r>
      <w:r>
        <w:t>: Calculated Mass</w:t>
      </w:r>
      <w:r>
        <w:t xml:space="preserve"> Error from IMS analysis. Using Matrix cluster as a reference the average mass error for the experiment was calculated. </w:t>
      </w:r>
    </w:p>
    <w:p w:rsidR="00BD7B44" w:rsidRDefault="00B569A8">
      <w:pPr>
        <w:spacing w:line="240" w:lineRule="auto"/>
        <w:jc w:val="both"/>
      </w:pPr>
      <w:r>
        <w:rPr>
          <w:noProof/>
        </w:rPr>
        <w:drawing>
          <wp:inline distT="114300" distB="114300" distL="114300" distR="114300">
            <wp:extent cx="5943600" cy="1549400"/>
            <wp:effectExtent l="0" t="0" r="0" b="0"/>
            <wp:docPr id="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4"/>
                    <a:srcRect/>
                    <a:stretch>
                      <a:fillRect/>
                    </a:stretch>
                  </pic:blipFill>
                  <pic:spPr>
                    <a:xfrm>
                      <a:off x="0" y="0"/>
                      <a:ext cx="5943600" cy="1549400"/>
                    </a:xfrm>
                    <a:prstGeom prst="rect">
                      <a:avLst/>
                    </a:prstGeom>
                    <a:ln/>
                  </pic:spPr>
                </pic:pic>
              </a:graphicData>
            </a:graphic>
          </wp:inline>
        </w:drawing>
      </w:r>
    </w:p>
    <w:p w:rsidR="00BD7B44" w:rsidRDefault="00BD7B44">
      <w:pPr>
        <w:spacing w:line="240" w:lineRule="auto"/>
        <w:jc w:val="both"/>
      </w:pPr>
    </w:p>
    <w:p w:rsidR="00BD7B44" w:rsidRDefault="00BD7B44">
      <w:pPr>
        <w:spacing w:line="240" w:lineRule="auto"/>
        <w:jc w:val="both"/>
      </w:pPr>
    </w:p>
    <w:p w:rsidR="00BD7B44" w:rsidRDefault="00BD7B44">
      <w:pPr>
        <w:spacing w:line="240" w:lineRule="auto"/>
        <w:jc w:val="both"/>
      </w:pPr>
    </w:p>
    <w:p w:rsidR="00BD7B44" w:rsidRDefault="00BD7B44">
      <w:pPr>
        <w:spacing w:line="240" w:lineRule="auto"/>
        <w:jc w:val="both"/>
      </w:pPr>
    </w:p>
    <w:p w:rsidR="00BD7B44" w:rsidRDefault="00BD7B44">
      <w:pPr>
        <w:spacing w:line="240" w:lineRule="auto"/>
        <w:jc w:val="both"/>
      </w:pPr>
    </w:p>
    <w:p w:rsidR="00BD7B44" w:rsidRDefault="00BD7B44">
      <w:pPr>
        <w:spacing w:line="240" w:lineRule="auto"/>
        <w:jc w:val="both"/>
      </w:pPr>
    </w:p>
    <w:p w:rsidR="00BD7B44" w:rsidRDefault="00BD7B44">
      <w:pPr>
        <w:spacing w:line="240" w:lineRule="auto"/>
        <w:jc w:val="both"/>
      </w:pPr>
    </w:p>
    <w:p w:rsidR="00BD7B44" w:rsidRDefault="00BD7B44">
      <w:pPr>
        <w:spacing w:line="240" w:lineRule="auto"/>
        <w:jc w:val="both"/>
      </w:pPr>
    </w:p>
    <w:p w:rsidR="00BD7B44" w:rsidRDefault="00BD7B44">
      <w:pPr>
        <w:spacing w:line="240" w:lineRule="auto"/>
        <w:jc w:val="both"/>
      </w:pPr>
    </w:p>
    <w:p w:rsidR="00BD7B44" w:rsidRDefault="00BD7B44">
      <w:pPr>
        <w:spacing w:line="240" w:lineRule="auto"/>
        <w:jc w:val="both"/>
      </w:pPr>
    </w:p>
    <w:p w:rsidR="00BD7B44" w:rsidRDefault="00BD7B44">
      <w:pPr>
        <w:spacing w:line="240" w:lineRule="auto"/>
        <w:jc w:val="both"/>
      </w:pPr>
    </w:p>
    <w:p w:rsidR="00BD7B44" w:rsidRDefault="00BD7B44">
      <w:pPr>
        <w:spacing w:line="240" w:lineRule="auto"/>
        <w:jc w:val="both"/>
      </w:pPr>
    </w:p>
    <w:p w:rsidR="00BD7B44" w:rsidRDefault="00BD7B44">
      <w:pPr>
        <w:spacing w:line="240" w:lineRule="auto"/>
        <w:jc w:val="both"/>
      </w:pPr>
    </w:p>
    <w:p w:rsidR="00BD7B44" w:rsidRDefault="00BD7B44">
      <w:pPr>
        <w:spacing w:line="240" w:lineRule="auto"/>
        <w:jc w:val="both"/>
      </w:pPr>
    </w:p>
    <w:p w:rsidR="00BD7B44" w:rsidRDefault="00BD7B44">
      <w:pPr>
        <w:spacing w:line="240" w:lineRule="auto"/>
        <w:jc w:val="both"/>
      </w:pPr>
    </w:p>
    <w:p w:rsidR="00BD7B44" w:rsidRDefault="00BD7B44">
      <w:pPr>
        <w:spacing w:line="240" w:lineRule="auto"/>
        <w:jc w:val="both"/>
      </w:pPr>
    </w:p>
    <w:p w:rsidR="00BD7B44" w:rsidRDefault="00B569A8">
      <w:pPr>
        <w:spacing w:line="240" w:lineRule="auto"/>
        <w:jc w:val="both"/>
        <w:rPr>
          <w:b/>
        </w:rPr>
      </w:pPr>
      <w:r>
        <w:br w:type="page"/>
      </w:r>
    </w:p>
    <w:p w:rsidR="00BD7B44" w:rsidRDefault="00B569A8">
      <w:pPr>
        <w:spacing w:line="240" w:lineRule="auto"/>
        <w:jc w:val="both"/>
        <w:rPr>
          <w:b/>
        </w:rPr>
      </w:pPr>
      <w:r>
        <w:rPr>
          <w:b/>
        </w:rPr>
        <w:lastRenderedPageBreak/>
        <w:t>Table S3</w:t>
      </w:r>
      <w:r>
        <w:t>: Pairwise comparisons of the survival curves of all groups from wax moth virulence assay. Comparison is significant if p&lt;0.05.</w:t>
      </w:r>
    </w:p>
    <w:p w:rsidR="00BD7B44" w:rsidRDefault="00BD7B44">
      <w:pPr>
        <w:spacing w:line="240" w:lineRule="auto"/>
        <w:jc w:val="both"/>
        <w:rPr>
          <w:b/>
        </w:rPr>
      </w:pPr>
    </w:p>
    <w:p w:rsidR="00BD7B44" w:rsidRDefault="00B569A8">
      <w:pPr>
        <w:spacing w:line="240" w:lineRule="auto"/>
        <w:jc w:val="center"/>
        <w:rPr>
          <w:b/>
        </w:rPr>
      </w:pPr>
      <w:r>
        <w:rPr>
          <w:b/>
          <w:noProof/>
        </w:rPr>
        <w:drawing>
          <wp:inline distT="114300" distB="114300" distL="114300" distR="114300">
            <wp:extent cx="2903290" cy="3090863"/>
            <wp:effectExtent l="0" t="0" r="0" b="0"/>
            <wp:docPr id="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5"/>
                    <a:srcRect/>
                    <a:stretch>
                      <a:fillRect/>
                    </a:stretch>
                  </pic:blipFill>
                  <pic:spPr>
                    <a:xfrm>
                      <a:off x="0" y="0"/>
                      <a:ext cx="2903290" cy="3090863"/>
                    </a:xfrm>
                    <a:prstGeom prst="rect">
                      <a:avLst/>
                    </a:prstGeom>
                    <a:ln/>
                  </pic:spPr>
                </pic:pic>
              </a:graphicData>
            </a:graphic>
          </wp:inline>
        </w:drawing>
      </w: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569A8">
      <w:pPr>
        <w:spacing w:line="240" w:lineRule="auto"/>
        <w:jc w:val="both"/>
      </w:pPr>
      <w:r>
        <w:rPr>
          <w:b/>
        </w:rPr>
        <w:lastRenderedPageBreak/>
        <w:t>Table S4</w:t>
      </w:r>
      <w:r>
        <w:t xml:space="preserve">: Statistically significant signals of pyochelin from mutant PA14 IMS experiments (p&lt;0.05). </w:t>
      </w:r>
      <w:proofErr w:type="spellStart"/>
      <w:r>
        <w:t>Burker’s</w:t>
      </w:r>
      <w:proofErr w:type="spellEnd"/>
      <w:r>
        <w:t xml:space="preserve"> </w:t>
      </w:r>
      <w:proofErr w:type="spellStart"/>
      <w:r>
        <w:t>SCiLS</w:t>
      </w:r>
      <w:proofErr w:type="spellEnd"/>
      <w:r>
        <w:t xml:space="preserve"> software identified when pyochelin had significant altered regulation when exposed to TLCA; upregulated (green), downregulated (red), or NS = not sig</w:t>
      </w:r>
      <w:r>
        <w:t>nificant.</w:t>
      </w:r>
    </w:p>
    <w:p w:rsidR="00BD7B44" w:rsidRDefault="00BD7B44">
      <w:pPr>
        <w:spacing w:line="240" w:lineRule="auto"/>
        <w:jc w:val="both"/>
      </w:pPr>
    </w:p>
    <w:p w:rsidR="00BD7B44" w:rsidRDefault="00B569A8">
      <w:pPr>
        <w:spacing w:line="240" w:lineRule="auto"/>
        <w:jc w:val="both"/>
      </w:pPr>
      <w:r>
        <w:rPr>
          <w:noProof/>
        </w:rPr>
        <w:drawing>
          <wp:inline distT="114300" distB="114300" distL="114300" distR="114300">
            <wp:extent cx="4956377" cy="1052513"/>
            <wp:effectExtent l="0" t="0" r="0" b="0"/>
            <wp:docPr id="1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6"/>
                    <a:srcRect/>
                    <a:stretch>
                      <a:fillRect/>
                    </a:stretch>
                  </pic:blipFill>
                  <pic:spPr>
                    <a:xfrm>
                      <a:off x="0" y="0"/>
                      <a:ext cx="4956377" cy="1052513"/>
                    </a:xfrm>
                    <a:prstGeom prst="rect">
                      <a:avLst/>
                    </a:prstGeom>
                    <a:ln/>
                  </pic:spPr>
                </pic:pic>
              </a:graphicData>
            </a:graphic>
          </wp:inline>
        </w:drawing>
      </w:r>
    </w:p>
    <w:p w:rsidR="00BD7B44" w:rsidRDefault="00BD7B44">
      <w:pPr>
        <w:spacing w:line="240" w:lineRule="auto"/>
        <w:jc w:val="both"/>
      </w:pPr>
    </w:p>
    <w:p w:rsidR="00BD7B44" w:rsidRDefault="00B569A8">
      <w:pPr>
        <w:spacing w:line="240" w:lineRule="auto"/>
        <w:jc w:val="both"/>
        <w:rPr>
          <w:b/>
        </w:rPr>
      </w:pPr>
      <w:r>
        <w:br w:type="page"/>
      </w:r>
    </w:p>
    <w:p w:rsidR="00BD7B44" w:rsidRDefault="00B569A8">
      <w:pPr>
        <w:spacing w:line="240" w:lineRule="auto"/>
        <w:jc w:val="both"/>
      </w:pPr>
      <w:r>
        <w:rPr>
          <w:b/>
        </w:rPr>
        <w:lastRenderedPageBreak/>
        <w:t>Table S5</w:t>
      </w:r>
      <w:r>
        <w:t xml:space="preserve">: Mass errors from </w:t>
      </w:r>
      <w:proofErr w:type="spellStart"/>
      <w:r>
        <w:rPr>
          <w:i/>
        </w:rPr>
        <w:t>pqsA</w:t>
      </w:r>
      <w:proofErr w:type="spellEnd"/>
      <w:r>
        <w:rPr>
          <w:i/>
        </w:rPr>
        <w:t xml:space="preserve">-C </w:t>
      </w:r>
      <w:r>
        <w:t>replicate IMS experiments.</w:t>
      </w:r>
    </w:p>
    <w:p w:rsidR="00BD7B44" w:rsidRDefault="00B569A8">
      <w:pPr>
        <w:spacing w:line="240" w:lineRule="auto"/>
        <w:jc w:val="both"/>
        <w:rPr>
          <w:b/>
        </w:rPr>
      </w:pPr>
      <w:r>
        <w:rPr>
          <w:b/>
          <w:noProof/>
        </w:rPr>
        <w:drawing>
          <wp:inline distT="114300" distB="114300" distL="114300" distR="114300">
            <wp:extent cx="5943600" cy="1917700"/>
            <wp:effectExtent l="0" t="0" r="0" b="0"/>
            <wp:docPr id="1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7"/>
                    <a:srcRect/>
                    <a:stretch>
                      <a:fillRect/>
                    </a:stretch>
                  </pic:blipFill>
                  <pic:spPr>
                    <a:xfrm>
                      <a:off x="0" y="0"/>
                      <a:ext cx="5943600" cy="1917700"/>
                    </a:xfrm>
                    <a:prstGeom prst="rect">
                      <a:avLst/>
                    </a:prstGeom>
                    <a:ln/>
                  </pic:spPr>
                </pic:pic>
              </a:graphicData>
            </a:graphic>
          </wp:inline>
        </w:drawing>
      </w:r>
    </w:p>
    <w:p w:rsidR="00BD7B44" w:rsidRDefault="00BD7B44">
      <w:pPr>
        <w:spacing w:line="240" w:lineRule="auto"/>
        <w:jc w:val="both"/>
        <w:rPr>
          <w:b/>
        </w:rPr>
      </w:pPr>
    </w:p>
    <w:p w:rsidR="00BD7B44" w:rsidRDefault="00B569A8">
      <w:pPr>
        <w:spacing w:line="240" w:lineRule="auto"/>
        <w:jc w:val="both"/>
        <w:rPr>
          <w:b/>
        </w:rPr>
      </w:pPr>
      <w:r>
        <w:br w:type="page"/>
      </w:r>
    </w:p>
    <w:p w:rsidR="00BD7B44" w:rsidRDefault="00B569A8">
      <w:pPr>
        <w:spacing w:line="240" w:lineRule="auto"/>
        <w:jc w:val="both"/>
      </w:pPr>
      <w:r>
        <w:rPr>
          <w:b/>
        </w:rPr>
        <w:lastRenderedPageBreak/>
        <w:t>Table S6</w:t>
      </w:r>
      <w:r>
        <w:t xml:space="preserve">: Mass errors from </w:t>
      </w:r>
      <w:proofErr w:type="spellStart"/>
      <w:r>
        <w:rPr>
          <w:i/>
        </w:rPr>
        <w:t>pqsH</w:t>
      </w:r>
      <w:proofErr w:type="spellEnd"/>
      <w:r>
        <w:rPr>
          <w:i/>
        </w:rPr>
        <w:t xml:space="preserve"> </w:t>
      </w:r>
      <w:r>
        <w:t>replicate IMS experiments.</w:t>
      </w:r>
    </w:p>
    <w:p w:rsidR="00BD7B44" w:rsidRDefault="00B569A8">
      <w:pPr>
        <w:spacing w:line="240" w:lineRule="auto"/>
        <w:jc w:val="both"/>
        <w:rPr>
          <w:b/>
        </w:rPr>
      </w:pPr>
      <w:r>
        <w:rPr>
          <w:b/>
          <w:noProof/>
        </w:rPr>
        <w:drawing>
          <wp:inline distT="114300" distB="114300" distL="114300" distR="114300">
            <wp:extent cx="5943600" cy="1879600"/>
            <wp:effectExtent l="0" t="0" r="0" b="0"/>
            <wp:docPr id="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8"/>
                    <a:srcRect/>
                    <a:stretch>
                      <a:fillRect/>
                    </a:stretch>
                  </pic:blipFill>
                  <pic:spPr>
                    <a:xfrm>
                      <a:off x="0" y="0"/>
                      <a:ext cx="5943600" cy="1879600"/>
                    </a:xfrm>
                    <a:prstGeom prst="rect">
                      <a:avLst/>
                    </a:prstGeom>
                    <a:ln/>
                  </pic:spPr>
                </pic:pic>
              </a:graphicData>
            </a:graphic>
          </wp:inline>
        </w:drawing>
      </w:r>
    </w:p>
    <w:p w:rsidR="00BD7B44" w:rsidRDefault="00BD7B44">
      <w:pPr>
        <w:spacing w:line="240" w:lineRule="auto"/>
        <w:jc w:val="both"/>
        <w:rPr>
          <w:b/>
        </w:rPr>
      </w:pPr>
    </w:p>
    <w:p w:rsidR="00BD7B44" w:rsidRDefault="00B569A8">
      <w:pPr>
        <w:spacing w:line="240" w:lineRule="auto"/>
        <w:jc w:val="both"/>
        <w:rPr>
          <w:b/>
        </w:rPr>
      </w:pPr>
      <w:r>
        <w:br w:type="page"/>
      </w:r>
    </w:p>
    <w:p w:rsidR="00BD7B44" w:rsidRDefault="00B569A8">
      <w:pPr>
        <w:spacing w:line="240" w:lineRule="auto"/>
        <w:jc w:val="both"/>
      </w:pPr>
      <w:r>
        <w:rPr>
          <w:b/>
        </w:rPr>
        <w:lastRenderedPageBreak/>
        <w:t>Table S7</w:t>
      </w:r>
      <w:r>
        <w:t xml:space="preserve">: Mass errors from </w:t>
      </w:r>
      <w:proofErr w:type="spellStart"/>
      <w:r>
        <w:rPr>
          <w:i/>
        </w:rPr>
        <w:t>pqsL</w:t>
      </w:r>
      <w:proofErr w:type="spellEnd"/>
      <w:r>
        <w:rPr>
          <w:i/>
        </w:rPr>
        <w:t xml:space="preserve"> </w:t>
      </w:r>
      <w:r>
        <w:t>replicate IMS experiments.</w:t>
      </w:r>
    </w:p>
    <w:p w:rsidR="00BD7B44" w:rsidRDefault="00B569A8">
      <w:pPr>
        <w:spacing w:line="240" w:lineRule="auto"/>
        <w:jc w:val="both"/>
      </w:pPr>
      <w:r>
        <w:rPr>
          <w:noProof/>
        </w:rPr>
        <w:drawing>
          <wp:inline distT="114300" distB="114300" distL="114300" distR="114300">
            <wp:extent cx="3805238" cy="1866030"/>
            <wp:effectExtent l="0" t="0" r="0" b="0"/>
            <wp:docPr id="2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9"/>
                    <a:srcRect/>
                    <a:stretch>
                      <a:fillRect/>
                    </a:stretch>
                  </pic:blipFill>
                  <pic:spPr>
                    <a:xfrm>
                      <a:off x="0" y="0"/>
                      <a:ext cx="3805238" cy="1866030"/>
                    </a:xfrm>
                    <a:prstGeom prst="rect">
                      <a:avLst/>
                    </a:prstGeom>
                    <a:ln/>
                  </pic:spPr>
                </pic:pic>
              </a:graphicData>
            </a:graphic>
          </wp:inline>
        </w:drawing>
      </w:r>
    </w:p>
    <w:p w:rsidR="00BD7B44" w:rsidRDefault="00BD7B44">
      <w:pPr>
        <w:spacing w:line="240" w:lineRule="auto"/>
        <w:jc w:val="both"/>
        <w:rPr>
          <w:b/>
        </w:rPr>
      </w:pPr>
    </w:p>
    <w:p w:rsidR="00BD7B44" w:rsidRDefault="00B569A8">
      <w:pPr>
        <w:spacing w:line="240" w:lineRule="auto"/>
        <w:jc w:val="both"/>
        <w:rPr>
          <w:b/>
        </w:rPr>
      </w:pPr>
      <w:r>
        <w:br w:type="page"/>
      </w:r>
    </w:p>
    <w:p w:rsidR="00BD7B44" w:rsidRDefault="00B569A8">
      <w:pPr>
        <w:spacing w:line="240" w:lineRule="auto"/>
        <w:jc w:val="both"/>
      </w:pPr>
      <w:r>
        <w:rPr>
          <w:b/>
        </w:rPr>
        <w:lastRenderedPageBreak/>
        <w:t>Table S8</w:t>
      </w:r>
      <w:r>
        <w:t xml:space="preserve">: Mass errors from </w:t>
      </w:r>
      <w:proofErr w:type="spellStart"/>
      <w:r>
        <w:rPr>
          <w:i/>
        </w:rPr>
        <w:t>phz</w:t>
      </w:r>
      <w:proofErr w:type="spellEnd"/>
      <w:r>
        <w:rPr>
          <w:i/>
        </w:rPr>
        <w:t xml:space="preserve"> </w:t>
      </w:r>
      <w:r>
        <w:t>replicate IMS experiments.</w:t>
      </w:r>
    </w:p>
    <w:p w:rsidR="00BD7B44" w:rsidRDefault="00B569A8">
      <w:pPr>
        <w:spacing w:line="240" w:lineRule="auto"/>
        <w:jc w:val="both"/>
        <w:rPr>
          <w:b/>
        </w:rPr>
      </w:pPr>
      <w:r>
        <w:rPr>
          <w:b/>
          <w:noProof/>
        </w:rPr>
        <w:drawing>
          <wp:inline distT="114300" distB="114300" distL="114300" distR="114300">
            <wp:extent cx="5943600" cy="1879600"/>
            <wp:effectExtent l="0" t="0" r="0" b="0"/>
            <wp:docPr id="1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0"/>
                    <a:srcRect/>
                    <a:stretch>
                      <a:fillRect/>
                    </a:stretch>
                  </pic:blipFill>
                  <pic:spPr>
                    <a:xfrm>
                      <a:off x="0" y="0"/>
                      <a:ext cx="5943600" cy="1879600"/>
                    </a:xfrm>
                    <a:prstGeom prst="rect">
                      <a:avLst/>
                    </a:prstGeom>
                    <a:ln/>
                  </pic:spPr>
                </pic:pic>
              </a:graphicData>
            </a:graphic>
          </wp:inline>
        </w:drawing>
      </w:r>
    </w:p>
    <w:p w:rsidR="00BD7B44" w:rsidRDefault="00BD7B44">
      <w:pPr>
        <w:spacing w:line="240" w:lineRule="auto"/>
        <w:jc w:val="both"/>
        <w:rPr>
          <w:b/>
        </w:rPr>
      </w:pPr>
    </w:p>
    <w:p w:rsidR="00BD7B44" w:rsidRDefault="00B569A8">
      <w:pPr>
        <w:spacing w:line="240" w:lineRule="auto"/>
        <w:jc w:val="both"/>
        <w:rPr>
          <w:b/>
        </w:rPr>
      </w:pPr>
      <w:r>
        <w:br w:type="page"/>
      </w:r>
    </w:p>
    <w:p w:rsidR="00BD7B44" w:rsidRDefault="00B569A8">
      <w:pPr>
        <w:spacing w:line="240" w:lineRule="auto"/>
        <w:jc w:val="both"/>
        <w:rPr>
          <w:b/>
        </w:rPr>
      </w:pPr>
      <w:r>
        <w:rPr>
          <w:b/>
        </w:rPr>
        <w:lastRenderedPageBreak/>
        <w:t>Table S9</w:t>
      </w:r>
      <w:r>
        <w:t>: Complete fold change analysis of PCA and PCH in PA14 strains treated with TLCA.</w:t>
      </w:r>
    </w:p>
    <w:p w:rsidR="00BD7B44" w:rsidRDefault="00BD7B44">
      <w:pPr>
        <w:spacing w:line="240" w:lineRule="auto"/>
        <w:jc w:val="both"/>
        <w:rPr>
          <w:b/>
        </w:rPr>
      </w:pPr>
    </w:p>
    <w:p w:rsidR="00BD7B44" w:rsidRDefault="00B569A8">
      <w:pPr>
        <w:spacing w:line="240" w:lineRule="auto"/>
        <w:jc w:val="center"/>
        <w:rPr>
          <w:b/>
        </w:rPr>
      </w:pPr>
      <w:r>
        <w:rPr>
          <w:b/>
          <w:noProof/>
        </w:rPr>
        <w:drawing>
          <wp:inline distT="114300" distB="114300" distL="114300" distR="114300">
            <wp:extent cx="5943600" cy="2489200"/>
            <wp:effectExtent l="0" t="0" r="0" b="0"/>
            <wp:docPr id="1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1"/>
                    <a:srcRect/>
                    <a:stretch>
                      <a:fillRect/>
                    </a:stretch>
                  </pic:blipFill>
                  <pic:spPr>
                    <a:xfrm>
                      <a:off x="0" y="0"/>
                      <a:ext cx="5943600" cy="2489200"/>
                    </a:xfrm>
                    <a:prstGeom prst="rect">
                      <a:avLst/>
                    </a:prstGeom>
                    <a:ln/>
                  </pic:spPr>
                </pic:pic>
              </a:graphicData>
            </a:graphic>
          </wp:inline>
        </w:drawing>
      </w: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D7B44">
      <w:pPr>
        <w:spacing w:line="240" w:lineRule="auto"/>
        <w:jc w:val="both"/>
        <w:rPr>
          <w:b/>
        </w:rPr>
      </w:pPr>
    </w:p>
    <w:p w:rsidR="00BD7B44" w:rsidRDefault="00B569A8">
      <w:pPr>
        <w:spacing w:line="240" w:lineRule="auto"/>
        <w:jc w:val="both"/>
        <w:rPr>
          <w:b/>
        </w:rPr>
      </w:pPr>
      <w:r>
        <w:br w:type="page"/>
      </w:r>
    </w:p>
    <w:p w:rsidR="00BD7B44" w:rsidRDefault="00B569A8">
      <w:pPr>
        <w:spacing w:line="240" w:lineRule="auto"/>
        <w:jc w:val="both"/>
      </w:pPr>
      <w:r>
        <w:rPr>
          <w:b/>
        </w:rPr>
        <w:lastRenderedPageBreak/>
        <w:t xml:space="preserve">Table S10. </w:t>
      </w:r>
      <w:r>
        <w:t xml:space="preserve">Strains, plasmids and primers utilized in this study. </w:t>
      </w:r>
    </w:p>
    <w:p w:rsidR="00BD7B44" w:rsidRDefault="00BD7B44">
      <w:pPr>
        <w:spacing w:line="240" w:lineRule="auto"/>
        <w:jc w:val="both"/>
        <w:rPr>
          <w:b/>
        </w:rPr>
      </w:pPr>
    </w:p>
    <w:tbl>
      <w:tblPr>
        <w:tblStyle w:val="a0"/>
        <w:tblW w:w="8895" w:type="dxa"/>
        <w:tblBorders>
          <w:top w:val="nil"/>
          <w:left w:val="nil"/>
          <w:bottom w:val="nil"/>
          <w:right w:val="nil"/>
          <w:insideH w:val="nil"/>
          <w:insideV w:val="nil"/>
        </w:tblBorders>
        <w:tblLayout w:type="fixed"/>
        <w:tblLook w:val="0600" w:firstRow="0" w:lastRow="0" w:firstColumn="0" w:lastColumn="0" w:noHBand="1" w:noVBand="1"/>
      </w:tblPr>
      <w:tblGrid>
        <w:gridCol w:w="2220"/>
        <w:gridCol w:w="1215"/>
        <w:gridCol w:w="4215"/>
        <w:gridCol w:w="1245"/>
      </w:tblGrid>
      <w:tr w:rsidR="00BD7B44">
        <w:trPr>
          <w:trHeight w:val="500"/>
        </w:trPr>
        <w:tc>
          <w:tcPr>
            <w:tcW w:w="2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D7B44" w:rsidRDefault="00B569A8">
            <w:pPr>
              <w:widowControl w:val="0"/>
              <w:pBdr>
                <w:top w:val="nil"/>
                <w:left w:val="nil"/>
                <w:bottom w:val="nil"/>
                <w:right w:val="nil"/>
                <w:between w:val="nil"/>
              </w:pBdr>
              <w:rPr>
                <w:b/>
              </w:rPr>
            </w:pPr>
            <w:r>
              <w:rPr>
                <w:b/>
              </w:rPr>
              <w:t>Strain</w:t>
            </w:r>
          </w:p>
        </w:tc>
        <w:tc>
          <w:tcPr>
            <w:tcW w:w="121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BD7B44" w:rsidRDefault="00B569A8">
            <w:pPr>
              <w:widowControl w:val="0"/>
              <w:pBdr>
                <w:top w:val="nil"/>
                <w:left w:val="nil"/>
                <w:bottom w:val="nil"/>
                <w:right w:val="nil"/>
                <w:between w:val="nil"/>
              </w:pBdr>
              <w:rPr>
                <w:b/>
              </w:rPr>
            </w:pPr>
            <w:r>
              <w:rPr>
                <w:b/>
              </w:rPr>
              <w:t>Number</w:t>
            </w:r>
          </w:p>
        </w:tc>
        <w:tc>
          <w:tcPr>
            <w:tcW w:w="421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BD7B44" w:rsidRDefault="00B569A8">
            <w:pPr>
              <w:widowControl w:val="0"/>
              <w:pBdr>
                <w:top w:val="nil"/>
                <w:left w:val="nil"/>
                <w:bottom w:val="nil"/>
                <w:right w:val="nil"/>
                <w:between w:val="nil"/>
              </w:pBdr>
              <w:rPr>
                <w:b/>
              </w:rPr>
            </w:pPr>
            <w:r>
              <w:rPr>
                <w:b/>
              </w:rPr>
              <w:t>Relevant characteristics</w:t>
            </w:r>
          </w:p>
        </w:tc>
        <w:tc>
          <w:tcPr>
            <w:tcW w:w="12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BD7B44" w:rsidRDefault="00B569A8">
            <w:pPr>
              <w:spacing w:line="240" w:lineRule="auto"/>
              <w:jc w:val="center"/>
              <w:rPr>
                <w:b/>
              </w:rPr>
            </w:pPr>
            <w:r>
              <w:rPr>
                <w:b/>
              </w:rPr>
              <w:t>Source</w:t>
            </w:r>
          </w:p>
        </w:tc>
      </w:tr>
      <w:tr w:rsidR="00BD7B44" w:rsidTr="001633CD">
        <w:trPr>
          <w:trHeight w:val="377"/>
        </w:trPr>
        <w:tc>
          <w:tcPr>
            <w:tcW w:w="8895" w:type="dxa"/>
            <w:gridSpan w:val="4"/>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BD7B44" w:rsidRDefault="00B569A8">
            <w:pPr>
              <w:spacing w:line="240" w:lineRule="auto"/>
              <w:jc w:val="both"/>
              <w:rPr>
                <w:b/>
                <w:i/>
              </w:rPr>
            </w:pPr>
            <w:r>
              <w:rPr>
                <w:b/>
                <w:i/>
              </w:rPr>
              <w:t>Pseudomonas aeruginosa</w:t>
            </w:r>
          </w:p>
        </w:tc>
      </w:tr>
      <w:tr w:rsidR="00BD7B44" w:rsidTr="001633CD">
        <w:trPr>
          <w:trHeight w:val="395"/>
        </w:trPr>
        <w:tc>
          <w:tcPr>
            <w:tcW w:w="22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spacing w:line="240" w:lineRule="auto"/>
            </w:pPr>
            <w:r>
              <w:t>UCBPP-PA14</w:t>
            </w:r>
          </w:p>
        </w:tc>
        <w:tc>
          <w:tcPr>
            <w:tcW w:w="1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spacing w:line="240" w:lineRule="auto"/>
            </w:pPr>
            <w:r>
              <w:t>LD0</w:t>
            </w:r>
          </w:p>
        </w:tc>
        <w:tc>
          <w:tcPr>
            <w:tcW w:w="4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spacing w:line="240" w:lineRule="auto"/>
            </w:pPr>
            <w:r>
              <w:t>Clinical isolate UCBPP-PA14</w:t>
            </w:r>
          </w:p>
          <w:p w:rsidR="00BD7B44" w:rsidRDefault="00B569A8">
            <w:pPr>
              <w:spacing w:line="240" w:lineRule="auto"/>
            </w:pPr>
            <w:r>
              <w:t xml:space="preserve"> </w:t>
            </w:r>
          </w:p>
        </w:tc>
        <w:tc>
          <w:tcPr>
            <w:tcW w:w="12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spacing w:line="240" w:lineRule="auto"/>
              <w:jc w:val="center"/>
            </w:pPr>
            <w:hyperlink r:id="rId32">
              <w:r>
                <w:rPr>
                  <w:color w:val="000000"/>
                </w:rPr>
                <w:t>[4]</w:t>
              </w:r>
            </w:hyperlink>
          </w:p>
        </w:tc>
      </w:tr>
      <w:tr w:rsidR="00BD7B44" w:rsidTr="001633CD">
        <w:trPr>
          <w:trHeight w:val="710"/>
        </w:trPr>
        <w:tc>
          <w:tcPr>
            <w:tcW w:w="22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spacing w:line="240" w:lineRule="auto"/>
            </w:pPr>
            <w:r>
              <w:t>Clinical isolate UCBPP-PA14</w:t>
            </w:r>
          </w:p>
        </w:tc>
        <w:tc>
          <w:tcPr>
            <w:tcW w:w="1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spacing w:line="240" w:lineRule="auto"/>
            </w:pPr>
            <w:r>
              <w:t>LMS1</w:t>
            </w:r>
          </w:p>
        </w:tc>
        <w:tc>
          <w:tcPr>
            <w:tcW w:w="4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spacing w:line="240" w:lineRule="auto"/>
            </w:pPr>
            <w:r>
              <w:t>Clinical isolate UCBPP-PA14</w:t>
            </w:r>
          </w:p>
        </w:tc>
        <w:tc>
          <w:tcPr>
            <w:tcW w:w="12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spacing w:line="240" w:lineRule="auto"/>
              <w:jc w:val="center"/>
            </w:pPr>
            <w:r>
              <w:t>M. Banzhaf EMBL</w:t>
            </w:r>
          </w:p>
        </w:tc>
      </w:tr>
      <w:tr w:rsidR="00BD7B44" w:rsidTr="001633CD">
        <w:trPr>
          <w:trHeight w:val="602"/>
        </w:trPr>
        <w:tc>
          <w:tcPr>
            <w:tcW w:w="22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spacing w:line="240" w:lineRule="auto"/>
              <w:jc w:val="both"/>
              <w:rPr>
                <w:i/>
              </w:rPr>
            </w:pPr>
            <w:r>
              <w:rPr>
                <w:rFonts w:ascii="Arial Unicode MS" w:eastAsia="Arial Unicode MS" w:hAnsi="Arial Unicode MS" w:cs="Arial Unicode MS"/>
              </w:rPr>
              <w:t>PA14 ∆</w:t>
            </w:r>
            <w:r>
              <w:rPr>
                <w:i/>
              </w:rPr>
              <w:t>phz1/2</w:t>
            </w:r>
          </w:p>
        </w:tc>
        <w:tc>
          <w:tcPr>
            <w:tcW w:w="1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pPr>
            <w:r>
              <w:t>LD24</w:t>
            </w:r>
          </w:p>
        </w:tc>
        <w:tc>
          <w:tcPr>
            <w:tcW w:w="4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pPr>
            <w:r>
              <w:t xml:space="preserve">PA14 with deletions in </w:t>
            </w:r>
            <w:r>
              <w:rPr>
                <w:i/>
              </w:rPr>
              <w:t>phzA1-G1</w:t>
            </w:r>
            <w:r>
              <w:t xml:space="preserve"> and </w:t>
            </w:r>
            <w:r>
              <w:rPr>
                <w:i/>
              </w:rPr>
              <w:t>phzA2-G2</w:t>
            </w:r>
            <w:r>
              <w:t xml:space="preserve"> operons</w:t>
            </w:r>
          </w:p>
        </w:tc>
        <w:tc>
          <w:tcPr>
            <w:tcW w:w="12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spacing w:line="240" w:lineRule="auto"/>
              <w:jc w:val="center"/>
            </w:pPr>
            <w:hyperlink r:id="rId33">
              <w:r>
                <w:rPr>
                  <w:color w:val="000000"/>
                </w:rPr>
                <w:t>[5]</w:t>
              </w:r>
            </w:hyperlink>
          </w:p>
        </w:tc>
      </w:tr>
      <w:tr w:rsidR="00BD7B44" w:rsidTr="001633CD">
        <w:trPr>
          <w:trHeight w:val="1115"/>
        </w:trPr>
        <w:tc>
          <w:tcPr>
            <w:tcW w:w="22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spacing w:line="240" w:lineRule="auto"/>
              <w:jc w:val="both"/>
              <w:rPr>
                <w:i/>
              </w:rPr>
            </w:pPr>
            <w:r>
              <w:rPr>
                <w:rFonts w:ascii="Arial Unicode MS" w:eastAsia="Arial Unicode MS" w:hAnsi="Arial Unicode MS" w:cs="Arial Unicode MS"/>
              </w:rPr>
              <w:t>PA14 ∆</w:t>
            </w:r>
            <w:proofErr w:type="spellStart"/>
            <w:r>
              <w:rPr>
                <w:i/>
              </w:rPr>
              <w:t>pqsA</w:t>
            </w:r>
            <w:proofErr w:type="spellEnd"/>
            <w:r>
              <w:rPr>
                <w:i/>
              </w:rPr>
              <w:t>-C</w:t>
            </w:r>
          </w:p>
        </w:tc>
        <w:tc>
          <w:tcPr>
            <w:tcW w:w="1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pPr>
            <w:r>
              <w:t>LD732</w:t>
            </w:r>
          </w:p>
        </w:tc>
        <w:tc>
          <w:tcPr>
            <w:tcW w:w="4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pPr>
            <w:r>
              <w:t xml:space="preserve">PA14 with deletions of </w:t>
            </w:r>
            <w:proofErr w:type="spellStart"/>
            <w:r>
              <w:rPr>
                <w:i/>
              </w:rPr>
              <w:t>pqsAI</w:t>
            </w:r>
            <w:proofErr w:type="spellEnd"/>
            <w:r>
              <w:rPr>
                <w:i/>
              </w:rPr>
              <w:t xml:space="preserve"> </w:t>
            </w:r>
            <w:r>
              <w:t xml:space="preserve">(PA14_51430), </w:t>
            </w:r>
            <w:proofErr w:type="spellStart"/>
            <w:r>
              <w:rPr>
                <w:i/>
              </w:rPr>
              <w:t>pqsB</w:t>
            </w:r>
            <w:proofErr w:type="spellEnd"/>
            <w:r>
              <w:t xml:space="preserve"> (PA14_51420) and </w:t>
            </w:r>
            <w:proofErr w:type="spellStart"/>
            <w:r>
              <w:rPr>
                <w:i/>
              </w:rPr>
              <w:t>pqsCI</w:t>
            </w:r>
            <w:proofErr w:type="spellEnd"/>
            <w:r>
              <w:rPr>
                <w:i/>
              </w:rPr>
              <w:t xml:space="preserve"> </w:t>
            </w:r>
            <w:r>
              <w:t xml:space="preserve">(PA14_51410) in the </w:t>
            </w:r>
            <w:proofErr w:type="spellStart"/>
            <w:r>
              <w:rPr>
                <w:i/>
              </w:rPr>
              <w:t>pqsA</w:t>
            </w:r>
            <w:proofErr w:type="spellEnd"/>
            <w:r>
              <w:rPr>
                <w:i/>
              </w:rPr>
              <w:t>-E</w:t>
            </w:r>
            <w:r>
              <w:t xml:space="preserve"> operon</w:t>
            </w:r>
          </w:p>
        </w:tc>
        <w:tc>
          <w:tcPr>
            <w:tcW w:w="12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spacing w:line="240" w:lineRule="auto"/>
              <w:jc w:val="center"/>
            </w:pPr>
            <w:hyperlink r:id="rId34">
              <w:r>
                <w:rPr>
                  <w:color w:val="000000"/>
                </w:rPr>
                <w:t>[6]</w:t>
              </w:r>
            </w:hyperlink>
          </w:p>
        </w:tc>
      </w:tr>
      <w:tr w:rsidR="00BD7B44" w:rsidTr="001633CD">
        <w:trPr>
          <w:trHeight w:val="557"/>
        </w:trPr>
        <w:tc>
          <w:tcPr>
            <w:tcW w:w="22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spacing w:line="240" w:lineRule="auto"/>
              <w:jc w:val="both"/>
              <w:rPr>
                <w:i/>
              </w:rPr>
            </w:pPr>
            <w:r>
              <w:rPr>
                <w:rFonts w:ascii="Arial Unicode MS" w:eastAsia="Arial Unicode MS" w:hAnsi="Arial Unicode MS" w:cs="Arial Unicode MS"/>
              </w:rPr>
              <w:t>PA14 ∆</w:t>
            </w:r>
            <w:proofErr w:type="spellStart"/>
            <w:r>
              <w:rPr>
                <w:i/>
              </w:rPr>
              <w:t>pqsH</w:t>
            </w:r>
            <w:proofErr w:type="spellEnd"/>
          </w:p>
        </w:tc>
        <w:tc>
          <w:tcPr>
            <w:tcW w:w="1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pPr>
            <w:r>
              <w:t>LD685</w:t>
            </w:r>
          </w:p>
        </w:tc>
        <w:tc>
          <w:tcPr>
            <w:tcW w:w="4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pPr>
            <w:r>
              <w:t xml:space="preserve">PA14 with deletions of </w:t>
            </w:r>
            <w:proofErr w:type="spellStart"/>
            <w:r>
              <w:rPr>
                <w:i/>
              </w:rPr>
              <w:t>pqsH</w:t>
            </w:r>
            <w:proofErr w:type="spellEnd"/>
            <w:r>
              <w:t xml:space="preserve"> (PA14_30630)</w:t>
            </w:r>
          </w:p>
        </w:tc>
        <w:tc>
          <w:tcPr>
            <w:tcW w:w="12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spacing w:line="240" w:lineRule="auto"/>
              <w:jc w:val="center"/>
            </w:pPr>
            <w:hyperlink r:id="rId35">
              <w:r>
                <w:rPr>
                  <w:color w:val="000000"/>
                </w:rPr>
                <w:t>[6]</w:t>
              </w:r>
            </w:hyperlink>
          </w:p>
        </w:tc>
      </w:tr>
      <w:tr w:rsidR="00BD7B44" w:rsidTr="001633CD">
        <w:trPr>
          <w:trHeight w:val="593"/>
        </w:trPr>
        <w:tc>
          <w:tcPr>
            <w:tcW w:w="22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spacing w:line="240" w:lineRule="auto"/>
              <w:jc w:val="both"/>
              <w:rPr>
                <w:i/>
              </w:rPr>
            </w:pPr>
            <w:r>
              <w:rPr>
                <w:rFonts w:ascii="Arial Unicode MS" w:eastAsia="Arial Unicode MS" w:hAnsi="Arial Unicode MS" w:cs="Arial Unicode MS"/>
              </w:rPr>
              <w:t>PA14 ∆</w:t>
            </w:r>
            <w:proofErr w:type="spellStart"/>
            <w:r>
              <w:rPr>
                <w:i/>
              </w:rPr>
              <w:t>pqsL</w:t>
            </w:r>
            <w:proofErr w:type="spellEnd"/>
          </w:p>
        </w:tc>
        <w:tc>
          <w:tcPr>
            <w:tcW w:w="1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pPr>
            <w:r>
              <w:t>LD701</w:t>
            </w:r>
          </w:p>
        </w:tc>
        <w:tc>
          <w:tcPr>
            <w:tcW w:w="4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pPr>
            <w:r>
              <w:t xml:space="preserve">PA14 with deletions of </w:t>
            </w:r>
            <w:proofErr w:type="spellStart"/>
            <w:r>
              <w:rPr>
                <w:i/>
              </w:rPr>
              <w:t>pqsL</w:t>
            </w:r>
            <w:proofErr w:type="spellEnd"/>
            <w:r>
              <w:t xml:space="preserve"> (PA14_09700)</w:t>
            </w:r>
          </w:p>
        </w:tc>
        <w:tc>
          <w:tcPr>
            <w:tcW w:w="12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spacing w:line="240" w:lineRule="auto"/>
              <w:jc w:val="center"/>
            </w:pPr>
            <w:hyperlink r:id="rId36">
              <w:r>
                <w:rPr>
                  <w:color w:val="000000"/>
                </w:rPr>
                <w:t>[6]</w:t>
              </w:r>
            </w:hyperlink>
          </w:p>
        </w:tc>
      </w:tr>
      <w:tr w:rsidR="00BD7B44" w:rsidTr="001633CD">
        <w:trPr>
          <w:trHeight w:val="818"/>
        </w:trPr>
        <w:tc>
          <w:tcPr>
            <w:tcW w:w="22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spacing w:line="240" w:lineRule="auto"/>
              <w:jc w:val="both"/>
            </w:pPr>
            <w:r>
              <w:rPr>
                <w:rFonts w:ascii="Arial Unicode MS" w:eastAsia="Arial Unicode MS" w:hAnsi="Arial Unicode MS" w:cs="Arial Unicode MS"/>
              </w:rPr>
              <w:t>PA14 ∆</w:t>
            </w:r>
            <w:proofErr w:type="spellStart"/>
            <w:r>
              <w:rPr>
                <w:i/>
              </w:rPr>
              <w:t>pqsA</w:t>
            </w:r>
            <w:proofErr w:type="spellEnd"/>
            <w:r>
              <w:rPr>
                <w:i/>
              </w:rPr>
              <w:t>-</w:t>
            </w:r>
            <w:proofErr w:type="gramStart"/>
            <w:r>
              <w:rPr>
                <w:i/>
              </w:rPr>
              <w:t>C</w:t>
            </w:r>
            <w:r>
              <w:t>::</w:t>
            </w:r>
            <w:proofErr w:type="spellStart"/>
            <w:proofErr w:type="gramEnd"/>
            <w:r>
              <w:rPr>
                <w:i/>
              </w:rPr>
              <w:t>pqsA</w:t>
            </w:r>
            <w:proofErr w:type="spellEnd"/>
            <w:r>
              <w:rPr>
                <w:i/>
              </w:rPr>
              <w:t>-C</w:t>
            </w:r>
            <w:r>
              <w:t xml:space="preserve"> complement</w:t>
            </w:r>
          </w:p>
        </w:tc>
        <w:tc>
          <w:tcPr>
            <w:tcW w:w="1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pPr>
            <w:r>
              <w:t>LD3211</w:t>
            </w:r>
          </w:p>
        </w:tc>
        <w:tc>
          <w:tcPr>
            <w:tcW w:w="4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pPr>
            <w:r>
              <w:t>LD732 parent with deleted region replaced with wildtype sequence</w:t>
            </w:r>
          </w:p>
        </w:tc>
        <w:tc>
          <w:tcPr>
            <w:tcW w:w="12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spacing w:line="240" w:lineRule="auto"/>
              <w:jc w:val="center"/>
            </w:pPr>
            <w:r>
              <w:t>this study</w:t>
            </w:r>
          </w:p>
        </w:tc>
      </w:tr>
      <w:tr w:rsidR="00BD7B44" w:rsidTr="001633CD">
        <w:trPr>
          <w:trHeight w:val="692"/>
        </w:trPr>
        <w:tc>
          <w:tcPr>
            <w:tcW w:w="22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spacing w:line="240" w:lineRule="auto"/>
              <w:jc w:val="both"/>
            </w:pPr>
            <w:r>
              <w:rPr>
                <w:rFonts w:ascii="Arial Unicode MS" w:eastAsia="Arial Unicode MS" w:hAnsi="Arial Unicode MS" w:cs="Arial Unicode MS"/>
              </w:rPr>
              <w:t>PA14 ∆</w:t>
            </w:r>
            <w:proofErr w:type="spellStart"/>
            <w:proofErr w:type="gramStart"/>
            <w:r>
              <w:rPr>
                <w:i/>
              </w:rPr>
              <w:t>pqsH</w:t>
            </w:r>
            <w:proofErr w:type="spellEnd"/>
            <w:r>
              <w:t>::</w:t>
            </w:r>
            <w:proofErr w:type="spellStart"/>
            <w:proofErr w:type="gramEnd"/>
            <w:r>
              <w:rPr>
                <w:i/>
              </w:rPr>
              <w:t>pqsH</w:t>
            </w:r>
            <w:proofErr w:type="spellEnd"/>
            <w:r>
              <w:t xml:space="preserve"> complement</w:t>
            </w:r>
          </w:p>
        </w:tc>
        <w:tc>
          <w:tcPr>
            <w:tcW w:w="1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pPr>
            <w:r>
              <w:t>LD3212</w:t>
            </w:r>
          </w:p>
        </w:tc>
        <w:tc>
          <w:tcPr>
            <w:tcW w:w="4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pPr>
            <w:r>
              <w:t>LD685 parent with deleted region replaced with wildtype sequence</w:t>
            </w:r>
          </w:p>
        </w:tc>
        <w:tc>
          <w:tcPr>
            <w:tcW w:w="12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spacing w:line="240" w:lineRule="auto"/>
              <w:jc w:val="center"/>
            </w:pPr>
            <w:r>
              <w:t>this study</w:t>
            </w:r>
          </w:p>
        </w:tc>
      </w:tr>
      <w:tr w:rsidR="00BD7B44">
        <w:trPr>
          <w:trHeight w:val="780"/>
        </w:trPr>
        <w:tc>
          <w:tcPr>
            <w:tcW w:w="22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spacing w:line="240" w:lineRule="auto"/>
              <w:jc w:val="both"/>
            </w:pPr>
            <w:r>
              <w:rPr>
                <w:rFonts w:ascii="Arial Unicode MS" w:eastAsia="Arial Unicode MS" w:hAnsi="Arial Unicode MS" w:cs="Arial Unicode MS"/>
              </w:rPr>
              <w:t>PA14 ∆</w:t>
            </w:r>
            <w:proofErr w:type="spellStart"/>
            <w:proofErr w:type="gramStart"/>
            <w:r>
              <w:rPr>
                <w:i/>
              </w:rPr>
              <w:t>pqsL</w:t>
            </w:r>
            <w:proofErr w:type="spellEnd"/>
            <w:r>
              <w:t>::</w:t>
            </w:r>
            <w:proofErr w:type="spellStart"/>
            <w:proofErr w:type="gramEnd"/>
            <w:r>
              <w:rPr>
                <w:i/>
              </w:rPr>
              <w:t>pqsL</w:t>
            </w:r>
            <w:proofErr w:type="spellEnd"/>
            <w:r>
              <w:t xml:space="preserve"> complement</w:t>
            </w:r>
          </w:p>
        </w:tc>
        <w:tc>
          <w:tcPr>
            <w:tcW w:w="1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pPr>
            <w:r>
              <w:t>LD3213</w:t>
            </w:r>
          </w:p>
        </w:tc>
        <w:tc>
          <w:tcPr>
            <w:tcW w:w="4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pPr>
            <w:r>
              <w:t>LD701 parent with deleted region replaced with wildtype sequence</w:t>
            </w:r>
          </w:p>
        </w:tc>
        <w:tc>
          <w:tcPr>
            <w:tcW w:w="12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spacing w:line="240" w:lineRule="auto"/>
              <w:jc w:val="center"/>
            </w:pPr>
            <w:r>
              <w:t>this study</w:t>
            </w:r>
          </w:p>
        </w:tc>
      </w:tr>
      <w:tr w:rsidR="00BD7B44">
        <w:trPr>
          <w:trHeight w:val="500"/>
        </w:trPr>
        <w:tc>
          <w:tcPr>
            <w:tcW w:w="8895" w:type="dxa"/>
            <w:gridSpan w:val="4"/>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spacing w:line="240" w:lineRule="auto"/>
              <w:jc w:val="both"/>
              <w:rPr>
                <w:b/>
                <w:i/>
              </w:rPr>
            </w:pPr>
            <w:r>
              <w:rPr>
                <w:b/>
                <w:i/>
              </w:rPr>
              <w:t>Escherichia coli</w:t>
            </w:r>
          </w:p>
        </w:tc>
      </w:tr>
      <w:tr w:rsidR="00BD7B44">
        <w:trPr>
          <w:trHeight w:val="1620"/>
        </w:trPr>
        <w:tc>
          <w:tcPr>
            <w:tcW w:w="22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pPr>
            <w:r>
              <w:t>UQ950</w:t>
            </w:r>
          </w:p>
        </w:tc>
        <w:tc>
          <w:tcPr>
            <w:tcW w:w="1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pPr>
            <w:r>
              <w:t>LD44</w:t>
            </w:r>
          </w:p>
        </w:tc>
        <w:tc>
          <w:tcPr>
            <w:tcW w:w="4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pPr>
            <w:r>
              <w:rPr>
                <w:i/>
              </w:rPr>
              <w:t>E. coli</w:t>
            </w:r>
            <w:r>
              <w:rPr>
                <w:rFonts w:ascii="Arial Unicode MS" w:eastAsia="Arial Unicode MS" w:hAnsi="Arial Unicode MS" w:cs="Arial Unicode MS"/>
              </w:rPr>
              <w:t xml:space="preserve"> DH5 </w:t>
            </w:r>
            <w:proofErr w:type="spellStart"/>
            <w:r>
              <w:rPr>
                <w:rFonts w:ascii="Arial Unicode MS" w:eastAsia="Arial Unicode MS" w:hAnsi="Arial Unicode MS" w:cs="Arial Unicode MS"/>
              </w:rPr>
              <w:t>λpir</w:t>
            </w:r>
            <w:proofErr w:type="spellEnd"/>
            <w:r>
              <w:rPr>
                <w:rFonts w:ascii="Arial Unicode MS" w:eastAsia="Arial Unicode MS" w:hAnsi="Arial Unicode MS" w:cs="Arial Unicode MS"/>
              </w:rPr>
              <w:t xml:space="preserve"> strain for cloning. F-∆(</w:t>
            </w:r>
            <w:proofErr w:type="spellStart"/>
            <w:r>
              <w:rPr>
                <w:rFonts w:ascii="Arial Unicode MS" w:eastAsia="Arial Unicode MS" w:hAnsi="Arial Unicode MS" w:cs="Arial Unicode MS"/>
              </w:rPr>
              <w:t>argF</w:t>
            </w:r>
            <w:proofErr w:type="spellEnd"/>
            <w:r>
              <w:rPr>
                <w:rFonts w:ascii="Arial Unicode MS" w:eastAsia="Arial Unicode MS" w:hAnsi="Arial Unicode MS" w:cs="Arial Unicode MS"/>
              </w:rPr>
              <w:t>-lac)169φ80 dlacZ58(∆M15) glnV44(AS) rfbD1 gyrA96(</w:t>
            </w:r>
            <w:proofErr w:type="spellStart"/>
            <w:proofErr w:type="gramStart"/>
            <w:r>
              <w:rPr>
                <w:rFonts w:ascii="Arial Unicode MS" w:eastAsia="Arial Unicode MS" w:hAnsi="Arial Unicode MS" w:cs="Arial Unicode MS"/>
              </w:rPr>
              <w:t>NaIR</w:t>
            </w:r>
            <w:proofErr w:type="spellEnd"/>
            <w:r>
              <w:rPr>
                <w:rFonts w:ascii="Arial Unicode MS" w:eastAsia="Arial Unicode MS" w:hAnsi="Arial Unicode MS" w:cs="Arial Unicode MS"/>
              </w:rPr>
              <w:t xml:space="preserve"> )</w:t>
            </w:r>
            <w:proofErr w:type="gramEnd"/>
            <w:r>
              <w:rPr>
                <w:rFonts w:ascii="Arial Unicode MS" w:eastAsia="Arial Unicode MS" w:hAnsi="Arial Unicode MS" w:cs="Arial Unicode MS"/>
              </w:rPr>
              <w:t xml:space="preserve"> recA1 endA1 </w:t>
            </w:r>
            <w:proofErr w:type="spellStart"/>
            <w:r>
              <w:rPr>
                <w:rFonts w:ascii="Arial Unicode MS" w:eastAsia="Arial Unicode MS" w:hAnsi="Arial Unicode MS" w:cs="Arial Unicode MS"/>
              </w:rPr>
              <w:t>spoT</w:t>
            </w:r>
            <w:proofErr w:type="spellEnd"/>
            <w:r>
              <w:rPr>
                <w:rFonts w:ascii="Arial Unicode MS" w:eastAsia="Arial Unicode MS" w:hAnsi="Arial Unicode MS" w:cs="Arial Unicode MS"/>
              </w:rPr>
              <w:t xml:space="preserve"> thi-1 hsdR17 </w:t>
            </w:r>
            <w:proofErr w:type="spellStart"/>
            <w:r>
              <w:rPr>
                <w:rFonts w:ascii="Arial Unicode MS" w:eastAsia="Arial Unicode MS" w:hAnsi="Arial Unicode MS" w:cs="Arial Unicode MS"/>
              </w:rPr>
              <w:t>deoR</w:t>
            </w:r>
            <w:proofErr w:type="spellEnd"/>
            <w:r>
              <w:rPr>
                <w:rFonts w:ascii="Arial Unicode MS" w:eastAsia="Arial Unicode MS" w:hAnsi="Arial Unicode MS" w:cs="Arial Unicode MS"/>
              </w:rPr>
              <w:t xml:space="preserve"> </w:t>
            </w:r>
            <w:proofErr w:type="spellStart"/>
            <w:r>
              <w:rPr>
                <w:rFonts w:ascii="Arial Unicode MS" w:eastAsia="Arial Unicode MS" w:hAnsi="Arial Unicode MS" w:cs="Arial Unicode MS"/>
              </w:rPr>
              <w:t>λpir</w:t>
            </w:r>
            <w:proofErr w:type="spellEnd"/>
            <w:r>
              <w:rPr>
                <w:rFonts w:ascii="Arial Unicode MS" w:eastAsia="Arial Unicode MS" w:hAnsi="Arial Unicode MS" w:cs="Arial Unicode MS"/>
              </w:rPr>
              <w:t>+</w:t>
            </w:r>
          </w:p>
        </w:tc>
        <w:tc>
          <w:tcPr>
            <w:tcW w:w="12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spacing w:line="240" w:lineRule="auto"/>
              <w:jc w:val="center"/>
            </w:pPr>
            <w:r>
              <w:t>D. Lies,</w:t>
            </w:r>
          </w:p>
          <w:p w:rsidR="00BD7B44" w:rsidRDefault="00B569A8">
            <w:pPr>
              <w:spacing w:line="240" w:lineRule="auto"/>
              <w:jc w:val="center"/>
            </w:pPr>
            <w:r>
              <w:t>Caltech</w:t>
            </w:r>
          </w:p>
        </w:tc>
      </w:tr>
      <w:tr w:rsidR="00BD7B44" w:rsidTr="001633CD">
        <w:trPr>
          <w:trHeight w:val="1070"/>
        </w:trPr>
        <w:tc>
          <w:tcPr>
            <w:tcW w:w="22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spacing w:line="240" w:lineRule="auto"/>
              <w:jc w:val="both"/>
            </w:pPr>
            <w:r>
              <w:lastRenderedPageBreak/>
              <w:t>BW29427</w:t>
            </w:r>
          </w:p>
        </w:tc>
        <w:tc>
          <w:tcPr>
            <w:tcW w:w="1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pPr>
            <w:r>
              <w:t>LD661</w:t>
            </w:r>
          </w:p>
        </w:tc>
        <w:tc>
          <w:tcPr>
            <w:tcW w:w="4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pPr>
            <w:r>
              <w:t xml:space="preserve">Donor strain for conjugation. thrB1004 pro </w:t>
            </w:r>
            <w:proofErr w:type="spellStart"/>
            <w:r>
              <w:t>thi</w:t>
            </w:r>
            <w:proofErr w:type="spellEnd"/>
            <w:r>
              <w:t xml:space="preserve"> </w:t>
            </w:r>
            <w:proofErr w:type="spellStart"/>
            <w:r>
              <w:t>rpsL</w:t>
            </w:r>
            <w:proofErr w:type="spellEnd"/>
            <w:r>
              <w:t xml:space="preserve"> </w:t>
            </w:r>
            <w:proofErr w:type="spellStart"/>
            <w:r>
              <w:t>hsdS</w:t>
            </w:r>
            <w:proofErr w:type="spellEnd"/>
            <w:r>
              <w:t xml:space="preserve"> lacZ DM15RP4-1360 D(</w:t>
            </w:r>
            <w:proofErr w:type="spellStart"/>
            <w:r>
              <w:t>araBAD</w:t>
            </w:r>
            <w:proofErr w:type="spellEnd"/>
            <w:r>
              <w:t>)567 DdapA</w:t>
            </w:r>
            <w:proofErr w:type="gramStart"/>
            <w:r>
              <w:t>1314::</w:t>
            </w:r>
            <w:proofErr w:type="gramEnd"/>
            <w:r>
              <w:t xml:space="preserve">[erm </w:t>
            </w:r>
            <w:proofErr w:type="spellStart"/>
            <w:r>
              <w:t>pir</w:t>
            </w:r>
            <w:proofErr w:type="spellEnd"/>
            <w:r>
              <w:t>(</w:t>
            </w:r>
            <w:proofErr w:type="spellStart"/>
            <w:r>
              <w:t>wt</w:t>
            </w:r>
            <w:proofErr w:type="spellEnd"/>
            <w:r>
              <w:t>)]</w:t>
            </w:r>
          </w:p>
        </w:tc>
        <w:tc>
          <w:tcPr>
            <w:tcW w:w="12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spacing w:line="240" w:lineRule="auto"/>
              <w:jc w:val="center"/>
            </w:pPr>
            <w:r>
              <w:t>W. Metcalf,</w:t>
            </w:r>
          </w:p>
          <w:p w:rsidR="00BD7B44" w:rsidRDefault="00B569A8">
            <w:pPr>
              <w:spacing w:line="240" w:lineRule="auto"/>
              <w:jc w:val="center"/>
            </w:pPr>
            <w:r>
              <w:t>University of Illinois</w:t>
            </w:r>
          </w:p>
        </w:tc>
      </w:tr>
      <w:tr w:rsidR="00BD7B44" w:rsidTr="001633CD">
        <w:trPr>
          <w:trHeight w:val="332"/>
        </w:trPr>
        <w:tc>
          <w:tcPr>
            <w:tcW w:w="8895" w:type="dxa"/>
            <w:gridSpan w:val="4"/>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spacing w:line="240" w:lineRule="auto"/>
              <w:jc w:val="both"/>
              <w:rPr>
                <w:b/>
                <w:i/>
              </w:rPr>
            </w:pPr>
            <w:r>
              <w:rPr>
                <w:b/>
                <w:i/>
              </w:rPr>
              <w:t>Saccharomyces cerevisiae</w:t>
            </w:r>
          </w:p>
        </w:tc>
      </w:tr>
      <w:tr w:rsidR="00BD7B44" w:rsidTr="001633CD">
        <w:trPr>
          <w:trHeight w:val="260"/>
        </w:trPr>
        <w:tc>
          <w:tcPr>
            <w:tcW w:w="22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pPr>
            <w:r>
              <w:t>InvSc1</w:t>
            </w:r>
          </w:p>
        </w:tc>
        <w:tc>
          <w:tcPr>
            <w:tcW w:w="1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pPr>
            <w:r>
              <w:t>LD676</w:t>
            </w:r>
          </w:p>
        </w:tc>
        <w:tc>
          <w:tcPr>
            <w:tcW w:w="4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pPr>
            <w:r>
              <w:t>Used for yeast gap repair cloning</w:t>
            </w:r>
          </w:p>
        </w:tc>
        <w:tc>
          <w:tcPr>
            <w:tcW w:w="12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spacing w:line="240" w:lineRule="auto"/>
              <w:jc w:val="center"/>
            </w:pPr>
            <w:r>
              <w:t>Invitrogen</w:t>
            </w:r>
          </w:p>
        </w:tc>
      </w:tr>
    </w:tbl>
    <w:p w:rsidR="00BD7B44" w:rsidRDefault="00B569A8">
      <w:pPr>
        <w:spacing w:line="240" w:lineRule="auto"/>
        <w:jc w:val="both"/>
        <w:rPr>
          <w:b/>
        </w:rPr>
      </w:pPr>
      <w:r>
        <w:rPr>
          <w:b/>
        </w:rPr>
        <w:t xml:space="preserve"> </w:t>
      </w:r>
    </w:p>
    <w:p w:rsidR="00BD7B44" w:rsidRDefault="00B569A8">
      <w:pPr>
        <w:spacing w:line="240" w:lineRule="auto"/>
        <w:jc w:val="both"/>
        <w:rPr>
          <w:b/>
        </w:rPr>
      </w:pPr>
      <w:r>
        <w:rPr>
          <w:b/>
        </w:rPr>
        <w:t>Plasmids used in this study</w:t>
      </w:r>
    </w:p>
    <w:p w:rsidR="00BD7B44" w:rsidRDefault="00B569A8">
      <w:pPr>
        <w:spacing w:line="240" w:lineRule="auto"/>
        <w:jc w:val="both"/>
        <w:rPr>
          <w:b/>
        </w:rPr>
      </w:pPr>
      <w:r>
        <w:rPr>
          <w:b/>
        </w:rPr>
        <w:t xml:space="preserve"> </w:t>
      </w:r>
    </w:p>
    <w:tbl>
      <w:tblPr>
        <w:tblStyle w:val="a1"/>
        <w:tblW w:w="8895" w:type="dxa"/>
        <w:tblBorders>
          <w:top w:val="nil"/>
          <w:left w:val="nil"/>
          <w:bottom w:val="nil"/>
          <w:right w:val="nil"/>
          <w:insideH w:val="nil"/>
          <w:insideV w:val="nil"/>
        </w:tblBorders>
        <w:tblLayout w:type="fixed"/>
        <w:tblLook w:val="0600" w:firstRow="0" w:lastRow="0" w:firstColumn="0" w:lastColumn="0" w:noHBand="1" w:noVBand="1"/>
      </w:tblPr>
      <w:tblGrid>
        <w:gridCol w:w="1395"/>
        <w:gridCol w:w="6240"/>
        <w:gridCol w:w="1260"/>
      </w:tblGrid>
      <w:tr w:rsidR="00BD7B44" w:rsidTr="001633CD">
        <w:trPr>
          <w:trHeight w:val="1068"/>
        </w:trPr>
        <w:tc>
          <w:tcPr>
            <w:tcW w:w="139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rPr>
                <w:b/>
              </w:rPr>
            </w:pPr>
            <w:r>
              <w:rPr>
                <w:b/>
              </w:rPr>
              <w:t>Plasmids</w:t>
            </w:r>
          </w:p>
        </w:tc>
        <w:tc>
          <w:tcPr>
            <w:tcW w:w="6240"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spacing w:line="240" w:lineRule="auto"/>
              <w:ind w:right="-220"/>
              <w:jc w:val="both"/>
              <w:rPr>
                <w:b/>
              </w:rPr>
            </w:pPr>
            <w:r>
              <w:rPr>
                <w:b/>
              </w:rPr>
              <w:t>Sequence</w:t>
            </w:r>
          </w:p>
        </w:tc>
        <w:tc>
          <w:tcPr>
            <w:tcW w:w="1260"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spacing w:line="240" w:lineRule="auto"/>
              <w:jc w:val="both"/>
              <w:rPr>
                <w:b/>
              </w:rPr>
            </w:pPr>
            <w:r>
              <w:rPr>
                <w:b/>
              </w:rPr>
              <w:t>Used to make plasmid number</w:t>
            </w:r>
          </w:p>
        </w:tc>
      </w:tr>
      <w:tr w:rsidR="00BD7B44" w:rsidTr="001633CD">
        <w:trPr>
          <w:trHeight w:val="395"/>
        </w:trPr>
        <w:tc>
          <w:tcPr>
            <w:tcW w:w="13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pPr>
            <w:r>
              <w:t>pMQ30</w:t>
            </w:r>
          </w:p>
        </w:tc>
        <w:tc>
          <w:tcPr>
            <w:tcW w:w="624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spacing w:line="240" w:lineRule="auto"/>
              <w:ind w:right="-220"/>
              <w:jc w:val="both"/>
            </w:pPr>
            <w:r>
              <w:t xml:space="preserve">7.5 kb mobilizable vector; </w:t>
            </w:r>
            <w:proofErr w:type="spellStart"/>
            <w:r>
              <w:t>oriT</w:t>
            </w:r>
            <w:proofErr w:type="spellEnd"/>
            <w:r>
              <w:t xml:space="preserve">, </w:t>
            </w:r>
            <w:proofErr w:type="spellStart"/>
            <w:r>
              <w:t>sacB</w:t>
            </w:r>
            <w:proofErr w:type="spellEnd"/>
            <w:r>
              <w:t xml:space="preserve">, </w:t>
            </w:r>
            <w:proofErr w:type="spellStart"/>
            <w:r>
              <w:t>GmR</w:t>
            </w:r>
            <w:proofErr w:type="spellEnd"/>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spacing w:line="240" w:lineRule="auto"/>
              <w:jc w:val="center"/>
            </w:pPr>
            <w:hyperlink r:id="rId37">
              <w:r>
                <w:rPr>
                  <w:color w:val="000000"/>
                </w:rPr>
                <w:t>[7]</w:t>
              </w:r>
            </w:hyperlink>
          </w:p>
        </w:tc>
      </w:tr>
      <w:tr w:rsidR="00BD7B44" w:rsidTr="001633CD">
        <w:trPr>
          <w:trHeight w:val="512"/>
        </w:trPr>
        <w:tc>
          <w:tcPr>
            <w:tcW w:w="13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spacing w:line="240" w:lineRule="auto"/>
              <w:jc w:val="both"/>
            </w:pPr>
            <w:r>
              <w:t>pLD3214</w:t>
            </w:r>
          </w:p>
        </w:tc>
        <w:tc>
          <w:tcPr>
            <w:tcW w:w="624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spacing w:line="240" w:lineRule="auto"/>
            </w:pPr>
            <w:proofErr w:type="spellStart"/>
            <w:r>
              <w:rPr>
                <w:i/>
              </w:rPr>
              <w:t>pqsA</w:t>
            </w:r>
            <w:proofErr w:type="spellEnd"/>
            <w:r>
              <w:rPr>
                <w:i/>
              </w:rPr>
              <w:t>-C</w:t>
            </w:r>
            <w:r>
              <w:t xml:space="preserve"> PCR fragment introduced into pMQ30 by gap repair cloning in yeast strain InvSc1.</w:t>
            </w:r>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spacing w:line="240" w:lineRule="auto"/>
              <w:jc w:val="both"/>
            </w:pPr>
            <w:r>
              <w:t>this study</w:t>
            </w:r>
          </w:p>
        </w:tc>
      </w:tr>
      <w:tr w:rsidR="00BD7B44" w:rsidTr="001633CD">
        <w:trPr>
          <w:trHeight w:val="530"/>
        </w:trPr>
        <w:tc>
          <w:tcPr>
            <w:tcW w:w="13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pPr>
            <w:r>
              <w:t>pLD3215</w:t>
            </w:r>
          </w:p>
        </w:tc>
        <w:tc>
          <w:tcPr>
            <w:tcW w:w="624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spacing w:line="240" w:lineRule="auto"/>
            </w:pPr>
            <w:proofErr w:type="spellStart"/>
            <w:r>
              <w:rPr>
                <w:i/>
              </w:rPr>
              <w:t>pqsH</w:t>
            </w:r>
            <w:proofErr w:type="spellEnd"/>
            <w:r>
              <w:t xml:space="preserve"> PCR fragment introduced into pMQ30 by gap repair cloning in yeast strain InvSc1.</w:t>
            </w:r>
            <w:bookmarkStart w:id="0" w:name="_GoBack"/>
            <w:bookmarkEnd w:id="0"/>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spacing w:line="240" w:lineRule="auto"/>
              <w:jc w:val="both"/>
            </w:pPr>
            <w:r>
              <w:t>this study</w:t>
            </w:r>
          </w:p>
        </w:tc>
      </w:tr>
      <w:tr w:rsidR="00BD7B44" w:rsidTr="001633CD">
        <w:trPr>
          <w:trHeight w:val="602"/>
        </w:trPr>
        <w:tc>
          <w:tcPr>
            <w:tcW w:w="13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pPr>
            <w:r>
              <w:t>pLD3216</w:t>
            </w:r>
          </w:p>
        </w:tc>
        <w:tc>
          <w:tcPr>
            <w:tcW w:w="624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spacing w:line="240" w:lineRule="auto"/>
            </w:pPr>
            <w:proofErr w:type="spellStart"/>
            <w:r>
              <w:rPr>
                <w:i/>
              </w:rPr>
              <w:t>pqsL</w:t>
            </w:r>
            <w:proofErr w:type="spellEnd"/>
            <w:r>
              <w:t xml:space="preserve"> PCR fragment introduced into pMQ30 by gap repair cloning in yeast strain InvSc1.</w:t>
            </w:r>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spacing w:line="240" w:lineRule="auto"/>
              <w:jc w:val="both"/>
            </w:pPr>
            <w:r>
              <w:t>this study</w:t>
            </w:r>
          </w:p>
        </w:tc>
      </w:tr>
    </w:tbl>
    <w:p w:rsidR="00BD7B44" w:rsidRDefault="00B569A8">
      <w:pPr>
        <w:spacing w:line="240" w:lineRule="auto"/>
        <w:jc w:val="both"/>
        <w:rPr>
          <w:b/>
        </w:rPr>
      </w:pPr>
      <w:r>
        <w:rPr>
          <w:b/>
        </w:rPr>
        <w:t xml:space="preserve"> </w:t>
      </w:r>
    </w:p>
    <w:p w:rsidR="00BD7B44" w:rsidRDefault="00B569A8">
      <w:pPr>
        <w:spacing w:line="240" w:lineRule="auto"/>
        <w:jc w:val="both"/>
        <w:rPr>
          <w:b/>
        </w:rPr>
      </w:pPr>
      <w:r>
        <w:rPr>
          <w:b/>
        </w:rPr>
        <w:t xml:space="preserve"> Primers used in this study</w:t>
      </w:r>
    </w:p>
    <w:p w:rsidR="00BD7B44" w:rsidRDefault="00B569A8">
      <w:pPr>
        <w:spacing w:line="240" w:lineRule="auto"/>
        <w:jc w:val="both"/>
        <w:rPr>
          <w:b/>
        </w:rPr>
      </w:pPr>
      <w:r>
        <w:rPr>
          <w:b/>
        </w:rPr>
        <w:t xml:space="preserve"> </w:t>
      </w:r>
    </w:p>
    <w:tbl>
      <w:tblPr>
        <w:tblStyle w:val="a2"/>
        <w:tblW w:w="8880" w:type="dxa"/>
        <w:tblBorders>
          <w:top w:val="nil"/>
          <w:left w:val="nil"/>
          <w:bottom w:val="nil"/>
          <w:right w:val="nil"/>
          <w:insideH w:val="nil"/>
          <w:insideV w:val="nil"/>
        </w:tblBorders>
        <w:tblLayout w:type="fixed"/>
        <w:tblLook w:val="0600" w:firstRow="0" w:lastRow="0" w:firstColumn="0" w:lastColumn="0" w:noHBand="1" w:noVBand="1"/>
      </w:tblPr>
      <w:tblGrid>
        <w:gridCol w:w="1350"/>
        <w:gridCol w:w="6300"/>
        <w:gridCol w:w="1230"/>
      </w:tblGrid>
      <w:tr w:rsidR="00BD7B44">
        <w:trPr>
          <w:trHeight w:val="1340"/>
        </w:trPr>
        <w:tc>
          <w:tcPr>
            <w:tcW w:w="13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rPr>
                <w:b/>
              </w:rPr>
            </w:pPr>
            <w:r>
              <w:rPr>
                <w:b/>
              </w:rPr>
              <w:t>Primer number</w:t>
            </w:r>
          </w:p>
        </w:tc>
        <w:tc>
          <w:tcPr>
            <w:tcW w:w="6300"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spacing w:line="240" w:lineRule="auto"/>
              <w:ind w:right="-220"/>
              <w:jc w:val="both"/>
              <w:rPr>
                <w:b/>
              </w:rPr>
            </w:pPr>
            <w:r>
              <w:rPr>
                <w:b/>
              </w:rPr>
              <w:t>Sequence</w:t>
            </w:r>
          </w:p>
        </w:tc>
        <w:tc>
          <w:tcPr>
            <w:tcW w:w="1230"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spacing w:line="240" w:lineRule="auto"/>
              <w:jc w:val="both"/>
              <w:rPr>
                <w:b/>
              </w:rPr>
            </w:pPr>
            <w:r>
              <w:rPr>
                <w:b/>
              </w:rPr>
              <w:t>used to make plasmid number</w:t>
            </w:r>
          </w:p>
        </w:tc>
      </w:tr>
      <w:tr w:rsidR="00BD7B44">
        <w:trPr>
          <w:trHeight w:val="500"/>
        </w:trPr>
        <w:tc>
          <w:tcPr>
            <w:tcW w:w="135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pPr>
            <w:r>
              <w:t>LD1</w:t>
            </w:r>
          </w:p>
        </w:tc>
        <w:tc>
          <w:tcPr>
            <w:tcW w:w="63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spacing w:line="240" w:lineRule="auto"/>
              <w:ind w:right="-220"/>
              <w:jc w:val="both"/>
            </w:pPr>
            <w:proofErr w:type="spellStart"/>
            <w:r>
              <w:t>ggaattgtgagcggataacaatttcacacaggaaacagctAGAGGCTCCGATCACCCTAT</w:t>
            </w:r>
            <w:proofErr w:type="spellEnd"/>
          </w:p>
        </w:tc>
        <w:tc>
          <w:tcPr>
            <w:tcW w:w="1230" w:type="dxa"/>
            <w:vMerge w:val="restar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spacing w:line="240" w:lineRule="auto"/>
              <w:jc w:val="both"/>
            </w:pPr>
            <w:r>
              <w:t>pLD3214</w:t>
            </w:r>
          </w:p>
        </w:tc>
      </w:tr>
      <w:tr w:rsidR="00BD7B44">
        <w:trPr>
          <w:trHeight w:val="500"/>
        </w:trPr>
        <w:tc>
          <w:tcPr>
            <w:tcW w:w="135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pPr>
            <w:r>
              <w:t>LD4</w:t>
            </w:r>
          </w:p>
        </w:tc>
        <w:tc>
          <w:tcPr>
            <w:tcW w:w="63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pPr>
            <w:proofErr w:type="spellStart"/>
            <w:r>
              <w:t>ccaggcaaattctgttttatcagaccgcttctgcgttctGAACCGTAGGTCAGGACCAG</w:t>
            </w:r>
            <w:proofErr w:type="spellEnd"/>
          </w:p>
        </w:tc>
        <w:tc>
          <w:tcPr>
            <w:tcW w:w="1230" w:type="dxa"/>
            <w:vMerge/>
            <w:tcBorders>
              <w:bottom w:val="single" w:sz="8" w:space="0" w:color="000000"/>
              <w:right w:val="single" w:sz="8" w:space="0" w:color="000000"/>
            </w:tcBorders>
            <w:shd w:val="clear" w:color="auto" w:fill="auto"/>
            <w:tcMar>
              <w:top w:w="100" w:type="dxa"/>
              <w:left w:w="100" w:type="dxa"/>
              <w:bottom w:w="100" w:type="dxa"/>
              <w:right w:w="100" w:type="dxa"/>
            </w:tcMar>
          </w:tcPr>
          <w:p w:rsidR="00BD7B44" w:rsidRDefault="00BD7B44">
            <w:pPr>
              <w:widowControl w:val="0"/>
              <w:pBdr>
                <w:top w:val="nil"/>
                <w:left w:val="nil"/>
                <w:bottom w:val="nil"/>
                <w:right w:val="nil"/>
                <w:between w:val="nil"/>
              </w:pBdr>
              <w:rPr>
                <w:b/>
              </w:rPr>
            </w:pPr>
          </w:p>
        </w:tc>
      </w:tr>
      <w:tr w:rsidR="00BD7B44">
        <w:trPr>
          <w:trHeight w:val="500"/>
        </w:trPr>
        <w:tc>
          <w:tcPr>
            <w:tcW w:w="135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pPr>
            <w:r>
              <w:t>LD9</w:t>
            </w:r>
          </w:p>
        </w:tc>
        <w:tc>
          <w:tcPr>
            <w:tcW w:w="63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pPr>
            <w:proofErr w:type="spellStart"/>
            <w:r>
              <w:t>ggaattgtgagcggataacaatttcacacaggaaacagctCGCCTGTTCCTCAAGTACG</w:t>
            </w:r>
            <w:proofErr w:type="spellEnd"/>
          </w:p>
        </w:tc>
        <w:tc>
          <w:tcPr>
            <w:tcW w:w="1230" w:type="dxa"/>
            <w:vMerge w:val="restar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pPr>
            <w:r>
              <w:t>pLD3216</w:t>
            </w:r>
          </w:p>
        </w:tc>
      </w:tr>
      <w:tr w:rsidR="00BD7B44">
        <w:trPr>
          <w:trHeight w:val="500"/>
        </w:trPr>
        <w:tc>
          <w:tcPr>
            <w:tcW w:w="135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pPr>
            <w:r>
              <w:t>LD12</w:t>
            </w:r>
          </w:p>
        </w:tc>
        <w:tc>
          <w:tcPr>
            <w:tcW w:w="63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pPr>
            <w:proofErr w:type="spellStart"/>
            <w:r>
              <w:t>ccaggcaaattctgttttatcagaccgcttctgcgttCTCGAACAGGTGTTCCTCAATC</w:t>
            </w:r>
            <w:proofErr w:type="spellEnd"/>
          </w:p>
        </w:tc>
        <w:tc>
          <w:tcPr>
            <w:tcW w:w="1230" w:type="dxa"/>
            <w:vMerge/>
            <w:tcBorders>
              <w:bottom w:val="single" w:sz="8" w:space="0" w:color="000000"/>
              <w:right w:val="single" w:sz="8" w:space="0" w:color="000000"/>
            </w:tcBorders>
            <w:shd w:val="clear" w:color="auto" w:fill="auto"/>
            <w:tcMar>
              <w:top w:w="100" w:type="dxa"/>
              <w:left w:w="100" w:type="dxa"/>
              <w:bottom w:w="100" w:type="dxa"/>
              <w:right w:w="100" w:type="dxa"/>
            </w:tcMar>
          </w:tcPr>
          <w:p w:rsidR="00BD7B44" w:rsidRDefault="00BD7B44">
            <w:pPr>
              <w:widowControl w:val="0"/>
              <w:pBdr>
                <w:top w:val="nil"/>
                <w:left w:val="nil"/>
                <w:bottom w:val="nil"/>
                <w:right w:val="nil"/>
                <w:between w:val="nil"/>
              </w:pBdr>
              <w:rPr>
                <w:b/>
              </w:rPr>
            </w:pPr>
          </w:p>
        </w:tc>
      </w:tr>
      <w:tr w:rsidR="00BD7B44">
        <w:trPr>
          <w:trHeight w:val="500"/>
        </w:trPr>
        <w:tc>
          <w:tcPr>
            <w:tcW w:w="135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pPr>
            <w:r>
              <w:lastRenderedPageBreak/>
              <w:t>LD168</w:t>
            </w:r>
          </w:p>
        </w:tc>
        <w:tc>
          <w:tcPr>
            <w:tcW w:w="63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pPr>
            <w:proofErr w:type="spellStart"/>
            <w:r>
              <w:t>ggaattgtgagcggataacaatttcacacaggaaacagctGATATCCACATCCACGGTGTC</w:t>
            </w:r>
            <w:proofErr w:type="spellEnd"/>
          </w:p>
        </w:tc>
        <w:tc>
          <w:tcPr>
            <w:tcW w:w="1230" w:type="dxa"/>
            <w:vMerge w:val="restar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pPr>
            <w:r>
              <w:t>pLD3215</w:t>
            </w:r>
          </w:p>
        </w:tc>
      </w:tr>
      <w:tr w:rsidR="00BD7B44">
        <w:trPr>
          <w:trHeight w:val="500"/>
        </w:trPr>
        <w:tc>
          <w:tcPr>
            <w:tcW w:w="135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pPr>
            <w:r>
              <w:t>LD171</w:t>
            </w:r>
          </w:p>
        </w:tc>
        <w:tc>
          <w:tcPr>
            <w:tcW w:w="63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BD7B44" w:rsidRDefault="00B569A8">
            <w:pPr>
              <w:widowControl w:val="0"/>
              <w:pBdr>
                <w:top w:val="nil"/>
                <w:left w:val="nil"/>
                <w:bottom w:val="nil"/>
                <w:right w:val="nil"/>
                <w:between w:val="nil"/>
              </w:pBdr>
            </w:pPr>
            <w:proofErr w:type="spellStart"/>
            <w:r>
              <w:t>ccaggcaaattctgttttatcagaccgcttctgcgttctgatCTTCTCGAAGATGCGGTAGC</w:t>
            </w:r>
            <w:proofErr w:type="spellEnd"/>
          </w:p>
        </w:tc>
        <w:tc>
          <w:tcPr>
            <w:tcW w:w="1230" w:type="dxa"/>
            <w:vMerge/>
            <w:tcBorders>
              <w:bottom w:val="single" w:sz="8" w:space="0" w:color="000000"/>
              <w:right w:val="single" w:sz="8" w:space="0" w:color="000000"/>
            </w:tcBorders>
            <w:shd w:val="clear" w:color="auto" w:fill="auto"/>
            <w:tcMar>
              <w:top w:w="100" w:type="dxa"/>
              <w:left w:w="100" w:type="dxa"/>
              <w:bottom w:w="100" w:type="dxa"/>
              <w:right w:w="100" w:type="dxa"/>
            </w:tcMar>
          </w:tcPr>
          <w:p w:rsidR="00BD7B44" w:rsidRDefault="00BD7B44">
            <w:pPr>
              <w:widowControl w:val="0"/>
              <w:pBdr>
                <w:top w:val="nil"/>
                <w:left w:val="nil"/>
                <w:bottom w:val="nil"/>
                <w:right w:val="nil"/>
                <w:between w:val="nil"/>
              </w:pBdr>
              <w:rPr>
                <w:b/>
              </w:rPr>
            </w:pPr>
          </w:p>
        </w:tc>
      </w:tr>
    </w:tbl>
    <w:p w:rsidR="00BD7B44" w:rsidRDefault="00B569A8">
      <w:pPr>
        <w:spacing w:line="240" w:lineRule="auto"/>
        <w:jc w:val="both"/>
      </w:pPr>
      <w:r>
        <w:t xml:space="preserve"> </w:t>
      </w:r>
    </w:p>
    <w:p w:rsidR="00BD7B44" w:rsidRDefault="00B569A8">
      <w:pPr>
        <w:spacing w:line="240" w:lineRule="auto"/>
        <w:jc w:val="both"/>
        <w:rPr>
          <w:b/>
        </w:rPr>
      </w:pPr>
      <w:r>
        <w:br w:type="page"/>
      </w:r>
    </w:p>
    <w:p w:rsidR="00BD7B44" w:rsidRDefault="00B569A8">
      <w:pPr>
        <w:spacing w:line="240" w:lineRule="auto"/>
        <w:jc w:val="both"/>
        <w:rPr>
          <w:b/>
        </w:rPr>
      </w:pPr>
      <w:r>
        <w:rPr>
          <w:b/>
        </w:rPr>
        <w:lastRenderedPageBreak/>
        <w:t>Data availability</w:t>
      </w:r>
    </w:p>
    <w:p w:rsidR="00BD7B44" w:rsidRDefault="00BD7B44">
      <w:pPr>
        <w:spacing w:line="240" w:lineRule="auto"/>
        <w:jc w:val="both"/>
        <w:rPr>
          <w:b/>
        </w:rPr>
      </w:pPr>
    </w:p>
    <w:p w:rsidR="00BD7B44" w:rsidRDefault="00B569A8">
      <w:pPr>
        <w:spacing w:line="240" w:lineRule="auto"/>
        <w:jc w:val="both"/>
      </w:pPr>
      <w:r>
        <w:t xml:space="preserve">GNPS Job Link 1: </w:t>
      </w:r>
    </w:p>
    <w:p w:rsidR="00BD7B44" w:rsidRDefault="00B569A8">
      <w:pPr>
        <w:spacing w:line="240" w:lineRule="auto"/>
        <w:jc w:val="both"/>
      </w:pPr>
      <w:hyperlink r:id="rId38">
        <w:r>
          <w:rPr>
            <w:color w:val="1155CC"/>
            <w:u w:val="single"/>
          </w:rPr>
          <w:t>https://gnps.ucsd.edu/ProteoSAFe/status.jsp?task=3a542d7c1f3c4cd5b69bb99433065af3</w:t>
        </w:r>
      </w:hyperlink>
    </w:p>
    <w:p w:rsidR="00BD7B44" w:rsidRDefault="00BD7B44">
      <w:pPr>
        <w:spacing w:line="240" w:lineRule="auto"/>
        <w:jc w:val="both"/>
      </w:pPr>
    </w:p>
    <w:p w:rsidR="00BD7B44" w:rsidRDefault="00B569A8">
      <w:pPr>
        <w:spacing w:line="240" w:lineRule="auto"/>
        <w:jc w:val="both"/>
      </w:pPr>
      <w:r>
        <w:t>GNPS Job Link 2:</w:t>
      </w:r>
    </w:p>
    <w:p w:rsidR="00BD7B44" w:rsidRDefault="00B569A8">
      <w:pPr>
        <w:spacing w:line="240" w:lineRule="auto"/>
        <w:jc w:val="both"/>
      </w:pPr>
      <w:hyperlink r:id="rId39">
        <w:r>
          <w:rPr>
            <w:color w:val="1155CC"/>
            <w:u w:val="single"/>
          </w:rPr>
          <w:t>https://gnps.ucsd.edu/ProteoSAFe/status.jsp?task=b96ee4ae2f9640d3b3a2dcabeed08c3a</w:t>
        </w:r>
      </w:hyperlink>
    </w:p>
    <w:p w:rsidR="00BD7B44" w:rsidRDefault="00BD7B44">
      <w:pPr>
        <w:spacing w:line="240" w:lineRule="auto"/>
        <w:jc w:val="both"/>
      </w:pPr>
    </w:p>
    <w:p w:rsidR="00BD7B44" w:rsidRDefault="00B569A8">
      <w:pPr>
        <w:spacing w:line="240" w:lineRule="auto"/>
        <w:jc w:val="both"/>
      </w:pPr>
      <w:r>
        <w:t xml:space="preserve">LC-MS/MS raw data (in triplicate): (accession number: </w:t>
      </w:r>
      <w:r>
        <w:rPr>
          <w:b/>
        </w:rPr>
        <w:t>MSV000083258</w:t>
      </w:r>
      <w:r>
        <w:t>)</w:t>
      </w:r>
    </w:p>
    <w:p w:rsidR="00BD7B44" w:rsidRDefault="00BD7B44">
      <w:pPr>
        <w:spacing w:line="240" w:lineRule="auto"/>
        <w:jc w:val="both"/>
      </w:pPr>
    </w:p>
    <w:p w:rsidR="00BD7B44" w:rsidRDefault="00B569A8">
      <w:pPr>
        <w:spacing w:line="240" w:lineRule="auto"/>
        <w:jc w:val="both"/>
        <w:rPr>
          <w:highlight w:val="white"/>
        </w:rPr>
      </w:pPr>
      <w:r>
        <w:t>All IMS raw data (in triplicate): (accession number:</w:t>
      </w:r>
      <w:r>
        <w:rPr>
          <w:highlight w:val="white"/>
        </w:rPr>
        <w:t xml:space="preserve"> </w:t>
      </w:r>
      <w:r>
        <w:rPr>
          <w:b/>
          <w:highlight w:val="white"/>
        </w:rPr>
        <w:t>MSV0000</w:t>
      </w:r>
      <w:r>
        <w:rPr>
          <w:b/>
          <w:highlight w:val="white"/>
        </w:rPr>
        <w:t>83413</w:t>
      </w:r>
      <w:r>
        <w:rPr>
          <w:highlight w:val="white"/>
        </w:rPr>
        <w:t>)</w:t>
      </w:r>
    </w:p>
    <w:p w:rsidR="00BD7B44" w:rsidRDefault="00BD7B44">
      <w:pPr>
        <w:spacing w:line="240" w:lineRule="auto"/>
        <w:jc w:val="both"/>
        <w:rPr>
          <w:highlight w:val="white"/>
        </w:rPr>
      </w:pPr>
    </w:p>
    <w:p w:rsidR="00BD7B44" w:rsidRDefault="00BD7B44">
      <w:pPr>
        <w:spacing w:line="480" w:lineRule="auto"/>
        <w:jc w:val="both"/>
        <w:rPr>
          <w:highlight w:val="white"/>
        </w:rPr>
      </w:pPr>
    </w:p>
    <w:p w:rsidR="00BD7B44" w:rsidRDefault="00B569A8">
      <w:pPr>
        <w:widowControl w:val="0"/>
        <w:pBdr>
          <w:top w:val="nil"/>
          <w:left w:val="nil"/>
          <w:bottom w:val="nil"/>
          <w:right w:val="nil"/>
          <w:between w:val="nil"/>
        </w:pBdr>
        <w:spacing w:before="220" w:after="220" w:line="240" w:lineRule="auto"/>
        <w:rPr>
          <w:color w:val="000000"/>
          <w:highlight w:val="white"/>
        </w:rPr>
      </w:pPr>
      <w:hyperlink r:id="rId40">
        <w:r>
          <w:rPr>
            <w:color w:val="000000"/>
            <w:highlight w:val="white"/>
          </w:rPr>
          <w:t xml:space="preserve">1. Wang M, Carver JJ, Phelan VV, Sanchez LM, Garg N, Peng Y, Nguyen DD, Watrous J, </w:t>
        </w:r>
        <w:proofErr w:type="spellStart"/>
        <w:r>
          <w:rPr>
            <w:color w:val="000000"/>
            <w:highlight w:val="white"/>
          </w:rPr>
          <w:t>Kapono</w:t>
        </w:r>
        <w:proofErr w:type="spellEnd"/>
        <w:r>
          <w:rPr>
            <w:color w:val="000000"/>
            <w:highlight w:val="white"/>
          </w:rPr>
          <w:t xml:space="preserve"> CA, </w:t>
        </w:r>
        <w:proofErr w:type="spellStart"/>
        <w:r>
          <w:rPr>
            <w:color w:val="000000"/>
            <w:highlight w:val="white"/>
          </w:rPr>
          <w:t>Luzzatto-Knaan</w:t>
        </w:r>
        <w:proofErr w:type="spellEnd"/>
        <w:r>
          <w:rPr>
            <w:color w:val="000000"/>
            <w:highlight w:val="white"/>
          </w:rPr>
          <w:t xml:space="preserve"> T, Porto C, </w:t>
        </w:r>
        <w:proofErr w:type="spellStart"/>
        <w:r>
          <w:rPr>
            <w:color w:val="000000"/>
            <w:highlight w:val="white"/>
          </w:rPr>
          <w:t>Bouslimani</w:t>
        </w:r>
        <w:proofErr w:type="spellEnd"/>
        <w:r>
          <w:rPr>
            <w:color w:val="000000"/>
            <w:highlight w:val="white"/>
          </w:rPr>
          <w:t xml:space="preserve"> A, </w:t>
        </w:r>
        <w:proofErr w:type="spellStart"/>
        <w:r>
          <w:rPr>
            <w:color w:val="000000"/>
            <w:highlight w:val="white"/>
          </w:rPr>
          <w:t>Melnik</w:t>
        </w:r>
        <w:proofErr w:type="spellEnd"/>
        <w:r>
          <w:rPr>
            <w:color w:val="000000"/>
            <w:highlight w:val="white"/>
          </w:rPr>
          <w:t xml:space="preserve"> AV, Meehan MJ, Liu W-T, </w:t>
        </w:r>
        <w:proofErr w:type="spellStart"/>
        <w:r>
          <w:rPr>
            <w:color w:val="000000"/>
            <w:highlight w:val="white"/>
          </w:rPr>
          <w:t>Crüsemann</w:t>
        </w:r>
        <w:proofErr w:type="spellEnd"/>
        <w:r>
          <w:rPr>
            <w:color w:val="000000"/>
            <w:highlight w:val="white"/>
          </w:rPr>
          <w:t xml:space="preserve"> M, Boudreau PD, </w:t>
        </w:r>
        <w:proofErr w:type="spellStart"/>
        <w:r>
          <w:rPr>
            <w:color w:val="000000"/>
            <w:highlight w:val="white"/>
          </w:rPr>
          <w:t>Esquenazi</w:t>
        </w:r>
        <w:proofErr w:type="spellEnd"/>
        <w:r>
          <w:rPr>
            <w:color w:val="000000"/>
            <w:highlight w:val="white"/>
          </w:rPr>
          <w:t xml:space="preserve"> E, Sandoval-Calderón M, Kersten RD, Pace LA, Quinn RA,</w:t>
        </w:r>
        <w:r>
          <w:rPr>
            <w:color w:val="000000"/>
            <w:highlight w:val="white"/>
          </w:rPr>
          <w:t xml:space="preserve"> Duncan KR, Hsu C-C, </w:t>
        </w:r>
        <w:proofErr w:type="spellStart"/>
        <w:r>
          <w:rPr>
            <w:color w:val="000000"/>
            <w:highlight w:val="white"/>
          </w:rPr>
          <w:t>Floros</w:t>
        </w:r>
        <w:proofErr w:type="spellEnd"/>
        <w:r>
          <w:rPr>
            <w:color w:val="000000"/>
            <w:highlight w:val="white"/>
          </w:rPr>
          <w:t xml:space="preserve"> DJ, Gavilan RG, </w:t>
        </w:r>
        <w:proofErr w:type="spellStart"/>
        <w:r>
          <w:rPr>
            <w:color w:val="000000"/>
            <w:highlight w:val="white"/>
          </w:rPr>
          <w:t>Kleigrewe</w:t>
        </w:r>
        <w:proofErr w:type="spellEnd"/>
        <w:r>
          <w:rPr>
            <w:color w:val="000000"/>
            <w:highlight w:val="white"/>
          </w:rPr>
          <w:t xml:space="preserve"> K, </w:t>
        </w:r>
        <w:proofErr w:type="spellStart"/>
        <w:r>
          <w:rPr>
            <w:color w:val="000000"/>
            <w:highlight w:val="white"/>
          </w:rPr>
          <w:t>Northen</w:t>
        </w:r>
        <w:proofErr w:type="spellEnd"/>
        <w:r>
          <w:rPr>
            <w:color w:val="000000"/>
            <w:highlight w:val="white"/>
          </w:rPr>
          <w:t xml:space="preserve"> T, Dutton RJ, Parrot D, Carlson EE, </w:t>
        </w:r>
        <w:proofErr w:type="spellStart"/>
        <w:r>
          <w:rPr>
            <w:color w:val="000000"/>
            <w:highlight w:val="white"/>
          </w:rPr>
          <w:t>Aigle</w:t>
        </w:r>
        <w:proofErr w:type="spellEnd"/>
        <w:r>
          <w:rPr>
            <w:color w:val="000000"/>
            <w:highlight w:val="white"/>
          </w:rPr>
          <w:t xml:space="preserve"> B, Michelsen CF, </w:t>
        </w:r>
        <w:proofErr w:type="spellStart"/>
        <w:r>
          <w:rPr>
            <w:color w:val="000000"/>
            <w:highlight w:val="white"/>
          </w:rPr>
          <w:t>Jelsbak</w:t>
        </w:r>
        <w:proofErr w:type="spellEnd"/>
        <w:r>
          <w:rPr>
            <w:color w:val="000000"/>
            <w:highlight w:val="white"/>
          </w:rPr>
          <w:t xml:space="preserve"> L, </w:t>
        </w:r>
        <w:proofErr w:type="spellStart"/>
        <w:r>
          <w:rPr>
            <w:color w:val="000000"/>
            <w:highlight w:val="white"/>
          </w:rPr>
          <w:t>Sohlenkamp</w:t>
        </w:r>
        <w:proofErr w:type="spellEnd"/>
        <w:r>
          <w:rPr>
            <w:color w:val="000000"/>
            <w:highlight w:val="white"/>
          </w:rPr>
          <w:t xml:space="preserve"> C, </w:t>
        </w:r>
        <w:proofErr w:type="spellStart"/>
        <w:r>
          <w:rPr>
            <w:color w:val="000000"/>
            <w:highlight w:val="white"/>
          </w:rPr>
          <w:t>Pevzner</w:t>
        </w:r>
        <w:proofErr w:type="spellEnd"/>
        <w:r>
          <w:rPr>
            <w:color w:val="000000"/>
            <w:highlight w:val="white"/>
          </w:rPr>
          <w:t xml:space="preserve"> P, </w:t>
        </w:r>
        <w:proofErr w:type="spellStart"/>
        <w:r>
          <w:rPr>
            <w:color w:val="000000"/>
            <w:highlight w:val="white"/>
          </w:rPr>
          <w:t>Edlund</w:t>
        </w:r>
        <w:proofErr w:type="spellEnd"/>
        <w:r>
          <w:rPr>
            <w:color w:val="000000"/>
            <w:highlight w:val="white"/>
          </w:rPr>
          <w:t xml:space="preserve"> A, McLean J, </w:t>
        </w:r>
        <w:proofErr w:type="spellStart"/>
        <w:r>
          <w:rPr>
            <w:color w:val="000000"/>
            <w:highlight w:val="white"/>
          </w:rPr>
          <w:t>Piel</w:t>
        </w:r>
        <w:proofErr w:type="spellEnd"/>
        <w:r>
          <w:rPr>
            <w:color w:val="000000"/>
            <w:highlight w:val="white"/>
          </w:rPr>
          <w:t xml:space="preserve"> J, Murphy BT, </w:t>
        </w:r>
        <w:proofErr w:type="spellStart"/>
        <w:r>
          <w:rPr>
            <w:color w:val="000000"/>
            <w:highlight w:val="white"/>
          </w:rPr>
          <w:t>Gerwick</w:t>
        </w:r>
        <w:proofErr w:type="spellEnd"/>
        <w:r>
          <w:rPr>
            <w:color w:val="000000"/>
            <w:highlight w:val="white"/>
          </w:rPr>
          <w:t xml:space="preserve"> L, </w:t>
        </w:r>
        <w:proofErr w:type="spellStart"/>
        <w:r>
          <w:rPr>
            <w:color w:val="000000"/>
            <w:highlight w:val="white"/>
          </w:rPr>
          <w:t>Liaw</w:t>
        </w:r>
        <w:proofErr w:type="spellEnd"/>
        <w:r>
          <w:rPr>
            <w:color w:val="000000"/>
            <w:highlight w:val="white"/>
          </w:rPr>
          <w:t xml:space="preserve"> C-C, Yang Y-L, </w:t>
        </w:r>
        <w:proofErr w:type="spellStart"/>
        <w:r>
          <w:rPr>
            <w:color w:val="000000"/>
            <w:highlight w:val="white"/>
          </w:rPr>
          <w:t>Humpf</w:t>
        </w:r>
        <w:proofErr w:type="spellEnd"/>
        <w:r>
          <w:rPr>
            <w:color w:val="000000"/>
            <w:highlight w:val="white"/>
          </w:rPr>
          <w:t xml:space="preserve"> H-U, </w:t>
        </w:r>
        <w:proofErr w:type="spellStart"/>
        <w:r>
          <w:rPr>
            <w:color w:val="000000"/>
            <w:highlight w:val="white"/>
          </w:rPr>
          <w:t>Maansson</w:t>
        </w:r>
        <w:proofErr w:type="spellEnd"/>
        <w:r>
          <w:rPr>
            <w:color w:val="000000"/>
            <w:highlight w:val="white"/>
          </w:rPr>
          <w:t xml:space="preserve"> M, </w:t>
        </w:r>
        <w:proofErr w:type="spellStart"/>
        <w:r>
          <w:rPr>
            <w:color w:val="000000"/>
            <w:highlight w:val="white"/>
          </w:rPr>
          <w:t>Key</w:t>
        </w:r>
        <w:r>
          <w:rPr>
            <w:color w:val="000000"/>
            <w:highlight w:val="white"/>
          </w:rPr>
          <w:t>zers</w:t>
        </w:r>
        <w:proofErr w:type="spellEnd"/>
        <w:r>
          <w:rPr>
            <w:color w:val="000000"/>
            <w:highlight w:val="white"/>
          </w:rPr>
          <w:t xml:space="preserve"> RA, Sims AC, Johnson AR, Sidebottom AM, </w:t>
        </w:r>
        <w:proofErr w:type="spellStart"/>
        <w:r>
          <w:rPr>
            <w:color w:val="000000"/>
            <w:highlight w:val="white"/>
          </w:rPr>
          <w:t>Sedio</w:t>
        </w:r>
        <w:proofErr w:type="spellEnd"/>
        <w:r>
          <w:rPr>
            <w:color w:val="000000"/>
            <w:highlight w:val="white"/>
          </w:rPr>
          <w:t xml:space="preserve"> BE, </w:t>
        </w:r>
        <w:proofErr w:type="spellStart"/>
        <w:r>
          <w:rPr>
            <w:color w:val="000000"/>
            <w:highlight w:val="white"/>
          </w:rPr>
          <w:t>Klitgaard</w:t>
        </w:r>
        <w:proofErr w:type="spellEnd"/>
        <w:r>
          <w:rPr>
            <w:color w:val="000000"/>
            <w:highlight w:val="white"/>
          </w:rPr>
          <w:t xml:space="preserve"> A, Larson CB, P CAB, Torres-Mendoza D, Gonzalez DJ, Silva DB, Marques LM, </w:t>
        </w:r>
        <w:proofErr w:type="spellStart"/>
        <w:r>
          <w:rPr>
            <w:color w:val="000000"/>
            <w:highlight w:val="white"/>
          </w:rPr>
          <w:t>Demarque</w:t>
        </w:r>
        <w:proofErr w:type="spellEnd"/>
        <w:r>
          <w:rPr>
            <w:color w:val="000000"/>
            <w:highlight w:val="white"/>
          </w:rPr>
          <w:t xml:space="preserve"> DP, </w:t>
        </w:r>
        <w:proofErr w:type="spellStart"/>
        <w:r>
          <w:rPr>
            <w:color w:val="000000"/>
            <w:highlight w:val="white"/>
          </w:rPr>
          <w:t>Pociute</w:t>
        </w:r>
        <w:proofErr w:type="spellEnd"/>
        <w:r>
          <w:rPr>
            <w:color w:val="000000"/>
            <w:highlight w:val="white"/>
          </w:rPr>
          <w:t xml:space="preserve"> E, O’Neill EC, Briand E, Helfrich EJN, </w:t>
        </w:r>
        <w:proofErr w:type="spellStart"/>
        <w:r>
          <w:rPr>
            <w:color w:val="000000"/>
            <w:highlight w:val="white"/>
          </w:rPr>
          <w:t>Granatosky</w:t>
        </w:r>
        <w:proofErr w:type="spellEnd"/>
        <w:r>
          <w:rPr>
            <w:color w:val="000000"/>
            <w:highlight w:val="white"/>
          </w:rPr>
          <w:t xml:space="preserve"> EA, </w:t>
        </w:r>
        <w:proofErr w:type="spellStart"/>
        <w:r>
          <w:rPr>
            <w:color w:val="000000"/>
            <w:highlight w:val="white"/>
          </w:rPr>
          <w:t>Glukhov</w:t>
        </w:r>
        <w:proofErr w:type="spellEnd"/>
        <w:r>
          <w:rPr>
            <w:color w:val="000000"/>
            <w:highlight w:val="white"/>
          </w:rPr>
          <w:t xml:space="preserve"> E, </w:t>
        </w:r>
        <w:proofErr w:type="spellStart"/>
        <w:r>
          <w:rPr>
            <w:color w:val="000000"/>
            <w:highlight w:val="white"/>
          </w:rPr>
          <w:t>Ryffel</w:t>
        </w:r>
        <w:proofErr w:type="spellEnd"/>
        <w:r>
          <w:rPr>
            <w:color w:val="000000"/>
            <w:highlight w:val="white"/>
          </w:rPr>
          <w:t xml:space="preserve"> F, </w:t>
        </w:r>
        <w:proofErr w:type="spellStart"/>
        <w:r>
          <w:rPr>
            <w:color w:val="000000"/>
            <w:highlight w:val="white"/>
          </w:rPr>
          <w:t>Houson</w:t>
        </w:r>
        <w:proofErr w:type="spellEnd"/>
        <w:r>
          <w:rPr>
            <w:color w:val="000000"/>
            <w:highlight w:val="white"/>
          </w:rPr>
          <w:t xml:space="preserve"> H, </w:t>
        </w:r>
        <w:proofErr w:type="spellStart"/>
        <w:r>
          <w:rPr>
            <w:color w:val="000000"/>
            <w:highlight w:val="white"/>
          </w:rPr>
          <w:t>Mohimani</w:t>
        </w:r>
        <w:proofErr w:type="spellEnd"/>
        <w:r>
          <w:rPr>
            <w:color w:val="000000"/>
            <w:highlight w:val="white"/>
          </w:rPr>
          <w:t xml:space="preserve"> H,</w:t>
        </w:r>
        <w:r>
          <w:rPr>
            <w:color w:val="000000"/>
            <w:highlight w:val="white"/>
          </w:rPr>
          <w:t xml:space="preserve"> </w:t>
        </w:r>
        <w:proofErr w:type="spellStart"/>
        <w:r>
          <w:rPr>
            <w:color w:val="000000"/>
            <w:highlight w:val="white"/>
          </w:rPr>
          <w:t>Kharbush</w:t>
        </w:r>
        <w:proofErr w:type="spellEnd"/>
        <w:r>
          <w:rPr>
            <w:color w:val="000000"/>
            <w:highlight w:val="white"/>
          </w:rPr>
          <w:t xml:space="preserve"> JJ, Zeng Y, </w:t>
        </w:r>
        <w:proofErr w:type="spellStart"/>
        <w:r>
          <w:rPr>
            <w:color w:val="000000"/>
            <w:highlight w:val="white"/>
          </w:rPr>
          <w:t>Vorholt</w:t>
        </w:r>
        <w:proofErr w:type="spellEnd"/>
        <w:r>
          <w:rPr>
            <w:color w:val="000000"/>
            <w:highlight w:val="white"/>
          </w:rPr>
          <w:t xml:space="preserve"> JA, Kurita KL, </w:t>
        </w:r>
        <w:proofErr w:type="spellStart"/>
        <w:r>
          <w:rPr>
            <w:color w:val="000000"/>
            <w:highlight w:val="white"/>
          </w:rPr>
          <w:t>Charusanti</w:t>
        </w:r>
        <w:proofErr w:type="spellEnd"/>
        <w:r>
          <w:rPr>
            <w:color w:val="000000"/>
            <w:highlight w:val="white"/>
          </w:rPr>
          <w:t xml:space="preserve"> P, McPhail KL, Nielsen KF, </w:t>
        </w:r>
        <w:proofErr w:type="spellStart"/>
        <w:r>
          <w:rPr>
            <w:color w:val="000000"/>
            <w:highlight w:val="white"/>
          </w:rPr>
          <w:t>Vuong</w:t>
        </w:r>
        <w:proofErr w:type="spellEnd"/>
        <w:r>
          <w:rPr>
            <w:color w:val="000000"/>
            <w:highlight w:val="white"/>
          </w:rPr>
          <w:t xml:space="preserve"> L, </w:t>
        </w:r>
        <w:proofErr w:type="spellStart"/>
        <w:r>
          <w:rPr>
            <w:color w:val="000000"/>
            <w:highlight w:val="white"/>
          </w:rPr>
          <w:t>Elfeki</w:t>
        </w:r>
        <w:proofErr w:type="spellEnd"/>
        <w:r>
          <w:rPr>
            <w:color w:val="000000"/>
            <w:highlight w:val="white"/>
          </w:rPr>
          <w:t xml:space="preserve"> M, Traxler MF, </w:t>
        </w:r>
        <w:proofErr w:type="spellStart"/>
        <w:r>
          <w:rPr>
            <w:color w:val="000000"/>
            <w:highlight w:val="white"/>
          </w:rPr>
          <w:t>Engene</w:t>
        </w:r>
        <w:proofErr w:type="spellEnd"/>
        <w:r>
          <w:rPr>
            <w:color w:val="000000"/>
            <w:highlight w:val="white"/>
          </w:rPr>
          <w:t xml:space="preserve"> N, Koyama N, Vining OB, Baric R, Silva RR, </w:t>
        </w:r>
        <w:proofErr w:type="spellStart"/>
        <w:r>
          <w:rPr>
            <w:color w:val="000000"/>
            <w:highlight w:val="white"/>
          </w:rPr>
          <w:t>Mascuch</w:t>
        </w:r>
        <w:proofErr w:type="spellEnd"/>
        <w:r>
          <w:rPr>
            <w:color w:val="000000"/>
            <w:highlight w:val="white"/>
          </w:rPr>
          <w:t xml:space="preserve"> SJ, </w:t>
        </w:r>
        <w:proofErr w:type="spellStart"/>
        <w:r>
          <w:rPr>
            <w:color w:val="000000"/>
            <w:highlight w:val="white"/>
          </w:rPr>
          <w:t>Tomasi</w:t>
        </w:r>
        <w:proofErr w:type="spellEnd"/>
        <w:r>
          <w:rPr>
            <w:color w:val="000000"/>
            <w:highlight w:val="white"/>
          </w:rPr>
          <w:t xml:space="preserve"> S, Jenkins S, </w:t>
        </w:r>
        <w:proofErr w:type="spellStart"/>
        <w:r>
          <w:rPr>
            <w:color w:val="000000"/>
            <w:highlight w:val="white"/>
          </w:rPr>
          <w:t>Macherla</w:t>
        </w:r>
        <w:proofErr w:type="spellEnd"/>
        <w:r>
          <w:rPr>
            <w:color w:val="000000"/>
            <w:highlight w:val="white"/>
          </w:rPr>
          <w:t xml:space="preserve"> V, Hoffman T, Agarwal V, Williams PG, Dai J, Neupa</w:t>
        </w:r>
        <w:r>
          <w:rPr>
            <w:color w:val="000000"/>
            <w:highlight w:val="white"/>
          </w:rPr>
          <w:t xml:space="preserve">ne R, </w:t>
        </w:r>
        <w:proofErr w:type="spellStart"/>
        <w:r>
          <w:rPr>
            <w:color w:val="000000"/>
            <w:highlight w:val="white"/>
          </w:rPr>
          <w:t>Gurr</w:t>
        </w:r>
        <w:proofErr w:type="spellEnd"/>
        <w:r>
          <w:rPr>
            <w:color w:val="000000"/>
            <w:highlight w:val="white"/>
          </w:rPr>
          <w:t xml:space="preserve"> J, Rodríguez AMC, </w:t>
        </w:r>
        <w:proofErr w:type="spellStart"/>
        <w:r>
          <w:rPr>
            <w:color w:val="000000"/>
            <w:highlight w:val="white"/>
          </w:rPr>
          <w:t>Lamsa</w:t>
        </w:r>
        <w:proofErr w:type="spellEnd"/>
        <w:r>
          <w:rPr>
            <w:color w:val="000000"/>
            <w:highlight w:val="white"/>
          </w:rPr>
          <w:t xml:space="preserve"> A, Zhang C, </w:t>
        </w:r>
        <w:proofErr w:type="spellStart"/>
        <w:r>
          <w:rPr>
            <w:color w:val="000000"/>
            <w:highlight w:val="white"/>
          </w:rPr>
          <w:t>Dorrestein</w:t>
        </w:r>
        <w:proofErr w:type="spellEnd"/>
        <w:r>
          <w:rPr>
            <w:color w:val="000000"/>
            <w:highlight w:val="white"/>
          </w:rPr>
          <w:t xml:space="preserve"> K, Duggan BM, </w:t>
        </w:r>
        <w:proofErr w:type="spellStart"/>
        <w:r>
          <w:rPr>
            <w:color w:val="000000"/>
            <w:highlight w:val="white"/>
          </w:rPr>
          <w:t>Almaliti</w:t>
        </w:r>
        <w:proofErr w:type="spellEnd"/>
        <w:r>
          <w:rPr>
            <w:color w:val="000000"/>
            <w:highlight w:val="white"/>
          </w:rPr>
          <w:t xml:space="preserve"> J, Allard P-M, </w:t>
        </w:r>
        <w:proofErr w:type="spellStart"/>
        <w:r>
          <w:rPr>
            <w:color w:val="000000"/>
            <w:highlight w:val="white"/>
          </w:rPr>
          <w:t>Phapale</w:t>
        </w:r>
        <w:proofErr w:type="spellEnd"/>
        <w:r>
          <w:rPr>
            <w:color w:val="000000"/>
            <w:highlight w:val="white"/>
          </w:rPr>
          <w:t xml:space="preserve"> P, </w:t>
        </w:r>
        <w:proofErr w:type="spellStart"/>
        <w:r>
          <w:rPr>
            <w:color w:val="000000"/>
            <w:highlight w:val="white"/>
          </w:rPr>
          <w:t>Nothias</w:t>
        </w:r>
        <w:proofErr w:type="spellEnd"/>
        <w:r>
          <w:rPr>
            <w:color w:val="000000"/>
            <w:highlight w:val="white"/>
          </w:rPr>
          <w:t xml:space="preserve"> L-F, </w:t>
        </w:r>
        <w:proofErr w:type="spellStart"/>
        <w:r>
          <w:rPr>
            <w:color w:val="000000"/>
            <w:highlight w:val="white"/>
          </w:rPr>
          <w:t>Alexandrov</w:t>
        </w:r>
        <w:proofErr w:type="spellEnd"/>
        <w:r>
          <w:rPr>
            <w:color w:val="000000"/>
            <w:highlight w:val="white"/>
          </w:rPr>
          <w:t xml:space="preserve"> T, </w:t>
        </w:r>
        <w:proofErr w:type="spellStart"/>
        <w:r>
          <w:rPr>
            <w:color w:val="000000"/>
            <w:highlight w:val="white"/>
          </w:rPr>
          <w:t>Litaudon</w:t>
        </w:r>
        <w:proofErr w:type="spellEnd"/>
        <w:r>
          <w:rPr>
            <w:color w:val="000000"/>
            <w:highlight w:val="white"/>
          </w:rPr>
          <w:t xml:space="preserve"> M, </w:t>
        </w:r>
        <w:proofErr w:type="spellStart"/>
        <w:r>
          <w:rPr>
            <w:color w:val="000000"/>
            <w:highlight w:val="white"/>
          </w:rPr>
          <w:t>Wolfender</w:t>
        </w:r>
        <w:proofErr w:type="spellEnd"/>
        <w:r>
          <w:rPr>
            <w:color w:val="000000"/>
            <w:highlight w:val="white"/>
          </w:rPr>
          <w:t xml:space="preserve"> J-L, Kyle JE, Metz TO, </w:t>
        </w:r>
        <w:proofErr w:type="spellStart"/>
        <w:r>
          <w:rPr>
            <w:color w:val="000000"/>
            <w:highlight w:val="white"/>
          </w:rPr>
          <w:t>Peryea</w:t>
        </w:r>
        <w:proofErr w:type="spellEnd"/>
        <w:r>
          <w:rPr>
            <w:color w:val="000000"/>
            <w:highlight w:val="white"/>
          </w:rPr>
          <w:t xml:space="preserve"> T, Nguyen D-T, </w:t>
        </w:r>
        <w:proofErr w:type="spellStart"/>
        <w:r>
          <w:rPr>
            <w:color w:val="000000"/>
            <w:highlight w:val="white"/>
          </w:rPr>
          <w:t>VanLeer</w:t>
        </w:r>
        <w:proofErr w:type="spellEnd"/>
        <w:r>
          <w:rPr>
            <w:color w:val="000000"/>
            <w:highlight w:val="white"/>
          </w:rPr>
          <w:t xml:space="preserve"> D, Shinn P, Jadhav A, Müller R, Waters KM, Shi </w:t>
        </w:r>
        <w:r>
          <w:rPr>
            <w:color w:val="000000"/>
            <w:highlight w:val="white"/>
          </w:rPr>
          <w:t xml:space="preserve">W, Liu X, Zhang L, Knight R, Jensen PR, </w:t>
        </w:r>
        <w:proofErr w:type="spellStart"/>
        <w:r>
          <w:rPr>
            <w:color w:val="000000"/>
            <w:highlight w:val="white"/>
          </w:rPr>
          <w:t>Palsson</w:t>
        </w:r>
        <w:proofErr w:type="spellEnd"/>
        <w:r>
          <w:rPr>
            <w:color w:val="000000"/>
            <w:highlight w:val="white"/>
          </w:rPr>
          <w:t xml:space="preserve"> BO, </w:t>
        </w:r>
        <w:proofErr w:type="spellStart"/>
        <w:r>
          <w:rPr>
            <w:color w:val="000000"/>
            <w:highlight w:val="white"/>
          </w:rPr>
          <w:t>Pogliano</w:t>
        </w:r>
        <w:proofErr w:type="spellEnd"/>
        <w:r>
          <w:rPr>
            <w:color w:val="000000"/>
            <w:highlight w:val="white"/>
          </w:rPr>
          <w:t xml:space="preserve"> K, </w:t>
        </w:r>
        <w:proofErr w:type="spellStart"/>
        <w:r>
          <w:rPr>
            <w:color w:val="000000"/>
            <w:highlight w:val="white"/>
          </w:rPr>
          <w:t>Linington</w:t>
        </w:r>
        <w:proofErr w:type="spellEnd"/>
        <w:r>
          <w:rPr>
            <w:color w:val="000000"/>
            <w:highlight w:val="white"/>
          </w:rPr>
          <w:t xml:space="preserve"> RG, Gutiérrez M, Lopes NP, </w:t>
        </w:r>
        <w:proofErr w:type="spellStart"/>
        <w:r>
          <w:rPr>
            <w:color w:val="000000"/>
            <w:highlight w:val="white"/>
          </w:rPr>
          <w:t>Gerwick</w:t>
        </w:r>
        <w:proofErr w:type="spellEnd"/>
        <w:r>
          <w:rPr>
            <w:color w:val="000000"/>
            <w:highlight w:val="white"/>
          </w:rPr>
          <w:t xml:space="preserve"> WH, Moore BS, </w:t>
        </w:r>
        <w:proofErr w:type="spellStart"/>
        <w:r>
          <w:rPr>
            <w:color w:val="000000"/>
            <w:highlight w:val="white"/>
          </w:rPr>
          <w:t>Dorrestein</w:t>
        </w:r>
        <w:proofErr w:type="spellEnd"/>
        <w:r>
          <w:rPr>
            <w:color w:val="000000"/>
            <w:highlight w:val="white"/>
          </w:rPr>
          <w:t xml:space="preserve"> PC, Bandeira N (2016) Sharing and community curation of mass spectrometry data with Global Natural Products Social Molecul</w:t>
        </w:r>
        <w:r>
          <w:rPr>
            <w:color w:val="000000"/>
            <w:highlight w:val="white"/>
          </w:rPr>
          <w:t xml:space="preserve">ar Networking. </w:t>
        </w:r>
      </w:hyperlink>
      <w:hyperlink r:id="rId41">
        <w:r>
          <w:rPr>
            <w:i/>
            <w:color w:val="000000"/>
            <w:highlight w:val="white"/>
          </w:rPr>
          <w:t>Nature biotechnology</w:t>
        </w:r>
      </w:hyperlink>
      <w:hyperlink r:id="rId42">
        <w:r>
          <w:rPr>
            <w:color w:val="000000"/>
            <w:highlight w:val="white"/>
          </w:rPr>
          <w:t>, 34(8):828–837.</w:t>
        </w:r>
      </w:hyperlink>
    </w:p>
    <w:p w:rsidR="00BD7B44" w:rsidRDefault="00B569A8">
      <w:pPr>
        <w:widowControl w:val="0"/>
        <w:pBdr>
          <w:top w:val="nil"/>
          <w:left w:val="nil"/>
          <w:bottom w:val="nil"/>
          <w:right w:val="nil"/>
          <w:between w:val="nil"/>
        </w:pBdr>
        <w:spacing w:after="220" w:line="240" w:lineRule="auto"/>
        <w:rPr>
          <w:color w:val="000000"/>
          <w:highlight w:val="white"/>
        </w:rPr>
      </w:pPr>
      <w:hyperlink r:id="rId43">
        <w:r>
          <w:rPr>
            <w:color w:val="000000"/>
            <w:highlight w:val="white"/>
          </w:rPr>
          <w:t xml:space="preserve">2. Shannon P, </w:t>
        </w:r>
        <w:proofErr w:type="spellStart"/>
        <w:r>
          <w:rPr>
            <w:color w:val="000000"/>
            <w:highlight w:val="white"/>
          </w:rPr>
          <w:t>Markiel</w:t>
        </w:r>
        <w:proofErr w:type="spellEnd"/>
        <w:r>
          <w:rPr>
            <w:color w:val="000000"/>
            <w:highlight w:val="white"/>
          </w:rPr>
          <w:t xml:space="preserve"> A, </w:t>
        </w:r>
        <w:proofErr w:type="spellStart"/>
        <w:r>
          <w:rPr>
            <w:color w:val="000000"/>
            <w:highlight w:val="white"/>
          </w:rPr>
          <w:t>Ozier</w:t>
        </w:r>
        <w:proofErr w:type="spellEnd"/>
        <w:r>
          <w:rPr>
            <w:color w:val="000000"/>
            <w:highlight w:val="white"/>
          </w:rPr>
          <w:t xml:space="preserve"> O, </w:t>
        </w:r>
        <w:proofErr w:type="spellStart"/>
        <w:r>
          <w:rPr>
            <w:color w:val="000000"/>
            <w:highlight w:val="white"/>
          </w:rPr>
          <w:t>Baliga</w:t>
        </w:r>
        <w:proofErr w:type="spellEnd"/>
        <w:r>
          <w:rPr>
            <w:color w:val="000000"/>
            <w:highlight w:val="white"/>
          </w:rPr>
          <w:t xml:space="preserve"> N</w:t>
        </w:r>
        <w:r>
          <w:rPr>
            <w:color w:val="000000"/>
            <w:highlight w:val="white"/>
          </w:rPr>
          <w:t xml:space="preserve">S, Wang JT, Ramage D, Amin N, </w:t>
        </w:r>
        <w:proofErr w:type="spellStart"/>
        <w:r>
          <w:rPr>
            <w:color w:val="000000"/>
            <w:highlight w:val="white"/>
          </w:rPr>
          <w:t>Schwikowski</w:t>
        </w:r>
        <w:proofErr w:type="spellEnd"/>
        <w:r>
          <w:rPr>
            <w:color w:val="000000"/>
            <w:highlight w:val="white"/>
          </w:rPr>
          <w:t xml:space="preserve"> B, </w:t>
        </w:r>
        <w:proofErr w:type="spellStart"/>
        <w:r>
          <w:rPr>
            <w:color w:val="000000"/>
            <w:highlight w:val="white"/>
          </w:rPr>
          <w:t>Ideker</w:t>
        </w:r>
        <w:proofErr w:type="spellEnd"/>
        <w:r>
          <w:rPr>
            <w:color w:val="000000"/>
            <w:highlight w:val="white"/>
          </w:rPr>
          <w:t xml:space="preserve"> T (2003) </w:t>
        </w:r>
        <w:proofErr w:type="spellStart"/>
        <w:r>
          <w:rPr>
            <w:color w:val="000000"/>
            <w:highlight w:val="white"/>
          </w:rPr>
          <w:t>Cytoscape</w:t>
        </w:r>
        <w:proofErr w:type="spellEnd"/>
        <w:r>
          <w:rPr>
            <w:color w:val="000000"/>
            <w:highlight w:val="white"/>
          </w:rPr>
          <w:t xml:space="preserve">: a software environment for integrated models of biomolecular interaction networks. </w:t>
        </w:r>
      </w:hyperlink>
      <w:hyperlink r:id="rId44">
        <w:r>
          <w:rPr>
            <w:i/>
            <w:color w:val="000000"/>
            <w:highlight w:val="white"/>
          </w:rPr>
          <w:t>Genome research</w:t>
        </w:r>
      </w:hyperlink>
      <w:hyperlink r:id="rId45">
        <w:r>
          <w:rPr>
            <w:color w:val="000000"/>
            <w:highlight w:val="white"/>
          </w:rPr>
          <w:t>, 13(11):2498–2504.</w:t>
        </w:r>
      </w:hyperlink>
    </w:p>
    <w:p w:rsidR="00BD7B44" w:rsidRDefault="00B569A8">
      <w:pPr>
        <w:widowControl w:val="0"/>
        <w:pBdr>
          <w:top w:val="nil"/>
          <w:left w:val="nil"/>
          <w:bottom w:val="nil"/>
          <w:right w:val="nil"/>
          <w:between w:val="nil"/>
        </w:pBdr>
        <w:spacing w:after="220" w:line="240" w:lineRule="auto"/>
        <w:rPr>
          <w:color w:val="000000"/>
          <w:highlight w:val="white"/>
        </w:rPr>
      </w:pPr>
      <w:hyperlink r:id="rId46">
        <w:r>
          <w:rPr>
            <w:color w:val="000000"/>
            <w:highlight w:val="white"/>
          </w:rPr>
          <w:t xml:space="preserve">3. Adler C, </w:t>
        </w:r>
        <w:proofErr w:type="spellStart"/>
        <w:r>
          <w:rPr>
            <w:color w:val="000000"/>
            <w:highlight w:val="white"/>
          </w:rPr>
          <w:t>Corbalán</w:t>
        </w:r>
        <w:proofErr w:type="spellEnd"/>
        <w:r>
          <w:rPr>
            <w:color w:val="000000"/>
            <w:highlight w:val="white"/>
          </w:rPr>
          <w:t xml:space="preserve"> NS, </w:t>
        </w:r>
        <w:proofErr w:type="spellStart"/>
        <w:r>
          <w:rPr>
            <w:color w:val="000000"/>
            <w:highlight w:val="white"/>
          </w:rPr>
          <w:t>Seyedsayamdost</w:t>
        </w:r>
        <w:proofErr w:type="spellEnd"/>
        <w:r>
          <w:rPr>
            <w:color w:val="000000"/>
            <w:highlight w:val="white"/>
          </w:rPr>
          <w:t xml:space="preserve"> MR, Pomares MF, Cristóbal RE de, Clardy J, Kolter R, Vincent PA (2012) Catecholate siderophores protect bacteria from py</w:t>
        </w:r>
        <w:r>
          <w:rPr>
            <w:color w:val="000000"/>
            <w:highlight w:val="white"/>
          </w:rPr>
          <w:t xml:space="preserve">ochelin toxicity. </w:t>
        </w:r>
      </w:hyperlink>
      <w:hyperlink r:id="rId47">
        <w:proofErr w:type="spellStart"/>
        <w:r>
          <w:rPr>
            <w:i/>
            <w:color w:val="000000"/>
            <w:highlight w:val="white"/>
          </w:rPr>
          <w:t>PloS</w:t>
        </w:r>
        <w:proofErr w:type="spellEnd"/>
        <w:r>
          <w:rPr>
            <w:i/>
            <w:color w:val="000000"/>
            <w:highlight w:val="white"/>
          </w:rPr>
          <w:t xml:space="preserve"> one</w:t>
        </w:r>
      </w:hyperlink>
      <w:hyperlink r:id="rId48">
        <w:r>
          <w:rPr>
            <w:color w:val="000000"/>
            <w:highlight w:val="white"/>
          </w:rPr>
          <w:t>, 7(10</w:t>
        </w:r>
        <w:proofErr w:type="gramStart"/>
        <w:r>
          <w:rPr>
            <w:color w:val="000000"/>
            <w:highlight w:val="white"/>
          </w:rPr>
          <w:t>):e</w:t>
        </w:r>
        <w:proofErr w:type="gramEnd"/>
        <w:r>
          <w:rPr>
            <w:color w:val="000000"/>
            <w:highlight w:val="white"/>
          </w:rPr>
          <w:t>46754.</w:t>
        </w:r>
      </w:hyperlink>
    </w:p>
    <w:p w:rsidR="00BD7B44" w:rsidRDefault="00B569A8">
      <w:pPr>
        <w:widowControl w:val="0"/>
        <w:pBdr>
          <w:top w:val="nil"/>
          <w:left w:val="nil"/>
          <w:bottom w:val="nil"/>
          <w:right w:val="nil"/>
          <w:between w:val="nil"/>
        </w:pBdr>
        <w:spacing w:after="220" w:line="240" w:lineRule="auto"/>
        <w:rPr>
          <w:color w:val="000000"/>
          <w:highlight w:val="white"/>
        </w:rPr>
      </w:pPr>
      <w:hyperlink r:id="rId49">
        <w:r>
          <w:rPr>
            <w:color w:val="000000"/>
            <w:highlight w:val="white"/>
          </w:rPr>
          <w:t xml:space="preserve">4. </w:t>
        </w:r>
        <w:proofErr w:type="spellStart"/>
        <w:r>
          <w:rPr>
            <w:color w:val="000000"/>
            <w:highlight w:val="white"/>
          </w:rPr>
          <w:t>Rahme</w:t>
        </w:r>
        <w:proofErr w:type="spellEnd"/>
        <w:r>
          <w:rPr>
            <w:color w:val="000000"/>
            <w:highlight w:val="white"/>
          </w:rPr>
          <w:t xml:space="preserve"> LG, Stevens EJ, </w:t>
        </w:r>
        <w:proofErr w:type="spellStart"/>
        <w:r>
          <w:rPr>
            <w:color w:val="000000"/>
            <w:highlight w:val="white"/>
          </w:rPr>
          <w:t>Wolfort</w:t>
        </w:r>
        <w:proofErr w:type="spellEnd"/>
        <w:r>
          <w:rPr>
            <w:color w:val="000000"/>
            <w:highlight w:val="white"/>
          </w:rPr>
          <w:t xml:space="preserve"> SF, Shao J, Tompkin</w:t>
        </w:r>
        <w:r>
          <w:rPr>
            <w:color w:val="000000"/>
            <w:highlight w:val="white"/>
          </w:rPr>
          <w:t xml:space="preserve">s RG, </w:t>
        </w:r>
        <w:proofErr w:type="spellStart"/>
        <w:r>
          <w:rPr>
            <w:color w:val="000000"/>
            <w:highlight w:val="white"/>
          </w:rPr>
          <w:t>Ausubel</w:t>
        </w:r>
        <w:proofErr w:type="spellEnd"/>
        <w:r>
          <w:rPr>
            <w:color w:val="000000"/>
            <w:highlight w:val="white"/>
          </w:rPr>
          <w:t xml:space="preserve"> FM (1995) Common virulence factors for bacterial pathogenicity in plants and animals. </w:t>
        </w:r>
      </w:hyperlink>
      <w:hyperlink r:id="rId50">
        <w:r>
          <w:rPr>
            <w:i/>
            <w:color w:val="000000"/>
            <w:highlight w:val="white"/>
          </w:rPr>
          <w:t>Science</w:t>
        </w:r>
      </w:hyperlink>
      <w:hyperlink r:id="rId51">
        <w:r>
          <w:rPr>
            <w:color w:val="000000"/>
            <w:highlight w:val="white"/>
          </w:rPr>
          <w:t>, 268(5219):1899–1902.</w:t>
        </w:r>
      </w:hyperlink>
    </w:p>
    <w:p w:rsidR="00BD7B44" w:rsidRDefault="00B569A8">
      <w:pPr>
        <w:widowControl w:val="0"/>
        <w:pBdr>
          <w:top w:val="nil"/>
          <w:left w:val="nil"/>
          <w:bottom w:val="nil"/>
          <w:right w:val="nil"/>
          <w:between w:val="nil"/>
        </w:pBdr>
        <w:spacing w:after="220" w:line="240" w:lineRule="auto"/>
        <w:rPr>
          <w:color w:val="000000"/>
          <w:highlight w:val="white"/>
        </w:rPr>
      </w:pPr>
      <w:hyperlink r:id="rId52">
        <w:r>
          <w:rPr>
            <w:color w:val="000000"/>
            <w:highlight w:val="white"/>
          </w:rPr>
          <w:t xml:space="preserve">5. Dietrich LEP, Price-Whelan A, Petersen A, </w:t>
        </w:r>
        <w:proofErr w:type="spellStart"/>
        <w:r>
          <w:rPr>
            <w:color w:val="000000"/>
            <w:highlight w:val="white"/>
          </w:rPr>
          <w:t>Whiteley</w:t>
        </w:r>
        <w:proofErr w:type="spellEnd"/>
        <w:r>
          <w:rPr>
            <w:color w:val="000000"/>
            <w:highlight w:val="white"/>
          </w:rPr>
          <w:t xml:space="preserve"> M, Newman DK (2006) The phenazine pyocyanin is a terminal </w:t>
        </w:r>
        <w:proofErr w:type="spellStart"/>
        <w:r>
          <w:rPr>
            <w:color w:val="000000"/>
            <w:highlight w:val="white"/>
          </w:rPr>
          <w:t>signalling</w:t>
        </w:r>
        <w:proofErr w:type="spellEnd"/>
        <w:r>
          <w:rPr>
            <w:color w:val="000000"/>
            <w:highlight w:val="white"/>
          </w:rPr>
          <w:t xml:space="preserve"> factor in the quorum sensing network of Pseudomonas aeruginosa. </w:t>
        </w:r>
      </w:hyperlink>
      <w:hyperlink r:id="rId53">
        <w:r>
          <w:rPr>
            <w:i/>
            <w:color w:val="000000"/>
            <w:highlight w:val="white"/>
          </w:rPr>
          <w:t>Molecular microbiology</w:t>
        </w:r>
      </w:hyperlink>
      <w:hyperlink r:id="rId54">
        <w:r>
          <w:rPr>
            <w:color w:val="000000"/>
            <w:highlight w:val="white"/>
          </w:rPr>
          <w:t>, 61(5):1308–1321.</w:t>
        </w:r>
      </w:hyperlink>
    </w:p>
    <w:p w:rsidR="00BD7B44" w:rsidRDefault="00B569A8">
      <w:pPr>
        <w:widowControl w:val="0"/>
        <w:pBdr>
          <w:top w:val="nil"/>
          <w:left w:val="nil"/>
          <w:bottom w:val="nil"/>
          <w:right w:val="nil"/>
          <w:between w:val="nil"/>
        </w:pBdr>
        <w:spacing w:after="220" w:line="240" w:lineRule="auto"/>
        <w:rPr>
          <w:color w:val="000000"/>
          <w:highlight w:val="white"/>
        </w:rPr>
      </w:pPr>
      <w:hyperlink r:id="rId55">
        <w:r>
          <w:rPr>
            <w:color w:val="000000"/>
            <w:highlight w:val="white"/>
          </w:rPr>
          <w:t xml:space="preserve">6. </w:t>
        </w:r>
        <w:proofErr w:type="spellStart"/>
        <w:r>
          <w:rPr>
            <w:color w:val="000000"/>
            <w:highlight w:val="white"/>
          </w:rPr>
          <w:t>Recinos</w:t>
        </w:r>
        <w:proofErr w:type="spellEnd"/>
        <w:r>
          <w:rPr>
            <w:color w:val="000000"/>
            <w:highlight w:val="white"/>
          </w:rPr>
          <w:t xml:space="preserve"> DA, </w:t>
        </w:r>
        <w:proofErr w:type="spellStart"/>
        <w:r>
          <w:rPr>
            <w:color w:val="000000"/>
            <w:highlight w:val="white"/>
          </w:rPr>
          <w:t>Sekedat</w:t>
        </w:r>
        <w:proofErr w:type="spellEnd"/>
        <w:r>
          <w:rPr>
            <w:color w:val="000000"/>
            <w:highlight w:val="white"/>
          </w:rPr>
          <w:t xml:space="preserve"> MD, Hernandez A, Cohen TS, </w:t>
        </w:r>
        <w:proofErr w:type="spellStart"/>
        <w:r>
          <w:rPr>
            <w:color w:val="000000"/>
            <w:highlight w:val="white"/>
          </w:rPr>
          <w:t>Sakhtah</w:t>
        </w:r>
        <w:proofErr w:type="spellEnd"/>
        <w:r>
          <w:rPr>
            <w:color w:val="000000"/>
            <w:highlight w:val="white"/>
          </w:rPr>
          <w:t xml:space="preserve"> H, Prince AS, Price-Whelan A</w:t>
        </w:r>
        <w:r>
          <w:rPr>
            <w:color w:val="000000"/>
            <w:highlight w:val="white"/>
          </w:rPr>
          <w:t xml:space="preserve">, </w:t>
        </w:r>
        <w:r>
          <w:rPr>
            <w:color w:val="000000"/>
            <w:highlight w:val="white"/>
          </w:rPr>
          <w:lastRenderedPageBreak/>
          <w:t xml:space="preserve">Dietrich LEP (2012) Redundant phenazine operons in Pseudomonas aeruginosa exhibit environment-dependent expression and differential roles in pathogenicity. </w:t>
        </w:r>
      </w:hyperlink>
      <w:hyperlink r:id="rId56">
        <w:r>
          <w:rPr>
            <w:i/>
            <w:color w:val="000000"/>
            <w:highlight w:val="white"/>
          </w:rPr>
          <w:t>Proceedings of the National Academy of Scien</w:t>
        </w:r>
        <w:r>
          <w:rPr>
            <w:i/>
            <w:color w:val="000000"/>
            <w:highlight w:val="white"/>
          </w:rPr>
          <w:t>ces of the United States of America</w:t>
        </w:r>
      </w:hyperlink>
      <w:hyperlink r:id="rId57">
        <w:r>
          <w:rPr>
            <w:color w:val="000000"/>
            <w:highlight w:val="white"/>
          </w:rPr>
          <w:t>, 109(47):19420–19425.</w:t>
        </w:r>
      </w:hyperlink>
    </w:p>
    <w:p w:rsidR="00BD7B44" w:rsidRDefault="00B569A8">
      <w:pPr>
        <w:widowControl w:val="0"/>
        <w:pBdr>
          <w:top w:val="nil"/>
          <w:left w:val="nil"/>
          <w:bottom w:val="nil"/>
          <w:right w:val="nil"/>
          <w:between w:val="nil"/>
        </w:pBdr>
        <w:spacing w:after="220" w:line="240" w:lineRule="auto"/>
        <w:rPr>
          <w:color w:val="000000"/>
          <w:highlight w:val="white"/>
        </w:rPr>
      </w:pPr>
      <w:hyperlink r:id="rId58">
        <w:r>
          <w:rPr>
            <w:color w:val="000000"/>
            <w:highlight w:val="white"/>
          </w:rPr>
          <w:t xml:space="preserve">7. Shanks RMQ, </w:t>
        </w:r>
        <w:proofErr w:type="spellStart"/>
        <w:r>
          <w:rPr>
            <w:color w:val="000000"/>
            <w:highlight w:val="white"/>
          </w:rPr>
          <w:t>Caiazza</w:t>
        </w:r>
        <w:proofErr w:type="spellEnd"/>
        <w:r>
          <w:rPr>
            <w:color w:val="000000"/>
            <w:highlight w:val="white"/>
          </w:rPr>
          <w:t xml:space="preserve"> NC, </w:t>
        </w:r>
        <w:proofErr w:type="spellStart"/>
        <w:r>
          <w:rPr>
            <w:color w:val="000000"/>
            <w:highlight w:val="white"/>
          </w:rPr>
          <w:t>Hinsa</w:t>
        </w:r>
        <w:proofErr w:type="spellEnd"/>
        <w:r>
          <w:rPr>
            <w:color w:val="000000"/>
            <w:highlight w:val="white"/>
          </w:rPr>
          <w:t xml:space="preserve"> SM, </w:t>
        </w:r>
        <w:proofErr w:type="spellStart"/>
        <w:r>
          <w:rPr>
            <w:color w:val="000000"/>
            <w:highlight w:val="white"/>
          </w:rPr>
          <w:t>Toutain</w:t>
        </w:r>
        <w:proofErr w:type="spellEnd"/>
        <w:r>
          <w:rPr>
            <w:color w:val="000000"/>
            <w:highlight w:val="white"/>
          </w:rPr>
          <w:t xml:space="preserve"> CM, O’Toole GA (2006) Saccharomyces cerevisia</w:t>
        </w:r>
        <w:r>
          <w:rPr>
            <w:color w:val="000000"/>
            <w:highlight w:val="white"/>
          </w:rPr>
          <w:t xml:space="preserve">e-based molecular tool kit for manipulation of genes from gram-negative bacteria. </w:t>
        </w:r>
      </w:hyperlink>
      <w:hyperlink r:id="rId59">
        <w:r>
          <w:rPr>
            <w:i/>
            <w:color w:val="000000"/>
            <w:highlight w:val="white"/>
          </w:rPr>
          <w:t>Applied and environmental microbiology</w:t>
        </w:r>
      </w:hyperlink>
      <w:hyperlink r:id="rId60">
        <w:r>
          <w:rPr>
            <w:color w:val="000000"/>
            <w:highlight w:val="white"/>
          </w:rPr>
          <w:t>, 72(7):5027–5036.</w:t>
        </w:r>
      </w:hyperlink>
    </w:p>
    <w:p w:rsidR="00BD7B44" w:rsidRDefault="00BD7B44">
      <w:pPr>
        <w:widowControl w:val="0"/>
        <w:pBdr>
          <w:top w:val="nil"/>
          <w:left w:val="nil"/>
          <w:bottom w:val="nil"/>
          <w:right w:val="nil"/>
          <w:between w:val="nil"/>
        </w:pBdr>
        <w:rPr>
          <w:highlight w:val="white"/>
        </w:rPr>
      </w:pPr>
    </w:p>
    <w:sectPr w:rsidR="00BD7B44">
      <w:footerReference w:type="default" r:id="rId61"/>
      <w:pgSz w:w="12240" w:h="15840"/>
      <w:pgMar w:top="1440" w:right="1440" w:bottom="1440" w:left="1440" w:header="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569A8" w:rsidRDefault="00B569A8">
      <w:pPr>
        <w:spacing w:line="240" w:lineRule="auto"/>
      </w:pPr>
      <w:r>
        <w:separator/>
      </w:r>
    </w:p>
  </w:endnote>
  <w:endnote w:type="continuationSeparator" w:id="0">
    <w:p w:rsidR="00B569A8" w:rsidRDefault="00B569A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Roboto">
    <w:charset w:val="00"/>
    <w:family w:val="auto"/>
    <w:pitch w:val="default"/>
  </w:font>
  <w:font w:name="Arial Unicode MS">
    <w:altName w:val="Arial"/>
    <w:panose1 w:val="020B0604020202020204"/>
    <w:charset w:val="00"/>
    <w:family w:val="auto"/>
    <w:pitch w:val="default"/>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D7B44" w:rsidRDefault="00B569A8">
    <w:pPr>
      <w:jc w:val="center"/>
    </w:pPr>
    <w:r>
      <w:t>-S</w:t>
    </w:r>
    <w:r>
      <w:fldChar w:fldCharType="begin"/>
    </w:r>
    <w:r>
      <w:instrText>PAGE</w:instrText>
    </w:r>
    <w:r w:rsidR="001633CD">
      <w:fldChar w:fldCharType="separate"/>
    </w:r>
    <w:r w:rsidR="001633CD">
      <w:rPr>
        <w:noProof/>
      </w:rPr>
      <w:t>1</w:t>
    </w:r>
    <w:r>
      <w:fldChar w:fldCharType="end"/>
    </w:r>
    <w: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569A8" w:rsidRDefault="00B569A8">
      <w:pPr>
        <w:spacing w:line="240" w:lineRule="auto"/>
      </w:pPr>
      <w:r>
        <w:separator/>
      </w:r>
    </w:p>
  </w:footnote>
  <w:footnote w:type="continuationSeparator" w:id="0">
    <w:p w:rsidR="00B569A8" w:rsidRDefault="00B569A8">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BAB6B38"/>
    <w:multiLevelType w:val="multilevel"/>
    <w:tmpl w:val="23FE19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D7B44"/>
    <w:rsid w:val="001633CD"/>
    <w:rsid w:val="00B569A8"/>
    <w:rsid w:val="00BD7B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655691"/>
  <w15:docId w15:val="{E1458BDA-622E-40D1-8FAD-4DAF007A08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hyperlink" Target="https://gnps.ucsd.edu/ProteoSAFe/status.jsp?task=b96ee4ae2f9640d3b3a2dcabeed08c3a" TargetMode="External"/><Relationship Id="rId21" Type="http://schemas.openxmlformats.org/officeDocument/2006/relationships/hyperlink" Target="https://paperpile.com/c/xWBxHG/gKtN" TargetMode="External"/><Relationship Id="rId34" Type="http://schemas.openxmlformats.org/officeDocument/2006/relationships/hyperlink" Target="https://paperpile.com/c/xWBxHG/krdx" TargetMode="External"/><Relationship Id="rId42" Type="http://schemas.openxmlformats.org/officeDocument/2006/relationships/hyperlink" Target="http://paperpile.com/b/xWBxHG/YJaj" TargetMode="External"/><Relationship Id="rId47" Type="http://schemas.openxmlformats.org/officeDocument/2006/relationships/hyperlink" Target="http://paperpile.com/b/xWBxHG/gKtN" TargetMode="External"/><Relationship Id="rId50" Type="http://schemas.openxmlformats.org/officeDocument/2006/relationships/hyperlink" Target="http://paperpile.com/b/xWBxHG/hQ74" TargetMode="External"/><Relationship Id="rId55" Type="http://schemas.openxmlformats.org/officeDocument/2006/relationships/hyperlink" Target="http://paperpile.com/b/xWBxHG/krdx" TargetMode="External"/><Relationship Id="rId63" Type="http://schemas.openxmlformats.org/officeDocument/2006/relationships/theme" Target="theme/theme1.xml"/><Relationship Id="rId7" Type="http://schemas.openxmlformats.org/officeDocument/2006/relationships/hyperlink" Target="https://paperpile.com/c/xWBxHG/YJaj" TargetMode="Externa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0.png"/><Relationship Id="rId41" Type="http://schemas.openxmlformats.org/officeDocument/2006/relationships/hyperlink" Target="http://paperpile.com/b/xWBxHG/YJaj" TargetMode="External"/><Relationship Id="rId54" Type="http://schemas.openxmlformats.org/officeDocument/2006/relationships/hyperlink" Target="http://paperpile.com/b/xWBxHG/p4RQ" TargetMode="External"/><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hyperlink" Target="https://paperpile.com/c/xWBxHG/hQ74" TargetMode="External"/><Relationship Id="rId37" Type="http://schemas.openxmlformats.org/officeDocument/2006/relationships/hyperlink" Target="https://paperpile.com/c/xWBxHG/fVTy" TargetMode="External"/><Relationship Id="rId40" Type="http://schemas.openxmlformats.org/officeDocument/2006/relationships/hyperlink" Target="http://paperpile.com/b/xWBxHG/YJaj" TargetMode="External"/><Relationship Id="rId45" Type="http://schemas.openxmlformats.org/officeDocument/2006/relationships/hyperlink" Target="http://paperpile.com/b/xWBxHG/tzkp" TargetMode="External"/><Relationship Id="rId53" Type="http://schemas.openxmlformats.org/officeDocument/2006/relationships/hyperlink" Target="http://paperpile.com/b/xWBxHG/p4RQ" TargetMode="External"/><Relationship Id="rId58" Type="http://schemas.openxmlformats.org/officeDocument/2006/relationships/hyperlink" Target="http://paperpile.com/b/xWBxHG/fVTy" TargetMode="Externa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hyperlink" Target="https://paperpile.com/c/xWBxHG/krdx" TargetMode="External"/><Relationship Id="rId49" Type="http://schemas.openxmlformats.org/officeDocument/2006/relationships/hyperlink" Target="http://paperpile.com/b/xWBxHG/hQ74" TargetMode="External"/><Relationship Id="rId57" Type="http://schemas.openxmlformats.org/officeDocument/2006/relationships/hyperlink" Target="http://paperpile.com/b/xWBxHG/krdx" TargetMode="External"/><Relationship Id="rId61"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2.png"/><Relationship Id="rId44" Type="http://schemas.openxmlformats.org/officeDocument/2006/relationships/hyperlink" Target="http://paperpile.com/b/xWBxHG/tzkp" TargetMode="External"/><Relationship Id="rId52" Type="http://schemas.openxmlformats.org/officeDocument/2006/relationships/hyperlink" Target="http://paperpile.com/b/xWBxHG/p4RQ" TargetMode="External"/><Relationship Id="rId60" Type="http://schemas.openxmlformats.org/officeDocument/2006/relationships/hyperlink" Target="http://paperpile.com/b/xWBxHG/fVTy" TargetMode="Externa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hyperlink" Target="https://paperpile.com/c/xWBxHG/krdx" TargetMode="External"/><Relationship Id="rId43" Type="http://schemas.openxmlformats.org/officeDocument/2006/relationships/hyperlink" Target="http://paperpile.com/b/xWBxHG/tzkp" TargetMode="External"/><Relationship Id="rId48" Type="http://schemas.openxmlformats.org/officeDocument/2006/relationships/hyperlink" Target="http://paperpile.com/b/xWBxHG/gKtN" TargetMode="External"/><Relationship Id="rId56" Type="http://schemas.openxmlformats.org/officeDocument/2006/relationships/hyperlink" Target="http://paperpile.com/b/xWBxHG/krdx" TargetMode="External"/><Relationship Id="rId8" Type="http://schemas.openxmlformats.org/officeDocument/2006/relationships/hyperlink" Target="https://paperpile.com/c/xWBxHG/tzkp" TargetMode="External"/><Relationship Id="rId51" Type="http://schemas.openxmlformats.org/officeDocument/2006/relationships/hyperlink" Target="http://paperpile.com/b/xWBxHG/hQ74" TargetMode="Externa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hyperlink" Target="https://paperpile.com/c/xWBxHG/p4RQ" TargetMode="External"/><Relationship Id="rId38" Type="http://schemas.openxmlformats.org/officeDocument/2006/relationships/hyperlink" Target="https://gnps.ucsd.edu/ProteoSAFe/status.jsp?task=3a542d7c1f3c4cd5b69bb99433065af3" TargetMode="External"/><Relationship Id="rId46" Type="http://schemas.openxmlformats.org/officeDocument/2006/relationships/hyperlink" Target="http://paperpile.com/b/xWBxHG/gKtN" TargetMode="External"/><Relationship Id="rId59" Type="http://schemas.openxmlformats.org/officeDocument/2006/relationships/hyperlink" Target="http://paperpile.com/b/xWBxHG/fVT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29</Pages>
  <Words>2702</Words>
  <Characters>15403</Characters>
  <Application>Microsoft Office Word</Application>
  <DocSecurity>0</DocSecurity>
  <Lines>128</Lines>
  <Paragraphs>36</Paragraphs>
  <ScaleCrop>false</ScaleCrop>
  <Company/>
  <LinksUpToDate>false</LinksUpToDate>
  <CharactersWithSpaces>18069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DrLaura</cp:lastModifiedBy>
  <cp:revision>2</cp:revision>
  <dcterms:created xsi:type="dcterms:W3CDTF">2019-06-12T21:17:00Z</dcterms:created>
  <dcterms:modified xsi:type="dcterms:W3CDTF">2019-06-12T21:20:00Z</dcterms:modified>
</cp:coreProperties>
</file>