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D0160" w14:textId="01B35FEC" w:rsidR="006F7300" w:rsidRPr="0080220C" w:rsidRDefault="00CD7D44" w:rsidP="00CD7D44">
      <w:pPr>
        <w:spacing w:line="480" w:lineRule="auto"/>
        <w:jc w:val="center"/>
        <w:rPr>
          <w:rFonts w:ascii="Times New Roman" w:hAnsi="Times New Roman" w:cs="Times New Roman"/>
          <w:b/>
          <w:color w:val="000000" w:themeColor="text1"/>
          <w:sz w:val="24"/>
          <w:szCs w:val="24"/>
        </w:rPr>
      </w:pPr>
      <w:bookmarkStart w:id="0" w:name="_GoBack"/>
      <w:r w:rsidRPr="0080220C">
        <w:rPr>
          <w:rFonts w:ascii="Times New Roman" w:hAnsi="Times New Roman" w:cs="Times New Roman"/>
          <w:b/>
          <w:color w:val="000000" w:themeColor="text1"/>
          <w:sz w:val="24"/>
          <w:szCs w:val="24"/>
        </w:rPr>
        <w:t>Supplementary Materials and Methods</w:t>
      </w:r>
    </w:p>
    <w:p w14:paraId="53DD52E1" w14:textId="3FD32013" w:rsidR="0089178F" w:rsidRPr="0080220C" w:rsidRDefault="0089178F" w:rsidP="00187E36">
      <w:pPr>
        <w:spacing w:line="480" w:lineRule="auto"/>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 xml:space="preserve">Immunohistochemistry. </w:t>
      </w:r>
      <w:r w:rsidRPr="0080220C">
        <w:rPr>
          <w:rFonts w:ascii="Times New Roman" w:hAnsi="Times New Roman" w:cs="Times New Roman"/>
          <w:color w:val="000000" w:themeColor="text1"/>
          <w:sz w:val="24"/>
          <w:szCs w:val="24"/>
        </w:rPr>
        <w:t>To confirm that βarr2 was reduced in D1- and D2-MSNs of D1</w:t>
      </w:r>
      <w:r w:rsidRPr="0080220C">
        <w:rPr>
          <w:rFonts w:ascii="Times New Roman" w:hAnsi="Times New Roman" w:cs="Times New Roman"/>
          <w:color w:val="000000" w:themeColor="text1"/>
          <w:sz w:val="24"/>
          <w:szCs w:val="24"/>
          <w:vertAlign w:val="superscript"/>
        </w:rPr>
        <w:t>βarr2-KO</w:t>
      </w:r>
      <w:r w:rsidRPr="0080220C">
        <w:rPr>
          <w:rFonts w:ascii="Times New Roman" w:hAnsi="Times New Roman" w:cs="Times New Roman"/>
          <w:color w:val="000000" w:themeColor="text1"/>
          <w:sz w:val="24"/>
          <w:szCs w:val="24"/>
        </w:rPr>
        <w:t xml:space="preserve"> and D2</w:t>
      </w:r>
      <w:r w:rsidRPr="0080220C">
        <w:rPr>
          <w:rFonts w:ascii="Times New Roman" w:hAnsi="Times New Roman" w:cs="Times New Roman"/>
          <w:color w:val="000000" w:themeColor="text1"/>
          <w:sz w:val="24"/>
          <w:szCs w:val="24"/>
          <w:vertAlign w:val="superscript"/>
        </w:rPr>
        <w:t>βarr2-KO</w:t>
      </w:r>
      <w:r w:rsidRPr="0080220C">
        <w:rPr>
          <w:rFonts w:ascii="Times New Roman" w:hAnsi="Times New Roman" w:cs="Times New Roman"/>
          <w:color w:val="000000" w:themeColor="text1"/>
          <w:sz w:val="24"/>
          <w:szCs w:val="24"/>
        </w:rPr>
        <w:t xml:space="preserve"> mice, 40 µm thick striatal sections were obtained and processed as previously described </w:t>
      </w:r>
      <w:r w:rsidRPr="0080220C">
        <w:rPr>
          <w:rFonts w:ascii="Times New Roman" w:hAnsi="Times New Roman" w:cs="Times New Roman"/>
          <w:color w:val="000000" w:themeColor="text1"/>
          <w:sz w:val="24"/>
          <w:szCs w:val="24"/>
        </w:rPr>
        <w:fldChar w:fldCharType="begin"/>
      </w:r>
      <w:r w:rsidR="005903DA" w:rsidRPr="0080220C">
        <w:rPr>
          <w:rFonts w:ascii="Times New Roman" w:hAnsi="Times New Roman" w:cs="Times New Roman"/>
          <w:color w:val="000000" w:themeColor="text1"/>
          <w:sz w:val="24"/>
          <w:szCs w:val="24"/>
        </w:rPr>
        <w:instrText xml:space="preserve"> ADDIN EN.CITE &lt;EndNote&gt;&lt;Cite&gt;&lt;Author&gt;Porter-Stransky&lt;/Author&gt;&lt;Year&gt;2019&lt;/Year&gt;&lt;RecNum&gt;20&lt;/RecNum&gt;&lt;DisplayText&gt;(Porter-Stransky, Centanni, Karne et al., 2019)&lt;/DisplayText&gt;&lt;record&gt;&lt;rec-number&gt;20&lt;/rec-number&gt;&lt;foreign-keys&gt;&lt;key app="EN" db-id="2sz520xw5d95piese9bxerxieddwxtvwrvzp" timestamp="1547155762"&gt;20&lt;/key&gt;&lt;/foreign-keys&gt;&lt;ref-type name="Journal Article"&gt;17&lt;/ref-type&gt;&lt;contributors&gt;&lt;authors&gt;&lt;author&gt;Porter-Stransky, Kirsten A&lt;/author&gt;&lt;author&gt;Centanni, Samuel W&lt;/author&gt;&lt;author&gt;Karne, Saumya L&lt;/author&gt;&lt;author&gt;Odil, Lindsay M&lt;/author&gt;&lt;author&gt;Fekir, Sinda&lt;/author&gt;&lt;author&gt;Wong, Jennifer C&lt;/author&gt;&lt;author&gt;Jerome, Canaan&lt;/author&gt;&lt;author&gt;Mitchell, Heather A&lt;/author&gt;&lt;author&gt;Escayg, Andrew&lt;/author&gt;&lt;author&gt;Pederson, Nigel P&lt;/author&gt;&lt;/authors&gt;&lt;/contributors&gt;&lt;titles&gt;&lt;title&gt;Noradrenergic transmission at alpha1-adrenergic receptors in the ventral periaqueductal gray modulates arousal&lt;/title&gt;&lt;secondary-title&gt;Biological Psychiatry&lt;/secondary-title&gt;&lt;/titles&gt;&lt;periodical&gt;&lt;full-title&gt;Biological Psychiatry&lt;/full-title&gt;&lt;/periodical&gt;&lt;pages&gt;237-247&lt;/pages&gt;&lt;volume&gt;85&lt;/volume&gt;&lt;number&gt;3&lt;/number&gt;&lt;dates&gt;&lt;year&gt;2019&lt;/year&gt;&lt;/dates&gt;&lt;isbn&gt;0006-3223&lt;/isbn&gt;&lt;urls&gt;&lt;/urls&gt;&lt;/record&gt;&lt;/Cite&gt;&lt;/EndNote&gt;</w:instrText>
      </w:r>
      <w:r w:rsidRPr="0080220C">
        <w:rPr>
          <w:rFonts w:ascii="Times New Roman" w:hAnsi="Times New Roman" w:cs="Times New Roman"/>
          <w:color w:val="000000" w:themeColor="text1"/>
          <w:sz w:val="24"/>
          <w:szCs w:val="24"/>
        </w:rPr>
        <w:fldChar w:fldCharType="separate"/>
      </w:r>
      <w:r w:rsidR="005903DA" w:rsidRPr="0080220C">
        <w:rPr>
          <w:rFonts w:ascii="Times New Roman" w:hAnsi="Times New Roman" w:cs="Times New Roman"/>
          <w:noProof/>
          <w:color w:val="000000" w:themeColor="text1"/>
          <w:sz w:val="24"/>
          <w:szCs w:val="24"/>
        </w:rPr>
        <w:t>(Porter-Stransky, Centanni, Karne et al., 2019)</w:t>
      </w:r>
      <w:r w:rsidRPr="0080220C">
        <w:rPr>
          <w:rFonts w:ascii="Times New Roman" w:hAnsi="Times New Roman" w:cs="Times New Roman"/>
          <w:color w:val="000000" w:themeColor="text1"/>
          <w:sz w:val="24"/>
          <w:szCs w:val="24"/>
        </w:rPr>
        <w:fldChar w:fldCharType="end"/>
      </w:r>
      <w:r w:rsidRPr="0080220C">
        <w:rPr>
          <w:rFonts w:ascii="Times New Roman" w:hAnsi="Times New Roman" w:cs="Times New Roman"/>
          <w:color w:val="000000" w:themeColor="text1"/>
          <w:sz w:val="24"/>
          <w:szCs w:val="24"/>
        </w:rPr>
        <w:t xml:space="preserve">. Anti-βarr2 primary antibody (generated in rabbit, generously gifted from Jeff </w:t>
      </w:r>
      <w:proofErr w:type="spellStart"/>
      <w:r w:rsidRPr="0080220C">
        <w:rPr>
          <w:rFonts w:ascii="Times New Roman" w:hAnsi="Times New Roman" w:cs="Times New Roman"/>
          <w:color w:val="000000" w:themeColor="text1"/>
          <w:sz w:val="24"/>
          <w:szCs w:val="24"/>
        </w:rPr>
        <w:t>Benovic</w:t>
      </w:r>
      <w:proofErr w:type="spellEnd"/>
      <w:r w:rsidRPr="0080220C">
        <w:rPr>
          <w:rFonts w:ascii="Times New Roman" w:hAnsi="Times New Roman" w:cs="Times New Roman"/>
          <w:color w:val="000000" w:themeColor="text1"/>
          <w:sz w:val="24"/>
          <w:szCs w:val="24"/>
        </w:rPr>
        <w:t xml:space="preserve">, Thomas Jefferson University) was used at 1:300 concentration. Because βarr2 levels are relatively low in the striatum, </w:t>
      </w:r>
      <w:proofErr w:type="spellStart"/>
      <w:r w:rsidRPr="0080220C">
        <w:rPr>
          <w:rFonts w:ascii="Times New Roman" w:hAnsi="Times New Roman" w:cs="Times New Roman"/>
          <w:color w:val="000000" w:themeColor="text1"/>
          <w:sz w:val="24"/>
          <w:szCs w:val="24"/>
        </w:rPr>
        <w:t>Tyramide</w:t>
      </w:r>
      <w:proofErr w:type="spellEnd"/>
      <w:r w:rsidRPr="0080220C">
        <w:rPr>
          <w:rFonts w:ascii="Times New Roman" w:hAnsi="Times New Roman" w:cs="Times New Roman"/>
          <w:color w:val="000000" w:themeColor="text1"/>
          <w:sz w:val="24"/>
          <w:szCs w:val="24"/>
        </w:rPr>
        <w:t xml:space="preserve"> Signal Amplification (Alexa Flour 488 </w:t>
      </w:r>
      <w:proofErr w:type="spellStart"/>
      <w:r w:rsidRPr="0080220C">
        <w:rPr>
          <w:rFonts w:ascii="Times New Roman" w:hAnsi="Times New Roman" w:cs="Times New Roman"/>
          <w:color w:val="000000" w:themeColor="text1"/>
          <w:sz w:val="24"/>
          <w:szCs w:val="24"/>
        </w:rPr>
        <w:t>Tyramide</w:t>
      </w:r>
      <w:proofErr w:type="spellEnd"/>
      <w:r w:rsidRPr="0080220C">
        <w:rPr>
          <w:rFonts w:ascii="Times New Roman" w:hAnsi="Times New Roman" w:cs="Times New Roman"/>
          <w:color w:val="000000" w:themeColor="text1"/>
          <w:sz w:val="24"/>
          <w:szCs w:val="24"/>
        </w:rPr>
        <w:t xml:space="preserve"> </w:t>
      </w:r>
      <w:proofErr w:type="spellStart"/>
      <w:r w:rsidRPr="0080220C">
        <w:rPr>
          <w:rFonts w:ascii="Times New Roman" w:hAnsi="Times New Roman" w:cs="Times New Roman"/>
          <w:color w:val="000000" w:themeColor="text1"/>
          <w:sz w:val="24"/>
          <w:szCs w:val="24"/>
        </w:rPr>
        <w:t>SuperBoost</w:t>
      </w:r>
      <w:proofErr w:type="spellEnd"/>
      <w:r w:rsidRPr="0080220C">
        <w:rPr>
          <w:rFonts w:ascii="Times New Roman" w:hAnsi="Times New Roman" w:cs="Times New Roman"/>
          <w:color w:val="000000" w:themeColor="text1"/>
          <w:sz w:val="24"/>
          <w:szCs w:val="24"/>
        </w:rPr>
        <w:t xml:space="preserve"> Kit, goat anti-rabbit IgG, </w:t>
      </w:r>
      <w:proofErr w:type="spellStart"/>
      <w:r w:rsidRPr="0080220C">
        <w:rPr>
          <w:rFonts w:ascii="Times New Roman" w:hAnsi="Times New Roman" w:cs="Times New Roman"/>
          <w:color w:val="000000" w:themeColor="text1"/>
          <w:sz w:val="24"/>
          <w:szCs w:val="24"/>
        </w:rPr>
        <w:t>Thermo</w:t>
      </w:r>
      <w:proofErr w:type="spellEnd"/>
      <w:r w:rsidRPr="0080220C">
        <w:rPr>
          <w:rFonts w:ascii="Times New Roman" w:hAnsi="Times New Roman" w:cs="Times New Roman"/>
          <w:color w:val="000000" w:themeColor="text1"/>
          <w:sz w:val="24"/>
          <w:szCs w:val="24"/>
        </w:rPr>
        <w:t xml:space="preserve"> Fisher) was used to augment βarr2 detection. To control for any non-specific binding of the secondary antibody and the </w:t>
      </w:r>
      <w:proofErr w:type="spellStart"/>
      <w:r w:rsidRPr="0080220C">
        <w:rPr>
          <w:rFonts w:ascii="Times New Roman" w:hAnsi="Times New Roman" w:cs="Times New Roman"/>
          <w:color w:val="000000" w:themeColor="text1"/>
          <w:sz w:val="24"/>
          <w:szCs w:val="24"/>
        </w:rPr>
        <w:t>Tyramide</w:t>
      </w:r>
      <w:proofErr w:type="spellEnd"/>
      <w:r w:rsidRPr="0080220C">
        <w:rPr>
          <w:rFonts w:ascii="Times New Roman" w:hAnsi="Times New Roman" w:cs="Times New Roman"/>
          <w:color w:val="000000" w:themeColor="text1"/>
          <w:sz w:val="24"/>
          <w:szCs w:val="24"/>
        </w:rPr>
        <w:t xml:space="preserve"> Signal Amplification, a subset of tissue was processed as described above except that the primary antibody was omitted. Endogenous fluorescence from the </w:t>
      </w:r>
      <w:proofErr w:type="spellStart"/>
      <w:r w:rsidRPr="0080220C">
        <w:rPr>
          <w:rFonts w:ascii="Times New Roman" w:hAnsi="Times New Roman" w:cs="Times New Roman"/>
          <w:color w:val="000000" w:themeColor="text1"/>
          <w:sz w:val="24"/>
          <w:szCs w:val="24"/>
        </w:rPr>
        <w:t>tdTomato</w:t>
      </w:r>
      <w:proofErr w:type="spellEnd"/>
      <w:r w:rsidRPr="0080220C">
        <w:rPr>
          <w:rFonts w:ascii="Times New Roman" w:hAnsi="Times New Roman" w:cs="Times New Roman"/>
          <w:color w:val="000000" w:themeColor="text1"/>
          <w:sz w:val="24"/>
          <w:szCs w:val="24"/>
        </w:rPr>
        <w:t xml:space="preserve"> transgene was used to visualize D1 or D2 cells in each line. Images were captured at 40x on an Olympus FV1000 confocal microscope using Olympus </w:t>
      </w:r>
      <w:proofErr w:type="spellStart"/>
      <w:r w:rsidRPr="0080220C">
        <w:rPr>
          <w:rFonts w:ascii="Times New Roman" w:hAnsi="Times New Roman" w:cs="Times New Roman"/>
          <w:color w:val="000000" w:themeColor="text1"/>
          <w:sz w:val="24"/>
          <w:szCs w:val="24"/>
        </w:rPr>
        <w:t>FluoView</w:t>
      </w:r>
      <w:proofErr w:type="spellEnd"/>
      <w:r w:rsidRPr="0080220C">
        <w:rPr>
          <w:rFonts w:ascii="Times New Roman" w:hAnsi="Times New Roman" w:cs="Times New Roman"/>
          <w:color w:val="000000" w:themeColor="text1"/>
          <w:sz w:val="24"/>
          <w:szCs w:val="24"/>
        </w:rPr>
        <w:t xml:space="preserve"> software. Image J was used to quantify the percentage of cells containing DAPI, </w:t>
      </w:r>
      <w:proofErr w:type="spellStart"/>
      <w:r w:rsidRPr="0080220C">
        <w:rPr>
          <w:rFonts w:ascii="Times New Roman" w:hAnsi="Times New Roman" w:cs="Times New Roman"/>
          <w:color w:val="000000" w:themeColor="text1"/>
          <w:sz w:val="24"/>
          <w:szCs w:val="24"/>
        </w:rPr>
        <w:t>tdTomato</w:t>
      </w:r>
      <w:proofErr w:type="spellEnd"/>
      <w:r w:rsidRPr="0080220C">
        <w:rPr>
          <w:rFonts w:ascii="Times New Roman" w:hAnsi="Times New Roman" w:cs="Times New Roman"/>
          <w:color w:val="000000" w:themeColor="text1"/>
          <w:sz w:val="24"/>
          <w:szCs w:val="24"/>
        </w:rPr>
        <w:t xml:space="preserve">, and </w:t>
      </w:r>
      <w:r w:rsidRPr="0080220C">
        <w:rPr>
          <w:rFonts w:ascii="Times New Roman" w:hAnsi="Times New Roman" w:cs="Times New Roman"/>
          <w:color w:val="000000" w:themeColor="text1"/>
          <w:sz w:val="24"/>
          <w:szCs w:val="24"/>
        </w:rPr>
        <w:sym w:font="Symbol" w:char="F062"/>
      </w:r>
      <w:r w:rsidRPr="0080220C">
        <w:rPr>
          <w:rFonts w:ascii="Times New Roman" w:hAnsi="Times New Roman" w:cs="Times New Roman"/>
          <w:color w:val="000000" w:themeColor="text1"/>
          <w:sz w:val="24"/>
          <w:szCs w:val="24"/>
        </w:rPr>
        <w:t xml:space="preserve">arr2 immunofluorescence. </w:t>
      </w:r>
    </w:p>
    <w:p w14:paraId="3F34C171" w14:textId="2FEDE0FF" w:rsidR="000F4B00" w:rsidRPr="0080220C" w:rsidRDefault="00187E36" w:rsidP="00187E36">
      <w:pPr>
        <w:spacing w:line="480" w:lineRule="auto"/>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 xml:space="preserve">Slice electrophysiology. </w:t>
      </w:r>
      <w:proofErr w:type="spellStart"/>
      <w:r w:rsidRPr="0080220C">
        <w:rPr>
          <w:rFonts w:ascii="Times New Roman" w:hAnsi="Times New Roman" w:cs="Times New Roman"/>
          <w:color w:val="000000" w:themeColor="text1"/>
          <w:sz w:val="24"/>
          <w:szCs w:val="24"/>
        </w:rPr>
        <w:t>NAc</w:t>
      </w:r>
      <w:proofErr w:type="spellEnd"/>
      <w:r w:rsidRPr="0080220C">
        <w:rPr>
          <w:rFonts w:ascii="Times New Roman" w:hAnsi="Times New Roman" w:cs="Times New Roman"/>
          <w:color w:val="000000" w:themeColor="text1"/>
          <w:sz w:val="24"/>
          <w:szCs w:val="24"/>
        </w:rPr>
        <w:t xml:space="preserve"> neurons identified in D1</w:t>
      </w:r>
      <w:r w:rsidRPr="0080220C">
        <w:rPr>
          <w:rFonts w:ascii="Times New Roman" w:hAnsi="Times New Roman" w:cs="Times New Roman"/>
          <w:color w:val="000000" w:themeColor="text1"/>
          <w:sz w:val="24"/>
          <w:szCs w:val="24"/>
          <w:vertAlign w:val="superscript"/>
        </w:rPr>
        <w:t>βarr2-KO/</w:t>
      </w:r>
      <w:proofErr w:type="spellStart"/>
      <w:r w:rsidRPr="0080220C">
        <w:rPr>
          <w:rFonts w:ascii="Times New Roman" w:hAnsi="Times New Roman" w:cs="Times New Roman"/>
          <w:color w:val="000000" w:themeColor="text1"/>
          <w:sz w:val="24"/>
          <w:szCs w:val="24"/>
          <w:vertAlign w:val="superscript"/>
        </w:rPr>
        <w:t>tdTomato</w:t>
      </w:r>
      <w:proofErr w:type="spellEnd"/>
      <w:r w:rsidRPr="0080220C">
        <w:rPr>
          <w:rFonts w:ascii="Times New Roman" w:hAnsi="Times New Roman" w:cs="Times New Roman"/>
          <w:color w:val="000000" w:themeColor="text1"/>
          <w:sz w:val="24"/>
          <w:szCs w:val="24"/>
        </w:rPr>
        <w:t xml:space="preserve"> and D2</w:t>
      </w:r>
      <w:r w:rsidRPr="0080220C">
        <w:rPr>
          <w:rFonts w:ascii="Times New Roman" w:hAnsi="Times New Roman" w:cs="Times New Roman"/>
          <w:color w:val="000000" w:themeColor="text1"/>
          <w:sz w:val="24"/>
          <w:szCs w:val="24"/>
          <w:vertAlign w:val="superscript"/>
        </w:rPr>
        <w:t>βarr2-KO/</w:t>
      </w:r>
      <w:proofErr w:type="spellStart"/>
      <w:r w:rsidRPr="0080220C">
        <w:rPr>
          <w:rFonts w:ascii="Times New Roman" w:hAnsi="Times New Roman" w:cs="Times New Roman"/>
          <w:color w:val="000000" w:themeColor="text1"/>
          <w:sz w:val="24"/>
          <w:szCs w:val="24"/>
          <w:vertAlign w:val="superscript"/>
        </w:rPr>
        <w:t>tdTomato</w:t>
      </w:r>
      <w:proofErr w:type="spellEnd"/>
      <w:r w:rsidRPr="0080220C">
        <w:rPr>
          <w:rFonts w:ascii="Times New Roman" w:hAnsi="Times New Roman" w:cs="Times New Roman"/>
          <w:color w:val="000000" w:themeColor="text1"/>
          <w:sz w:val="24"/>
          <w:szCs w:val="24"/>
        </w:rPr>
        <w:t xml:space="preserve"> mice, or D1-tdTomato and D2-GFP as control mice, were used for electrophysiological recordings. Both males and females 8-12 weeks of age were used. Mice were anesthetized with a lethal dose of isoflurane and decapitated. The brains were quickly removed and placed into oxygenated cutting </w:t>
      </w:r>
      <w:proofErr w:type="spellStart"/>
      <w:r w:rsidRPr="0080220C">
        <w:rPr>
          <w:rFonts w:ascii="Times New Roman" w:hAnsi="Times New Roman" w:cs="Times New Roman"/>
          <w:color w:val="000000" w:themeColor="text1"/>
          <w:sz w:val="24"/>
          <w:szCs w:val="24"/>
        </w:rPr>
        <w:t>aCSF</w:t>
      </w:r>
      <w:proofErr w:type="spellEnd"/>
      <w:r w:rsidRPr="0080220C">
        <w:rPr>
          <w:rFonts w:ascii="Times New Roman" w:hAnsi="Times New Roman" w:cs="Times New Roman"/>
          <w:color w:val="000000" w:themeColor="text1"/>
          <w:sz w:val="24"/>
          <w:szCs w:val="24"/>
        </w:rPr>
        <w:t xml:space="preserve"> at 37</w:t>
      </w:r>
      <w:r w:rsidRPr="0080220C">
        <w:rPr>
          <w:rFonts w:ascii="Cambria Math" w:hAnsi="Cambria Math" w:cs="Cambria Math"/>
          <w:color w:val="000000" w:themeColor="text1"/>
          <w:sz w:val="24"/>
          <w:szCs w:val="24"/>
        </w:rPr>
        <w:t xml:space="preserve">⁰ </w:t>
      </w:r>
      <w:r w:rsidRPr="0080220C">
        <w:rPr>
          <w:rFonts w:ascii="Times New Roman" w:hAnsi="Times New Roman" w:cs="Times New Roman"/>
          <w:color w:val="000000" w:themeColor="text1"/>
          <w:sz w:val="24"/>
          <w:szCs w:val="24"/>
        </w:rPr>
        <w:t xml:space="preserve">C containing (in </w:t>
      </w:r>
      <w:proofErr w:type="spellStart"/>
      <w:r w:rsidRPr="0080220C">
        <w:rPr>
          <w:rFonts w:ascii="Times New Roman" w:hAnsi="Times New Roman" w:cs="Times New Roman"/>
          <w:color w:val="000000" w:themeColor="text1"/>
          <w:sz w:val="24"/>
          <w:szCs w:val="24"/>
        </w:rPr>
        <w:t>mM</w:t>
      </w:r>
      <w:proofErr w:type="spellEnd"/>
      <w:r w:rsidRPr="0080220C">
        <w:rPr>
          <w:rFonts w:ascii="Times New Roman" w:hAnsi="Times New Roman" w:cs="Times New Roman"/>
          <w:color w:val="000000" w:themeColor="text1"/>
          <w:sz w:val="24"/>
          <w:szCs w:val="24"/>
        </w:rPr>
        <w:t xml:space="preserve">): 126 </w:t>
      </w:r>
      <w:proofErr w:type="spellStart"/>
      <w:r w:rsidRPr="0080220C">
        <w:rPr>
          <w:rFonts w:ascii="Times New Roman" w:hAnsi="Times New Roman" w:cs="Times New Roman"/>
          <w:color w:val="000000" w:themeColor="text1"/>
          <w:sz w:val="24"/>
          <w:szCs w:val="24"/>
        </w:rPr>
        <w:t>NaCl</w:t>
      </w:r>
      <w:proofErr w:type="spellEnd"/>
      <w:r w:rsidRPr="0080220C">
        <w:rPr>
          <w:rFonts w:ascii="Times New Roman" w:hAnsi="Times New Roman" w:cs="Times New Roman"/>
          <w:color w:val="000000" w:themeColor="text1"/>
          <w:sz w:val="24"/>
          <w:szCs w:val="24"/>
        </w:rPr>
        <w:t xml:space="preserve">, 2.5 </w:t>
      </w:r>
      <w:proofErr w:type="spellStart"/>
      <w:r w:rsidRPr="0080220C">
        <w:rPr>
          <w:rFonts w:ascii="Times New Roman" w:hAnsi="Times New Roman" w:cs="Times New Roman"/>
          <w:color w:val="000000" w:themeColor="text1"/>
          <w:sz w:val="24"/>
          <w:szCs w:val="24"/>
        </w:rPr>
        <w:t>KCl</w:t>
      </w:r>
      <w:proofErr w:type="spellEnd"/>
      <w:r w:rsidRPr="0080220C">
        <w:rPr>
          <w:rFonts w:ascii="Times New Roman" w:hAnsi="Times New Roman" w:cs="Times New Roman"/>
          <w:color w:val="000000" w:themeColor="text1"/>
          <w:sz w:val="24"/>
          <w:szCs w:val="24"/>
        </w:rPr>
        <w:t>, 1.25 NaH</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PO4, 2 MgCl</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2 CaCl</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10 dextrose, 25 NaHCO</w:t>
      </w:r>
      <w:r w:rsidRPr="0080220C">
        <w:rPr>
          <w:rFonts w:ascii="Times New Roman" w:hAnsi="Times New Roman" w:cs="Times New Roman"/>
          <w:color w:val="000000" w:themeColor="text1"/>
          <w:sz w:val="24"/>
          <w:szCs w:val="24"/>
          <w:vertAlign w:val="subscript"/>
        </w:rPr>
        <w:t>3</w:t>
      </w:r>
      <w:r w:rsidRPr="0080220C">
        <w:rPr>
          <w:rFonts w:ascii="Times New Roman" w:hAnsi="Times New Roman" w:cs="Times New Roman"/>
          <w:color w:val="000000" w:themeColor="text1"/>
          <w:sz w:val="24"/>
          <w:szCs w:val="24"/>
        </w:rPr>
        <w:t xml:space="preserve">, 1.3 ascorbic acid, 2.4 sodium pyruvate and 0.05 glutathione, along with 2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kynurenic acid. Coronal brain slices containing the </w:t>
      </w:r>
      <w:proofErr w:type="spellStart"/>
      <w:r w:rsidRPr="0080220C">
        <w:rPr>
          <w:rFonts w:ascii="Times New Roman" w:hAnsi="Times New Roman" w:cs="Times New Roman"/>
          <w:color w:val="000000" w:themeColor="text1"/>
          <w:sz w:val="24"/>
          <w:szCs w:val="24"/>
        </w:rPr>
        <w:t>NAc</w:t>
      </w:r>
      <w:proofErr w:type="spellEnd"/>
      <w:r w:rsidRPr="0080220C">
        <w:rPr>
          <w:rFonts w:ascii="Times New Roman" w:hAnsi="Times New Roman" w:cs="Times New Roman"/>
          <w:color w:val="000000" w:themeColor="text1"/>
          <w:sz w:val="24"/>
          <w:szCs w:val="24"/>
        </w:rPr>
        <w:t xml:space="preserve"> (250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were cut using a vibrating tissue slicer (</w:t>
      </w:r>
      <w:proofErr w:type="spellStart"/>
      <w:r w:rsidRPr="0080220C">
        <w:rPr>
          <w:rFonts w:ascii="Times New Roman" w:hAnsi="Times New Roman" w:cs="Times New Roman"/>
          <w:color w:val="000000" w:themeColor="text1"/>
          <w:sz w:val="24"/>
          <w:szCs w:val="24"/>
        </w:rPr>
        <w:t>Microm</w:t>
      </w:r>
      <w:proofErr w:type="spellEnd"/>
      <w:r w:rsidRPr="0080220C">
        <w:rPr>
          <w:rFonts w:ascii="Times New Roman" w:hAnsi="Times New Roman" w:cs="Times New Roman"/>
          <w:color w:val="000000" w:themeColor="text1"/>
          <w:sz w:val="24"/>
          <w:szCs w:val="24"/>
        </w:rPr>
        <w:t xml:space="preserve"> HM 650V, </w:t>
      </w:r>
      <w:proofErr w:type="spellStart"/>
      <w:r w:rsidRPr="0080220C">
        <w:rPr>
          <w:rFonts w:ascii="Times New Roman" w:hAnsi="Times New Roman" w:cs="Times New Roman"/>
          <w:color w:val="000000" w:themeColor="text1"/>
          <w:sz w:val="24"/>
          <w:szCs w:val="24"/>
        </w:rPr>
        <w:t>Thermo</w:t>
      </w:r>
      <w:proofErr w:type="spellEnd"/>
      <w:r w:rsidRPr="0080220C">
        <w:rPr>
          <w:rFonts w:ascii="Times New Roman" w:hAnsi="Times New Roman" w:cs="Times New Roman"/>
          <w:color w:val="000000" w:themeColor="text1"/>
          <w:sz w:val="24"/>
          <w:szCs w:val="24"/>
        </w:rPr>
        <w:t xml:space="preserve"> Fisher Scientific, Waltham, MA). The slices were then transferred to an incubation chamber containing the same </w:t>
      </w:r>
      <w:proofErr w:type="spellStart"/>
      <w:r w:rsidRPr="0080220C">
        <w:rPr>
          <w:rFonts w:ascii="Times New Roman" w:hAnsi="Times New Roman" w:cs="Times New Roman"/>
          <w:color w:val="000000" w:themeColor="text1"/>
          <w:sz w:val="24"/>
          <w:szCs w:val="24"/>
        </w:rPr>
        <w:t>aCSF</w:t>
      </w:r>
      <w:proofErr w:type="spellEnd"/>
      <w:r w:rsidRPr="0080220C">
        <w:rPr>
          <w:rFonts w:ascii="Times New Roman" w:hAnsi="Times New Roman" w:cs="Times New Roman"/>
          <w:color w:val="000000" w:themeColor="text1"/>
          <w:sz w:val="24"/>
          <w:szCs w:val="24"/>
        </w:rPr>
        <w:t xml:space="preserve"> without </w:t>
      </w:r>
      <w:r w:rsidRPr="0080220C">
        <w:rPr>
          <w:rFonts w:ascii="Times New Roman" w:hAnsi="Times New Roman" w:cs="Times New Roman"/>
          <w:color w:val="000000" w:themeColor="text1"/>
          <w:sz w:val="24"/>
          <w:szCs w:val="24"/>
        </w:rPr>
        <w:lastRenderedPageBreak/>
        <w:t xml:space="preserve">kynurenic acid, but with 10 µM MK-801 (NMDA receptor antagonist) for 30 minutes prior to recordings. Slices were then taken out of the incubation chamber and stored at room temperature in </w:t>
      </w:r>
      <w:proofErr w:type="spellStart"/>
      <w:r w:rsidRPr="0080220C">
        <w:rPr>
          <w:rFonts w:ascii="Times New Roman" w:hAnsi="Times New Roman" w:cs="Times New Roman"/>
          <w:color w:val="000000" w:themeColor="text1"/>
          <w:sz w:val="24"/>
          <w:szCs w:val="24"/>
        </w:rPr>
        <w:t>aCSF</w:t>
      </w:r>
      <w:proofErr w:type="spellEnd"/>
      <w:r w:rsidRPr="0080220C">
        <w:rPr>
          <w:rFonts w:ascii="Times New Roman" w:hAnsi="Times New Roman" w:cs="Times New Roman"/>
          <w:color w:val="000000" w:themeColor="text1"/>
          <w:sz w:val="24"/>
          <w:szCs w:val="24"/>
        </w:rPr>
        <w:t xml:space="preserve"> containing no kynurenic acid or MK-801 for the remainder of the day. The slices were transferred to a recording chamber for the experiments, where they were submerged in oxygenated </w:t>
      </w:r>
      <w:proofErr w:type="spellStart"/>
      <w:r w:rsidRPr="0080220C">
        <w:rPr>
          <w:rFonts w:ascii="Times New Roman" w:hAnsi="Times New Roman" w:cs="Times New Roman"/>
          <w:color w:val="000000" w:themeColor="text1"/>
          <w:sz w:val="24"/>
          <w:szCs w:val="24"/>
        </w:rPr>
        <w:t>aCSF</w:t>
      </w:r>
      <w:proofErr w:type="spellEnd"/>
      <w:r w:rsidRPr="0080220C">
        <w:rPr>
          <w:rFonts w:ascii="Times New Roman" w:hAnsi="Times New Roman" w:cs="Times New Roman"/>
          <w:color w:val="000000" w:themeColor="text1"/>
          <w:sz w:val="24"/>
          <w:szCs w:val="24"/>
        </w:rPr>
        <w:t xml:space="preserve"> equilibrated with 95%O</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-5%CO</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xml:space="preserve"> at a pH of 7.2, containing (in </w:t>
      </w:r>
      <w:proofErr w:type="spellStart"/>
      <w:r w:rsidRPr="0080220C">
        <w:rPr>
          <w:rFonts w:ascii="Times New Roman" w:hAnsi="Times New Roman" w:cs="Times New Roman"/>
          <w:color w:val="000000" w:themeColor="text1"/>
          <w:sz w:val="24"/>
          <w:szCs w:val="24"/>
        </w:rPr>
        <w:t>mM</w:t>
      </w:r>
      <w:proofErr w:type="spellEnd"/>
      <w:r w:rsidRPr="0080220C">
        <w:rPr>
          <w:rFonts w:ascii="Times New Roman" w:hAnsi="Times New Roman" w:cs="Times New Roman"/>
          <w:color w:val="000000" w:themeColor="text1"/>
          <w:sz w:val="24"/>
          <w:szCs w:val="24"/>
        </w:rPr>
        <w:t xml:space="preserve">): 126 </w:t>
      </w:r>
      <w:proofErr w:type="spellStart"/>
      <w:r w:rsidRPr="0080220C">
        <w:rPr>
          <w:rFonts w:ascii="Times New Roman" w:hAnsi="Times New Roman" w:cs="Times New Roman"/>
          <w:color w:val="000000" w:themeColor="text1"/>
          <w:sz w:val="24"/>
          <w:szCs w:val="24"/>
        </w:rPr>
        <w:t>NaCl</w:t>
      </w:r>
      <w:proofErr w:type="spellEnd"/>
      <w:r w:rsidRPr="0080220C">
        <w:rPr>
          <w:rFonts w:ascii="Times New Roman" w:hAnsi="Times New Roman" w:cs="Times New Roman"/>
          <w:color w:val="000000" w:themeColor="text1"/>
          <w:sz w:val="24"/>
          <w:szCs w:val="24"/>
        </w:rPr>
        <w:t xml:space="preserve">, 2.5 </w:t>
      </w:r>
      <w:proofErr w:type="spellStart"/>
      <w:r w:rsidRPr="0080220C">
        <w:rPr>
          <w:rFonts w:ascii="Times New Roman" w:hAnsi="Times New Roman" w:cs="Times New Roman"/>
          <w:color w:val="000000" w:themeColor="text1"/>
          <w:sz w:val="24"/>
          <w:szCs w:val="24"/>
        </w:rPr>
        <w:t>KCl</w:t>
      </w:r>
      <w:proofErr w:type="spellEnd"/>
      <w:r w:rsidRPr="0080220C">
        <w:rPr>
          <w:rFonts w:ascii="Times New Roman" w:hAnsi="Times New Roman" w:cs="Times New Roman"/>
          <w:color w:val="000000" w:themeColor="text1"/>
          <w:sz w:val="24"/>
          <w:szCs w:val="24"/>
        </w:rPr>
        <w:t>, 1.25 NaH</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PO</w:t>
      </w:r>
      <w:r w:rsidRPr="0080220C">
        <w:rPr>
          <w:rFonts w:ascii="Times New Roman" w:hAnsi="Times New Roman" w:cs="Times New Roman"/>
          <w:color w:val="000000" w:themeColor="text1"/>
          <w:sz w:val="24"/>
          <w:szCs w:val="24"/>
          <w:vertAlign w:val="subscript"/>
        </w:rPr>
        <w:t>4</w:t>
      </w:r>
      <w:r w:rsidRPr="0080220C">
        <w:rPr>
          <w:rFonts w:ascii="Times New Roman" w:hAnsi="Times New Roman" w:cs="Times New Roman"/>
          <w:color w:val="000000" w:themeColor="text1"/>
          <w:sz w:val="24"/>
          <w:szCs w:val="24"/>
        </w:rPr>
        <w:t>, 2 MgCl</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2 CaCl</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10 dextrose, 25 NaHCO</w:t>
      </w:r>
      <w:r w:rsidRPr="0080220C">
        <w:rPr>
          <w:rFonts w:ascii="Times New Roman" w:hAnsi="Times New Roman" w:cs="Times New Roman"/>
          <w:color w:val="000000" w:themeColor="text1"/>
          <w:sz w:val="24"/>
          <w:szCs w:val="24"/>
          <w:vertAlign w:val="subscript"/>
        </w:rPr>
        <w:t>3</w:t>
      </w:r>
      <w:r w:rsidRPr="0080220C">
        <w:rPr>
          <w:rFonts w:ascii="Times New Roman" w:hAnsi="Times New Roman" w:cs="Times New Roman"/>
          <w:color w:val="000000" w:themeColor="text1"/>
          <w:sz w:val="24"/>
          <w:szCs w:val="24"/>
        </w:rPr>
        <w:t xml:space="preserve">, and 2.4 sodium pyruvate. The slices were </w:t>
      </w:r>
      <w:proofErr w:type="spellStart"/>
      <w:r w:rsidRPr="0080220C">
        <w:rPr>
          <w:rFonts w:ascii="Times New Roman" w:hAnsi="Times New Roman" w:cs="Times New Roman"/>
          <w:color w:val="000000" w:themeColor="text1"/>
          <w:sz w:val="24"/>
          <w:szCs w:val="24"/>
        </w:rPr>
        <w:t>superfused</w:t>
      </w:r>
      <w:proofErr w:type="spellEnd"/>
      <w:r w:rsidRPr="0080220C">
        <w:rPr>
          <w:rFonts w:ascii="Times New Roman" w:hAnsi="Times New Roman" w:cs="Times New Roman"/>
          <w:color w:val="000000" w:themeColor="text1"/>
          <w:sz w:val="24"/>
          <w:szCs w:val="24"/>
        </w:rPr>
        <w:t xml:space="preserve"> with 34 – 36°C </w:t>
      </w:r>
      <w:proofErr w:type="spellStart"/>
      <w:r w:rsidRPr="0080220C">
        <w:rPr>
          <w:rFonts w:ascii="Times New Roman" w:hAnsi="Times New Roman" w:cs="Times New Roman"/>
          <w:color w:val="000000" w:themeColor="text1"/>
          <w:sz w:val="24"/>
          <w:szCs w:val="24"/>
        </w:rPr>
        <w:t>aCSF</w:t>
      </w:r>
      <w:proofErr w:type="spellEnd"/>
      <w:r w:rsidRPr="0080220C">
        <w:rPr>
          <w:rFonts w:ascii="Times New Roman" w:hAnsi="Times New Roman" w:cs="Times New Roman"/>
          <w:color w:val="000000" w:themeColor="text1"/>
          <w:sz w:val="24"/>
          <w:szCs w:val="24"/>
        </w:rPr>
        <w:t xml:space="preserve"> at a rate of 2 ml/minute. The cells were visualized using gradient contrast illumination through a 60X water-immersion lens attached to an Olympus BX51 upright microscope (Olympus, Center Valley, PA). Patch pipettes were pulled from borosilicate glass (</w:t>
      </w:r>
      <w:proofErr w:type="spellStart"/>
      <w:r w:rsidRPr="0080220C">
        <w:rPr>
          <w:rFonts w:ascii="Times New Roman" w:hAnsi="Times New Roman" w:cs="Times New Roman"/>
          <w:color w:val="000000" w:themeColor="text1"/>
          <w:sz w:val="24"/>
          <w:szCs w:val="24"/>
        </w:rPr>
        <w:t>o.d</w:t>
      </w:r>
      <w:proofErr w:type="spellEnd"/>
      <w:r w:rsidRPr="0080220C">
        <w:rPr>
          <w:rFonts w:ascii="Times New Roman" w:hAnsi="Times New Roman" w:cs="Times New Roman"/>
          <w:color w:val="000000" w:themeColor="text1"/>
          <w:sz w:val="24"/>
          <w:szCs w:val="24"/>
        </w:rPr>
        <w:t xml:space="preserve">. 1.5 mm, </w:t>
      </w:r>
      <w:proofErr w:type="spellStart"/>
      <w:r w:rsidRPr="0080220C">
        <w:rPr>
          <w:rFonts w:ascii="Times New Roman" w:hAnsi="Times New Roman" w:cs="Times New Roman"/>
          <w:color w:val="000000" w:themeColor="text1"/>
          <w:sz w:val="24"/>
          <w:szCs w:val="24"/>
        </w:rPr>
        <w:t>i.d.</w:t>
      </w:r>
      <w:proofErr w:type="spellEnd"/>
      <w:r w:rsidRPr="0080220C">
        <w:rPr>
          <w:rFonts w:ascii="Times New Roman" w:hAnsi="Times New Roman" w:cs="Times New Roman"/>
          <w:color w:val="000000" w:themeColor="text1"/>
          <w:sz w:val="24"/>
          <w:szCs w:val="24"/>
        </w:rPr>
        <w:t xml:space="preserve"> 0.84 mm) using a P-1000 Flaming/Brown electrode puller (Sutter Instruments, Novato, CA). Pipettes were filled with a solution containing (in </w:t>
      </w:r>
      <w:proofErr w:type="spellStart"/>
      <w:r w:rsidRPr="0080220C">
        <w:rPr>
          <w:rFonts w:ascii="Times New Roman" w:hAnsi="Times New Roman" w:cs="Times New Roman"/>
          <w:color w:val="000000" w:themeColor="text1"/>
          <w:sz w:val="24"/>
          <w:szCs w:val="24"/>
        </w:rPr>
        <w:t>mM</w:t>
      </w:r>
      <w:proofErr w:type="spellEnd"/>
      <w:r w:rsidRPr="0080220C">
        <w:rPr>
          <w:rFonts w:ascii="Times New Roman" w:hAnsi="Times New Roman" w:cs="Times New Roman"/>
          <w:color w:val="000000" w:themeColor="text1"/>
          <w:sz w:val="24"/>
          <w:szCs w:val="24"/>
        </w:rPr>
        <w:t>): 138 K-gluconate, 10 HEPES, 0.0001 CaCl</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xml:space="preserve">, 0.2 ethylene glycol </w:t>
      </w:r>
      <w:proofErr w:type="spellStart"/>
      <w:r w:rsidRPr="0080220C">
        <w:rPr>
          <w:rFonts w:ascii="Times New Roman" w:hAnsi="Times New Roman" w:cs="Times New Roman"/>
          <w:color w:val="000000" w:themeColor="text1"/>
          <w:sz w:val="24"/>
          <w:szCs w:val="24"/>
        </w:rPr>
        <w:t>tetraacetic</w:t>
      </w:r>
      <w:proofErr w:type="spellEnd"/>
      <w:r w:rsidRPr="0080220C">
        <w:rPr>
          <w:rFonts w:ascii="Times New Roman" w:hAnsi="Times New Roman" w:cs="Times New Roman"/>
          <w:color w:val="000000" w:themeColor="text1"/>
          <w:sz w:val="24"/>
          <w:szCs w:val="24"/>
        </w:rPr>
        <w:t xml:space="preserve"> acid, 4 </w:t>
      </w:r>
      <w:proofErr w:type="spellStart"/>
      <w:r w:rsidRPr="0080220C">
        <w:rPr>
          <w:rFonts w:ascii="Times New Roman" w:hAnsi="Times New Roman" w:cs="Times New Roman"/>
          <w:color w:val="000000" w:themeColor="text1"/>
          <w:sz w:val="24"/>
          <w:szCs w:val="24"/>
        </w:rPr>
        <w:t>NaATP</w:t>
      </w:r>
      <w:proofErr w:type="spellEnd"/>
      <w:r w:rsidRPr="0080220C">
        <w:rPr>
          <w:rFonts w:ascii="Times New Roman" w:hAnsi="Times New Roman" w:cs="Times New Roman"/>
          <w:color w:val="000000" w:themeColor="text1"/>
          <w:sz w:val="24"/>
          <w:szCs w:val="24"/>
        </w:rPr>
        <w:t xml:space="preserve">, 0.4 </w:t>
      </w:r>
      <w:proofErr w:type="spellStart"/>
      <w:r w:rsidRPr="0080220C">
        <w:rPr>
          <w:rFonts w:ascii="Times New Roman" w:hAnsi="Times New Roman" w:cs="Times New Roman"/>
          <w:color w:val="000000" w:themeColor="text1"/>
          <w:sz w:val="24"/>
          <w:szCs w:val="24"/>
        </w:rPr>
        <w:t>NaGTP</w:t>
      </w:r>
      <w:proofErr w:type="spellEnd"/>
      <w:r w:rsidRPr="0080220C">
        <w:rPr>
          <w:rFonts w:ascii="Times New Roman" w:hAnsi="Times New Roman" w:cs="Times New Roman"/>
          <w:color w:val="000000" w:themeColor="text1"/>
          <w:sz w:val="24"/>
          <w:szCs w:val="24"/>
        </w:rPr>
        <w:t xml:space="preserve"> and 2 MgCl</w:t>
      </w:r>
      <w:r w:rsidRPr="0080220C">
        <w:rPr>
          <w:rFonts w:ascii="Times New Roman" w:hAnsi="Times New Roman" w:cs="Times New Roman"/>
          <w:color w:val="000000" w:themeColor="text1"/>
          <w:sz w:val="24"/>
          <w:szCs w:val="24"/>
          <w:vertAlign w:val="subscript"/>
        </w:rPr>
        <w:t>2</w:t>
      </w:r>
      <w:r w:rsidRPr="0080220C">
        <w:rPr>
          <w:rFonts w:ascii="Times New Roman" w:hAnsi="Times New Roman" w:cs="Times New Roman"/>
          <w:color w:val="000000" w:themeColor="text1"/>
          <w:sz w:val="24"/>
          <w:szCs w:val="24"/>
        </w:rPr>
        <w:t xml:space="preserve">, with an osmolarity of 270–275 </w:t>
      </w:r>
      <w:proofErr w:type="spellStart"/>
      <w:r w:rsidRPr="0080220C">
        <w:rPr>
          <w:rFonts w:ascii="Times New Roman" w:hAnsi="Times New Roman" w:cs="Times New Roman"/>
          <w:color w:val="000000" w:themeColor="text1"/>
          <w:sz w:val="24"/>
          <w:szCs w:val="24"/>
        </w:rPr>
        <w:t>mOsm</w:t>
      </w:r>
      <w:proofErr w:type="spellEnd"/>
      <w:r w:rsidRPr="0080220C">
        <w:rPr>
          <w:rFonts w:ascii="Times New Roman" w:hAnsi="Times New Roman" w:cs="Times New Roman"/>
          <w:color w:val="000000" w:themeColor="text1"/>
          <w:sz w:val="24"/>
          <w:szCs w:val="24"/>
        </w:rPr>
        <w:t xml:space="preserve"> and adjusted to a pH of 7.3 with potassium hydroxylase (KOH). Recordings were made using a </w:t>
      </w:r>
      <w:proofErr w:type="spellStart"/>
      <w:r w:rsidRPr="0080220C">
        <w:rPr>
          <w:rFonts w:ascii="Times New Roman" w:hAnsi="Times New Roman" w:cs="Times New Roman"/>
          <w:color w:val="000000" w:themeColor="text1"/>
          <w:sz w:val="24"/>
          <w:szCs w:val="24"/>
        </w:rPr>
        <w:t>MultiClamp</w:t>
      </w:r>
      <w:proofErr w:type="spellEnd"/>
      <w:r w:rsidRPr="0080220C">
        <w:rPr>
          <w:rFonts w:ascii="Times New Roman" w:hAnsi="Times New Roman" w:cs="Times New Roman"/>
          <w:color w:val="000000" w:themeColor="text1"/>
          <w:sz w:val="24"/>
          <w:szCs w:val="24"/>
        </w:rPr>
        <w:t xml:space="preserve"> 700B amplifier (Molecular Devices, Sunnyvale, CA). Signals were digitized at 30-50 kHz and saved to a hard drive for analysis using the software program </w:t>
      </w:r>
      <w:proofErr w:type="spellStart"/>
      <w:r w:rsidRPr="0080220C">
        <w:rPr>
          <w:rFonts w:ascii="Times New Roman" w:hAnsi="Times New Roman" w:cs="Times New Roman"/>
          <w:color w:val="000000" w:themeColor="text1"/>
          <w:sz w:val="24"/>
          <w:szCs w:val="24"/>
        </w:rPr>
        <w:t>AxoGraph</w:t>
      </w:r>
      <w:proofErr w:type="spellEnd"/>
      <w:r w:rsidRPr="0080220C">
        <w:rPr>
          <w:rFonts w:ascii="Times New Roman" w:hAnsi="Times New Roman" w:cs="Times New Roman"/>
          <w:color w:val="000000" w:themeColor="text1"/>
          <w:sz w:val="24"/>
          <w:szCs w:val="24"/>
        </w:rPr>
        <w:t xml:space="preserve"> X (</w:t>
      </w:r>
      <w:proofErr w:type="spellStart"/>
      <w:r w:rsidRPr="0080220C">
        <w:rPr>
          <w:rFonts w:ascii="Times New Roman" w:hAnsi="Times New Roman" w:cs="Times New Roman"/>
          <w:color w:val="000000" w:themeColor="text1"/>
          <w:sz w:val="24"/>
          <w:szCs w:val="24"/>
        </w:rPr>
        <w:t>AxoGraph</w:t>
      </w:r>
      <w:proofErr w:type="spellEnd"/>
      <w:r w:rsidRPr="0080220C">
        <w:rPr>
          <w:rFonts w:ascii="Times New Roman" w:hAnsi="Times New Roman" w:cs="Times New Roman"/>
          <w:color w:val="000000" w:themeColor="text1"/>
          <w:sz w:val="24"/>
          <w:szCs w:val="24"/>
        </w:rPr>
        <w:t xml:space="preserve"> Scientific, Berkeley, CA). D1-MSNs or D2-MSNs were identified using epifluorescence microscopy to identify somatic </w:t>
      </w:r>
      <w:proofErr w:type="spellStart"/>
      <w:r w:rsidRPr="0080220C">
        <w:rPr>
          <w:rFonts w:ascii="Times New Roman" w:hAnsi="Times New Roman" w:cs="Times New Roman"/>
          <w:color w:val="000000" w:themeColor="text1"/>
          <w:sz w:val="24"/>
          <w:szCs w:val="24"/>
        </w:rPr>
        <w:t>tdTomato</w:t>
      </w:r>
      <w:proofErr w:type="spellEnd"/>
      <w:r w:rsidRPr="0080220C">
        <w:rPr>
          <w:rFonts w:ascii="Times New Roman" w:hAnsi="Times New Roman" w:cs="Times New Roman"/>
          <w:color w:val="000000" w:themeColor="text1"/>
          <w:sz w:val="24"/>
          <w:szCs w:val="24"/>
        </w:rPr>
        <w:t xml:space="preserve"> or EGFP expression to confirm cell identity before breaking into the cell. Physiological identification of MSNs in the </w:t>
      </w:r>
      <w:proofErr w:type="spellStart"/>
      <w:r w:rsidRPr="0080220C">
        <w:rPr>
          <w:rFonts w:ascii="Times New Roman" w:hAnsi="Times New Roman" w:cs="Times New Roman"/>
          <w:color w:val="000000" w:themeColor="text1"/>
          <w:sz w:val="24"/>
          <w:szCs w:val="24"/>
        </w:rPr>
        <w:t>NAc</w:t>
      </w:r>
      <w:proofErr w:type="spellEnd"/>
      <w:r w:rsidRPr="0080220C">
        <w:rPr>
          <w:rFonts w:ascii="Times New Roman" w:hAnsi="Times New Roman" w:cs="Times New Roman"/>
          <w:color w:val="000000" w:themeColor="text1"/>
          <w:sz w:val="24"/>
          <w:szCs w:val="24"/>
        </w:rPr>
        <w:t xml:space="preserve"> core included the following: hyperpolarized membrane potential (&lt; −70 mV), low input resistance (&lt; 350 MΩ), and delayed spiking upon depolarizing current injection. DA (60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was applied to the slice by </w:t>
      </w:r>
      <w:proofErr w:type="spellStart"/>
      <w:r w:rsidRPr="0080220C">
        <w:rPr>
          <w:rFonts w:ascii="Times New Roman" w:hAnsi="Times New Roman" w:cs="Times New Roman"/>
          <w:color w:val="000000" w:themeColor="text1"/>
          <w:sz w:val="24"/>
          <w:szCs w:val="24"/>
        </w:rPr>
        <w:t>superfusion</w:t>
      </w:r>
      <w:proofErr w:type="spellEnd"/>
      <w:r w:rsidRPr="0080220C">
        <w:rPr>
          <w:rFonts w:ascii="Times New Roman" w:hAnsi="Times New Roman" w:cs="Times New Roman"/>
          <w:color w:val="000000" w:themeColor="text1"/>
          <w:sz w:val="24"/>
          <w:szCs w:val="24"/>
        </w:rPr>
        <w:t xml:space="preserve">. All experiments were performed in the presence of 5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NBQX (AMPA receptor antagonist), 10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MK-801 (NMDA receptor antagonist), 100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picrotoxin (GABA</w:t>
      </w:r>
      <w:r w:rsidRPr="0080220C">
        <w:rPr>
          <w:rFonts w:ascii="Times New Roman" w:hAnsi="Times New Roman" w:cs="Times New Roman"/>
          <w:color w:val="000000" w:themeColor="text1"/>
          <w:sz w:val="24"/>
          <w:szCs w:val="24"/>
          <w:vertAlign w:val="subscript"/>
        </w:rPr>
        <w:t>A</w:t>
      </w:r>
      <w:r w:rsidRPr="0080220C">
        <w:rPr>
          <w:rFonts w:ascii="Times New Roman" w:hAnsi="Times New Roman" w:cs="Times New Roman"/>
          <w:color w:val="000000" w:themeColor="text1"/>
          <w:sz w:val="24"/>
          <w:szCs w:val="24"/>
        </w:rPr>
        <w:t xml:space="preserve"> receptor antagonist), </w:t>
      </w:r>
      <w:r w:rsidRPr="0080220C">
        <w:rPr>
          <w:rFonts w:ascii="Times New Roman" w:hAnsi="Times New Roman" w:cs="Times New Roman"/>
          <w:color w:val="000000" w:themeColor="text1"/>
          <w:sz w:val="24"/>
          <w:szCs w:val="24"/>
        </w:rPr>
        <w:lastRenderedPageBreak/>
        <w:t xml:space="preserve">10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mecamylamine (nicotinic receptor antagonist), 1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atropine (muscarinic receptor antagonist), and 50 </w:t>
      </w:r>
      <w:proofErr w:type="spellStart"/>
      <w:r w:rsidRPr="0080220C">
        <w:rPr>
          <w:rFonts w:ascii="Times New Roman" w:hAnsi="Times New Roman" w:cs="Times New Roman"/>
          <w:color w:val="000000" w:themeColor="text1"/>
          <w:sz w:val="24"/>
          <w:szCs w:val="24"/>
        </w:rPr>
        <w:t>nM</w:t>
      </w:r>
      <w:proofErr w:type="spellEnd"/>
      <w:r w:rsidRPr="0080220C">
        <w:rPr>
          <w:rFonts w:ascii="Times New Roman" w:hAnsi="Times New Roman" w:cs="Times New Roman"/>
          <w:color w:val="000000" w:themeColor="text1"/>
          <w:sz w:val="24"/>
          <w:szCs w:val="24"/>
        </w:rPr>
        <w:t xml:space="preserve"> CGP 54626 (GABA</w:t>
      </w:r>
      <w:r w:rsidRPr="0080220C">
        <w:rPr>
          <w:rFonts w:ascii="Times New Roman" w:hAnsi="Times New Roman" w:cs="Times New Roman"/>
          <w:color w:val="000000" w:themeColor="text1"/>
          <w:sz w:val="24"/>
          <w:szCs w:val="24"/>
          <w:vertAlign w:val="subscript"/>
        </w:rPr>
        <w:t>B</w:t>
      </w:r>
      <w:r w:rsidRPr="0080220C">
        <w:rPr>
          <w:rFonts w:ascii="Times New Roman" w:hAnsi="Times New Roman" w:cs="Times New Roman"/>
          <w:color w:val="000000" w:themeColor="text1"/>
          <w:sz w:val="24"/>
          <w:szCs w:val="24"/>
        </w:rPr>
        <w:t xml:space="preserve"> receptor antagonist). All drugs were obtained from </w:t>
      </w:r>
      <w:proofErr w:type="spellStart"/>
      <w:r w:rsidRPr="0080220C">
        <w:rPr>
          <w:rFonts w:ascii="Times New Roman" w:hAnsi="Times New Roman" w:cs="Times New Roman"/>
          <w:color w:val="000000" w:themeColor="text1"/>
          <w:sz w:val="24"/>
          <w:szCs w:val="24"/>
        </w:rPr>
        <w:t>Tocris</w:t>
      </w:r>
      <w:proofErr w:type="spellEnd"/>
      <w:r w:rsidRPr="0080220C">
        <w:rPr>
          <w:rFonts w:ascii="Times New Roman" w:hAnsi="Times New Roman" w:cs="Times New Roman"/>
          <w:color w:val="000000" w:themeColor="text1"/>
          <w:sz w:val="24"/>
          <w:szCs w:val="24"/>
        </w:rPr>
        <w:t xml:space="preserve"> Bioscience or Sigma-Aldrich. In current-clamp configuration, current was injected for 1 sec at 25-pA step intervals (-50 – 500 </w:t>
      </w:r>
      <w:proofErr w:type="spellStart"/>
      <w:r w:rsidRPr="0080220C">
        <w:rPr>
          <w:rFonts w:ascii="Times New Roman" w:hAnsi="Times New Roman" w:cs="Times New Roman"/>
          <w:color w:val="000000" w:themeColor="text1"/>
          <w:sz w:val="24"/>
          <w:szCs w:val="24"/>
        </w:rPr>
        <w:t>pA</w:t>
      </w:r>
      <w:proofErr w:type="spellEnd"/>
      <w:r w:rsidRPr="0080220C">
        <w:rPr>
          <w:rFonts w:ascii="Times New Roman" w:hAnsi="Times New Roman" w:cs="Times New Roman"/>
          <w:color w:val="000000" w:themeColor="text1"/>
          <w:sz w:val="24"/>
          <w:szCs w:val="24"/>
        </w:rPr>
        <w:t xml:space="preserve">) with 5 sec between each pulse. An input/output curve was obtained under baseline conditions before and after </w:t>
      </w:r>
      <w:proofErr w:type="spellStart"/>
      <w:r w:rsidRPr="0080220C">
        <w:rPr>
          <w:rFonts w:ascii="Times New Roman" w:hAnsi="Times New Roman" w:cs="Times New Roman"/>
          <w:color w:val="000000" w:themeColor="text1"/>
          <w:sz w:val="24"/>
          <w:szCs w:val="24"/>
        </w:rPr>
        <w:t>superfusing</w:t>
      </w:r>
      <w:proofErr w:type="spellEnd"/>
      <w:r w:rsidRPr="0080220C">
        <w:rPr>
          <w:rFonts w:ascii="Times New Roman" w:hAnsi="Times New Roman" w:cs="Times New Roman"/>
          <w:color w:val="000000" w:themeColor="text1"/>
          <w:sz w:val="24"/>
          <w:szCs w:val="24"/>
        </w:rPr>
        <w:t xml:space="preserve"> 10 ml of a 60 </w:t>
      </w:r>
      <w:proofErr w:type="spellStart"/>
      <w:r w:rsidRPr="0080220C">
        <w:rPr>
          <w:rFonts w:ascii="Times New Roman" w:hAnsi="Times New Roman" w:cs="Times New Roman"/>
          <w:color w:val="000000" w:themeColor="text1"/>
          <w:sz w:val="24"/>
          <w:szCs w:val="24"/>
        </w:rPr>
        <w:t>μM</w:t>
      </w:r>
      <w:proofErr w:type="spellEnd"/>
      <w:r w:rsidRPr="0080220C">
        <w:rPr>
          <w:rFonts w:ascii="Times New Roman" w:hAnsi="Times New Roman" w:cs="Times New Roman"/>
          <w:color w:val="000000" w:themeColor="text1"/>
          <w:sz w:val="24"/>
          <w:szCs w:val="24"/>
        </w:rPr>
        <w:t xml:space="preserve"> solution of DA </w:t>
      </w:r>
      <w:proofErr w:type="spellStart"/>
      <w:r w:rsidRPr="0080220C">
        <w:rPr>
          <w:rFonts w:ascii="Times New Roman" w:hAnsi="Times New Roman" w:cs="Times New Roman"/>
          <w:color w:val="000000" w:themeColor="text1"/>
          <w:sz w:val="24"/>
          <w:szCs w:val="24"/>
        </w:rPr>
        <w:t>HCl</w:t>
      </w:r>
      <w:proofErr w:type="spellEnd"/>
      <w:r w:rsidRPr="0080220C">
        <w:rPr>
          <w:rFonts w:ascii="Times New Roman" w:hAnsi="Times New Roman" w:cs="Times New Roman"/>
          <w:color w:val="000000" w:themeColor="text1"/>
          <w:sz w:val="24"/>
          <w:szCs w:val="24"/>
        </w:rPr>
        <w:t xml:space="preserve"> for approximately 5 minutes </w:t>
      </w:r>
      <w:r w:rsidRPr="0080220C">
        <w:rPr>
          <w:rFonts w:ascii="Times New Roman" w:hAnsi="Times New Roman" w:cs="Times New Roman"/>
          <w:color w:val="000000" w:themeColor="text1"/>
          <w:sz w:val="24"/>
          <w:szCs w:val="24"/>
        </w:rPr>
        <w:fldChar w:fldCharType="begin">
          <w:fldData xml:space="preserve">PEVuZE5vdGU+PENpdGU+PEF1dGhvcj5QbGFuZXJ0PC9BdXRob3I+PFllYXI+MjAxMzwvWWVhcj48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</w:fldData>
        </w:fldChar>
      </w:r>
      <w:r w:rsidR="000F4B00" w:rsidRPr="0080220C">
        <w:rPr>
          <w:rFonts w:ascii="Times New Roman" w:hAnsi="Times New Roman" w:cs="Times New Roman"/>
          <w:color w:val="000000" w:themeColor="text1"/>
          <w:sz w:val="24"/>
          <w:szCs w:val="24"/>
        </w:rPr>
        <w:instrText xml:space="preserve"> ADDIN EN.CITE </w:instrText>
      </w:r>
      <w:r w:rsidR="000F4B00" w:rsidRPr="0080220C">
        <w:rPr>
          <w:rFonts w:ascii="Times New Roman" w:hAnsi="Times New Roman" w:cs="Times New Roman"/>
          <w:color w:val="000000" w:themeColor="text1"/>
          <w:sz w:val="24"/>
          <w:szCs w:val="24"/>
        </w:rPr>
        <w:fldChar w:fldCharType="begin">
          <w:fldData xml:space="preserve">PEVuZE5vdGU+PENpdGU+PEF1dGhvcj5QbGFuZXJ0PC9BdXRob3I+PFllYXI+MjAxMzwvWWVhcj48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</w:fldData>
        </w:fldChar>
      </w:r>
      <w:r w:rsidR="000F4B00" w:rsidRPr="0080220C">
        <w:rPr>
          <w:rFonts w:ascii="Times New Roman" w:hAnsi="Times New Roman" w:cs="Times New Roman"/>
          <w:color w:val="000000" w:themeColor="text1"/>
          <w:sz w:val="24"/>
          <w:szCs w:val="24"/>
        </w:rPr>
        <w:instrText xml:space="preserve"> ADDIN EN.CITE.DATA </w:instrText>
      </w:r>
      <w:r w:rsidR="000F4B00" w:rsidRPr="0080220C">
        <w:rPr>
          <w:rFonts w:ascii="Times New Roman" w:hAnsi="Times New Roman" w:cs="Times New Roman"/>
          <w:color w:val="000000" w:themeColor="text1"/>
          <w:sz w:val="24"/>
          <w:szCs w:val="24"/>
        </w:rPr>
      </w:r>
      <w:r w:rsidR="000F4B00" w:rsidRPr="0080220C">
        <w:rPr>
          <w:rFonts w:ascii="Times New Roman" w:hAnsi="Times New Roman" w:cs="Times New Roman"/>
          <w:color w:val="000000" w:themeColor="text1"/>
          <w:sz w:val="24"/>
          <w:szCs w:val="24"/>
        </w:rPr>
        <w:fldChar w:fldCharType="end"/>
      </w:r>
      <w:r w:rsidRPr="0080220C">
        <w:rPr>
          <w:rFonts w:ascii="Times New Roman" w:hAnsi="Times New Roman" w:cs="Times New Roman"/>
          <w:color w:val="000000" w:themeColor="text1"/>
          <w:sz w:val="24"/>
          <w:szCs w:val="24"/>
        </w:rPr>
      </w:r>
      <w:r w:rsidRPr="0080220C">
        <w:rPr>
          <w:rFonts w:ascii="Times New Roman" w:hAnsi="Times New Roman" w:cs="Times New Roman"/>
          <w:color w:val="000000" w:themeColor="text1"/>
          <w:sz w:val="24"/>
          <w:szCs w:val="24"/>
        </w:rPr>
        <w:fldChar w:fldCharType="separate"/>
      </w:r>
      <w:r w:rsidR="000F4B00" w:rsidRPr="0080220C">
        <w:rPr>
          <w:rFonts w:ascii="Times New Roman" w:hAnsi="Times New Roman" w:cs="Times New Roman"/>
          <w:noProof/>
          <w:color w:val="000000" w:themeColor="text1"/>
          <w:sz w:val="24"/>
          <w:szCs w:val="24"/>
        </w:rPr>
        <w:t>(Manvich, Petko, Branco et al., 2019; Planert, Berger &amp; Silberberg, 2013)</w:t>
      </w:r>
      <w:r w:rsidRPr="0080220C">
        <w:rPr>
          <w:rFonts w:ascii="Times New Roman" w:hAnsi="Times New Roman" w:cs="Times New Roman"/>
          <w:color w:val="000000" w:themeColor="text1"/>
          <w:sz w:val="24"/>
          <w:szCs w:val="24"/>
        </w:rPr>
        <w:fldChar w:fldCharType="end"/>
      </w:r>
      <w:r w:rsidRPr="0080220C">
        <w:rPr>
          <w:rFonts w:ascii="Times New Roman" w:hAnsi="Times New Roman" w:cs="Times New Roman"/>
          <w:color w:val="000000" w:themeColor="text1"/>
          <w:sz w:val="24"/>
          <w:szCs w:val="24"/>
        </w:rPr>
        <w:t xml:space="preserve">. </w:t>
      </w:r>
      <w:r w:rsidR="004956A2" w:rsidRPr="0080220C">
        <w:rPr>
          <w:rFonts w:ascii="Times New Roman" w:hAnsi="Times New Roman" w:cs="Times New Roman"/>
          <w:color w:val="000000" w:themeColor="text1"/>
          <w:sz w:val="24"/>
          <w:szCs w:val="24"/>
        </w:rPr>
        <w:t xml:space="preserve">Using the identical preparation, we have shown that </w:t>
      </w:r>
      <w:proofErr w:type="spellStart"/>
      <w:r w:rsidR="004956A2" w:rsidRPr="0080220C">
        <w:rPr>
          <w:rFonts w:ascii="Times New Roman" w:hAnsi="Times New Roman" w:cs="Times New Roman"/>
          <w:color w:val="000000" w:themeColor="text1"/>
          <w:sz w:val="24"/>
          <w:szCs w:val="24"/>
        </w:rPr>
        <w:t>s</w:t>
      </w:r>
      <w:r w:rsidR="000F4B00" w:rsidRPr="0080220C">
        <w:rPr>
          <w:rFonts w:ascii="Times New Roman" w:hAnsi="Times New Roman" w:cs="Times New Roman"/>
          <w:color w:val="000000" w:themeColor="text1"/>
          <w:sz w:val="24"/>
          <w:szCs w:val="24"/>
        </w:rPr>
        <w:t>ulpiride</w:t>
      </w:r>
      <w:proofErr w:type="spellEnd"/>
      <w:r w:rsidR="000F4B00" w:rsidRPr="0080220C">
        <w:rPr>
          <w:rFonts w:ascii="Times New Roman" w:hAnsi="Times New Roman" w:cs="Times New Roman"/>
          <w:color w:val="000000" w:themeColor="text1"/>
          <w:sz w:val="24"/>
          <w:szCs w:val="24"/>
        </w:rPr>
        <w:t xml:space="preserve"> reverses 60 </w:t>
      </w:r>
      <w:proofErr w:type="spellStart"/>
      <w:r w:rsidR="000F4B00" w:rsidRPr="0080220C">
        <w:rPr>
          <w:rFonts w:ascii="Times New Roman" w:hAnsi="Times New Roman" w:cs="Times New Roman"/>
          <w:color w:val="000000" w:themeColor="text1"/>
          <w:sz w:val="24"/>
          <w:szCs w:val="24"/>
        </w:rPr>
        <w:t>μM</w:t>
      </w:r>
      <w:proofErr w:type="spellEnd"/>
      <w:r w:rsidR="000F4B00" w:rsidRPr="0080220C">
        <w:rPr>
          <w:rFonts w:ascii="Times New Roman" w:hAnsi="Times New Roman" w:cs="Times New Roman"/>
          <w:color w:val="000000" w:themeColor="text1"/>
          <w:sz w:val="24"/>
          <w:szCs w:val="24"/>
        </w:rPr>
        <w:t xml:space="preserve"> DA-induced decreases in D2-MSN firing</w:t>
      </w:r>
      <w:r w:rsidR="004956A2" w:rsidRPr="0080220C">
        <w:rPr>
          <w:rFonts w:ascii="Times New Roman" w:hAnsi="Times New Roman" w:cs="Times New Roman"/>
          <w:color w:val="000000" w:themeColor="text1"/>
          <w:sz w:val="24"/>
          <w:szCs w:val="24"/>
        </w:rPr>
        <w:t>,</w:t>
      </w:r>
      <w:r w:rsidR="000F4B00" w:rsidRPr="0080220C">
        <w:rPr>
          <w:rFonts w:ascii="Times New Roman" w:hAnsi="Times New Roman" w:cs="Times New Roman"/>
          <w:color w:val="000000" w:themeColor="text1"/>
          <w:sz w:val="24"/>
          <w:szCs w:val="24"/>
        </w:rPr>
        <w:t xml:space="preserve"> demonstrating selectivity of this concentration of DA</w:t>
      </w:r>
      <w:r w:rsidR="004956A2" w:rsidRPr="0080220C">
        <w:rPr>
          <w:rFonts w:ascii="Times New Roman" w:hAnsi="Times New Roman" w:cs="Times New Roman"/>
          <w:color w:val="000000" w:themeColor="text1"/>
          <w:sz w:val="24"/>
          <w:szCs w:val="24"/>
        </w:rPr>
        <w:t xml:space="preserve"> for DA receptors</w:t>
      </w:r>
      <w:r w:rsidR="000F4B00" w:rsidRPr="0080220C">
        <w:rPr>
          <w:rFonts w:ascii="Times New Roman" w:hAnsi="Times New Roman" w:cs="Times New Roman"/>
          <w:color w:val="000000" w:themeColor="text1"/>
          <w:sz w:val="24"/>
          <w:szCs w:val="24"/>
        </w:rPr>
        <w:t xml:space="preserve">. </w:t>
      </w:r>
      <w:r w:rsidRPr="0080220C">
        <w:rPr>
          <w:rFonts w:ascii="Times New Roman" w:hAnsi="Times New Roman" w:cs="Times New Roman"/>
          <w:color w:val="000000" w:themeColor="text1"/>
          <w:sz w:val="24"/>
          <w:szCs w:val="24"/>
        </w:rPr>
        <w:t xml:space="preserve">Stock solutions of DA </w:t>
      </w:r>
      <w:proofErr w:type="spellStart"/>
      <w:r w:rsidRPr="0080220C">
        <w:rPr>
          <w:rFonts w:ascii="Times New Roman" w:hAnsi="Times New Roman" w:cs="Times New Roman"/>
          <w:color w:val="000000" w:themeColor="text1"/>
          <w:sz w:val="24"/>
          <w:szCs w:val="24"/>
        </w:rPr>
        <w:t>HCl</w:t>
      </w:r>
      <w:proofErr w:type="spellEnd"/>
      <w:r w:rsidRPr="0080220C">
        <w:rPr>
          <w:rFonts w:ascii="Times New Roman" w:hAnsi="Times New Roman" w:cs="Times New Roman"/>
          <w:color w:val="000000" w:themeColor="text1"/>
          <w:sz w:val="24"/>
          <w:szCs w:val="24"/>
        </w:rPr>
        <w:t xml:space="preserve"> were made fresh daily. </w:t>
      </w:r>
    </w:p>
    <w:p w14:paraId="38D7AD3D" w14:textId="53DF7913" w:rsidR="00187E36" w:rsidRPr="0080220C" w:rsidRDefault="00187E36" w:rsidP="000F4B00">
      <w:pPr>
        <w:spacing w:line="480" w:lineRule="auto"/>
        <w:ind w:firstLine="720"/>
        <w:rPr>
          <w:rFonts w:ascii="Times New Roman" w:hAnsi="Times New Roman" w:cs="Times New Roman"/>
          <w:color w:val="000000" w:themeColor="text1"/>
          <w:sz w:val="24"/>
          <w:szCs w:val="24"/>
        </w:rPr>
      </w:pPr>
      <w:r w:rsidRPr="0080220C">
        <w:rPr>
          <w:rFonts w:ascii="Times New Roman" w:hAnsi="Times New Roman" w:cs="Times New Roman"/>
          <w:color w:val="000000" w:themeColor="text1"/>
          <w:sz w:val="24"/>
          <w:szCs w:val="24"/>
        </w:rPr>
        <w:t xml:space="preserve">Input resistance was calculated by taking the average membrane potential at steady state during specific current injection amplitude levels (-50 – 75 </w:t>
      </w:r>
      <w:proofErr w:type="spellStart"/>
      <w:r w:rsidRPr="0080220C">
        <w:rPr>
          <w:rFonts w:ascii="Times New Roman" w:hAnsi="Times New Roman" w:cs="Times New Roman"/>
          <w:color w:val="000000" w:themeColor="text1"/>
          <w:sz w:val="24"/>
          <w:szCs w:val="24"/>
        </w:rPr>
        <w:t>pA</w:t>
      </w:r>
      <w:proofErr w:type="spellEnd"/>
      <w:r w:rsidRPr="0080220C">
        <w:rPr>
          <w:rFonts w:ascii="Times New Roman" w:hAnsi="Times New Roman" w:cs="Times New Roman"/>
          <w:color w:val="000000" w:themeColor="text1"/>
          <w:sz w:val="24"/>
          <w:szCs w:val="24"/>
        </w:rPr>
        <w:t xml:space="preserve">). Slope values for each F-I curve were determined using linear fit through the linear, or primary region of the F-I curve, which was assessed individually for each cell and defined by firing rates at the first four consecutive current injections above rheobase. Rheobase was measured at the point where the linear fit line crossed the x-axis and was measured within each individual cell’s F-I curve. Maximum firing rate was measured by taking each cell’s maximum firing frequency right before the cell underwent depolarization block. </w:t>
      </w:r>
    </w:p>
    <w:p w14:paraId="451DBDAC" w14:textId="77777777" w:rsidR="00187E36" w:rsidRPr="0080220C" w:rsidRDefault="00187E36" w:rsidP="00187E36">
      <w:pPr>
        <w:spacing w:line="480" w:lineRule="auto"/>
        <w:jc w:val="both"/>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Drug-induced locomotion.</w:t>
      </w:r>
      <w:r w:rsidRPr="0080220C">
        <w:rPr>
          <w:rFonts w:ascii="Times New Roman" w:hAnsi="Times New Roman" w:cs="Times New Roman"/>
          <w:i/>
          <w:color w:val="000000" w:themeColor="text1"/>
          <w:sz w:val="24"/>
          <w:szCs w:val="24"/>
        </w:rPr>
        <w:t xml:space="preserve"> </w:t>
      </w:r>
      <w:r w:rsidRPr="0080220C">
        <w:rPr>
          <w:rFonts w:ascii="Times New Roman" w:hAnsi="Times New Roman" w:cs="Times New Roman"/>
          <w:color w:val="000000" w:themeColor="text1"/>
          <w:sz w:val="24"/>
          <w:szCs w:val="24"/>
        </w:rPr>
        <w:t xml:space="preserve">San Diego Instruments (La Jolla, CA) locomotor chambers were used for locomotor testing. Cages (22 x 43 x 22 cm) with corncob bedding were situated within a 25 x 47 cm stainless steel frame that passed 7 infrared beams through the long wall of the locomotor activity chamber at 5.5 cm intervals. Mice underwent three 1-h habituation sessions in the chambers and subsequently received one drug-induced locomotor test per week. Drug order was counterbalanced across subjects. Each test session began with a 90-min habituation period </w:t>
      </w:r>
      <w:r w:rsidRPr="0080220C">
        <w:rPr>
          <w:rFonts w:ascii="Times New Roman" w:hAnsi="Times New Roman" w:cs="Times New Roman"/>
          <w:color w:val="000000" w:themeColor="text1"/>
          <w:sz w:val="24"/>
          <w:szCs w:val="24"/>
        </w:rPr>
        <w:lastRenderedPageBreak/>
        <w:t xml:space="preserve">followed by administration of saline, cocaine, or morphine (5, 10, or 20 mg/kg, </w:t>
      </w:r>
      <w:proofErr w:type="spellStart"/>
      <w:r w:rsidRPr="0080220C">
        <w:rPr>
          <w:rFonts w:ascii="Times New Roman" w:hAnsi="Times New Roman" w:cs="Times New Roman"/>
          <w:color w:val="000000" w:themeColor="text1"/>
          <w:sz w:val="24"/>
          <w:szCs w:val="24"/>
        </w:rPr>
        <w:t>i.p</w:t>
      </w:r>
      <w:proofErr w:type="spellEnd"/>
      <w:r w:rsidRPr="0080220C">
        <w:rPr>
          <w:rFonts w:ascii="Times New Roman" w:hAnsi="Times New Roman" w:cs="Times New Roman"/>
          <w:color w:val="000000" w:themeColor="text1"/>
          <w:sz w:val="24"/>
          <w:szCs w:val="24"/>
        </w:rPr>
        <w:t xml:space="preserve">.), and drug-induced locomotion was monitored for 2 h. The primary outcome measure was </w:t>
      </w:r>
      <w:proofErr w:type="spellStart"/>
      <w:r w:rsidRPr="0080220C">
        <w:rPr>
          <w:rFonts w:ascii="Times New Roman" w:hAnsi="Times New Roman" w:cs="Times New Roman"/>
          <w:color w:val="000000" w:themeColor="text1"/>
          <w:sz w:val="24"/>
          <w:szCs w:val="24"/>
        </w:rPr>
        <w:t>ambulations</w:t>
      </w:r>
      <w:proofErr w:type="spellEnd"/>
      <w:r w:rsidRPr="0080220C">
        <w:rPr>
          <w:rFonts w:ascii="Times New Roman" w:hAnsi="Times New Roman" w:cs="Times New Roman"/>
          <w:color w:val="000000" w:themeColor="text1"/>
          <w:sz w:val="24"/>
          <w:szCs w:val="24"/>
        </w:rPr>
        <w:t>, defined as consecutive photo-beam breaks, collected in consecutive 5-min bins.</w:t>
      </w:r>
    </w:p>
    <w:p w14:paraId="4648BCF2" w14:textId="10C1D24D" w:rsidR="000D70C7" w:rsidRPr="0080220C" w:rsidRDefault="000D70C7" w:rsidP="000D70C7">
      <w:pPr>
        <w:spacing w:line="480" w:lineRule="auto"/>
        <w:ind w:firstLine="720"/>
        <w:jc w:val="both"/>
        <w:rPr>
          <w:rFonts w:ascii="Times New Roman" w:hAnsi="Times New Roman" w:cs="Times New Roman"/>
          <w:color w:val="000000" w:themeColor="text1"/>
          <w:sz w:val="24"/>
          <w:szCs w:val="24"/>
        </w:rPr>
      </w:pPr>
      <w:r w:rsidRPr="0080220C">
        <w:rPr>
          <w:rFonts w:ascii="Times New Roman" w:hAnsi="Times New Roman" w:cs="Times New Roman"/>
          <w:color w:val="000000" w:themeColor="text1"/>
          <w:sz w:val="24"/>
          <w:szCs w:val="24"/>
        </w:rPr>
        <w:t xml:space="preserve">To test whether baseline locomotor activity of controls bred from D1-Cre x </w:t>
      </w:r>
      <w:proofErr w:type="spellStart"/>
      <w:r w:rsidRPr="0080220C">
        <w:rPr>
          <w:rFonts w:ascii="Times New Roman" w:hAnsi="Times New Roman" w:cs="Times New Roman"/>
          <w:color w:val="000000" w:themeColor="text1"/>
          <w:sz w:val="24"/>
          <w:szCs w:val="24"/>
        </w:rPr>
        <w:t>floxed</w:t>
      </w:r>
      <w:proofErr w:type="spellEnd"/>
      <w:r w:rsidRPr="0080220C">
        <w:rPr>
          <w:rFonts w:ascii="Times New Roman" w:hAnsi="Times New Roman" w:cs="Times New Roman"/>
          <w:color w:val="000000" w:themeColor="text1"/>
          <w:sz w:val="24"/>
          <w:szCs w:val="24"/>
        </w:rPr>
        <w:t xml:space="preserve"> βarr2 mice and D2-Cre x </w:t>
      </w:r>
      <w:proofErr w:type="spellStart"/>
      <w:r w:rsidRPr="0080220C">
        <w:rPr>
          <w:rFonts w:ascii="Times New Roman" w:hAnsi="Times New Roman" w:cs="Times New Roman"/>
          <w:color w:val="000000" w:themeColor="text1"/>
          <w:sz w:val="24"/>
          <w:szCs w:val="24"/>
        </w:rPr>
        <w:t>floxed</w:t>
      </w:r>
      <w:proofErr w:type="spellEnd"/>
      <w:r w:rsidRPr="0080220C">
        <w:rPr>
          <w:rFonts w:ascii="Times New Roman" w:hAnsi="Times New Roman" w:cs="Times New Roman"/>
          <w:color w:val="000000" w:themeColor="text1"/>
          <w:sz w:val="24"/>
          <w:szCs w:val="24"/>
        </w:rPr>
        <w:t xml:space="preserve"> βarr2 mice differed, </w:t>
      </w:r>
      <w:r w:rsidR="00A726DA" w:rsidRPr="0080220C">
        <w:rPr>
          <w:rFonts w:ascii="Times New Roman" w:hAnsi="Times New Roman" w:cs="Times New Roman"/>
          <w:color w:val="000000" w:themeColor="text1"/>
          <w:sz w:val="24"/>
          <w:szCs w:val="24"/>
        </w:rPr>
        <w:t xml:space="preserve">saline-induced locomotion </w:t>
      </w:r>
      <w:r w:rsidR="00861D8E" w:rsidRPr="0080220C">
        <w:rPr>
          <w:rFonts w:ascii="Times New Roman" w:hAnsi="Times New Roman" w:cs="Times New Roman"/>
          <w:color w:val="000000" w:themeColor="text1"/>
          <w:sz w:val="24"/>
          <w:szCs w:val="24"/>
        </w:rPr>
        <w:t xml:space="preserve">for 30-minutes post injection </w:t>
      </w:r>
      <w:r w:rsidR="00A726DA" w:rsidRPr="0080220C">
        <w:rPr>
          <w:rFonts w:ascii="Times New Roman" w:hAnsi="Times New Roman" w:cs="Times New Roman"/>
          <w:color w:val="000000" w:themeColor="text1"/>
          <w:sz w:val="24"/>
          <w:szCs w:val="24"/>
        </w:rPr>
        <w:t xml:space="preserve">was </w:t>
      </w:r>
      <w:r w:rsidRPr="0080220C">
        <w:rPr>
          <w:rFonts w:ascii="Times New Roman" w:hAnsi="Times New Roman" w:cs="Times New Roman"/>
          <w:color w:val="000000" w:themeColor="text1"/>
          <w:sz w:val="24"/>
          <w:szCs w:val="24"/>
        </w:rPr>
        <w:t xml:space="preserve">quantified between controls (homozygous </w:t>
      </w:r>
      <w:proofErr w:type="spellStart"/>
      <w:r w:rsidRPr="0080220C">
        <w:rPr>
          <w:rFonts w:ascii="Times New Roman" w:hAnsi="Times New Roman" w:cs="Times New Roman"/>
          <w:color w:val="000000" w:themeColor="text1"/>
          <w:sz w:val="24"/>
          <w:szCs w:val="24"/>
        </w:rPr>
        <w:t>floxed</w:t>
      </w:r>
      <w:proofErr w:type="spellEnd"/>
      <w:r w:rsidRPr="0080220C">
        <w:rPr>
          <w:rFonts w:ascii="Times New Roman" w:hAnsi="Times New Roman" w:cs="Times New Roman"/>
          <w:color w:val="000000" w:themeColor="text1"/>
          <w:sz w:val="24"/>
          <w:szCs w:val="24"/>
        </w:rPr>
        <w:t xml:space="preserve"> βarr2 mice) with a D1-Cre vs D2-Cre parent. </w:t>
      </w:r>
    </w:p>
    <w:p w14:paraId="21025863" w14:textId="463DA752" w:rsidR="00187E36" w:rsidRPr="0080220C" w:rsidRDefault="00187E36" w:rsidP="000D70C7">
      <w:pPr>
        <w:spacing w:line="480" w:lineRule="auto"/>
        <w:ind w:firstLine="720"/>
        <w:jc w:val="both"/>
        <w:rPr>
          <w:rFonts w:ascii="Times New Roman" w:hAnsi="Times New Roman" w:cs="Times New Roman"/>
          <w:color w:val="000000" w:themeColor="text1"/>
          <w:sz w:val="24"/>
          <w:szCs w:val="24"/>
        </w:rPr>
      </w:pPr>
      <w:r w:rsidRPr="0080220C">
        <w:rPr>
          <w:rFonts w:ascii="Times New Roman" w:hAnsi="Times New Roman" w:cs="Times New Roman"/>
          <w:color w:val="000000" w:themeColor="text1"/>
          <w:sz w:val="24"/>
          <w:szCs w:val="24"/>
        </w:rPr>
        <w:t>To further test the role of βarr2 in D2 cell in modulating cocaine-induced locomotion, the locomotor activity of control and D2</w:t>
      </w:r>
      <w:r w:rsidRPr="0080220C">
        <w:rPr>
          <w:rFonts w:ascii="Times New Roman" w:hAnsi="Times New Roman" w:cs="Times New Roman"/>
          <w:color w:val="000000" w:themeColor="text1"/>
          <w:sz w:val="24"/>
          <w:szCs w:val="24"/>
          <w:vertAlign w:val="superscript"/>
        </w:rPr>
        <w:t>βarr2-KO</w:t>
      </w:r>
      <w:r w:rsidRPr="0080220C">
        <w:rPr>
          <w:rFonts w:ascii="Times New Roman" w:hAnsi="Times New Roman" w:cs="Times New Roman"/>
          <w:color w:val="000000" w:themeColor="text1"/>
          <w:sz w:val="24"/>
          <w:szCs w:val="24"/>
        </w:rPr>
        <w:t xml:space="preserve"> mice was recorded in the CPP chambers during the 30-minute conditioning sessions to 10 mg/kg cocaine.</w:t>
      </w:r>
      <w:r w:rsidR="000D70C7" w:rsidRPr="0080220C">
        <w:rPr>
          <w:rFonts w:ascii="Times New Roman" w:hAnsi="Times New Roman" w:cs="Times New Roman"/>
          <w:color w:val="000000" w:themeColor="text1"/>
          <w:sz w:val="24"/>
          <w:szCs w:val="24"/>
        </w:rPr>
        <w:t xml:space="preserve"> </w:t>
      </w:r>
    </w:p>
    <w:p w14:paraId="72058CD4" w14:textId="77777777" w:rsidR="00187E36" w:rsidRPr="0080220C" w:rsidRDefault="00187E36" w:rsidP="00187E36">
      <w:pPr>
        <w:spacing w:line="480" w:lineRule="auto"/>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Locomotor Sensitization.</w:t>
      </w:r>
      <w:r w:rsidRPr="0080220C">
        <w:rPr>
          <w:rFonts w:ascii="Times New Roman" w:hAnsi="Times New Roman" w:cs="Times New Roman"/>
          <w:color w:val="000000" w:themeColor="text1"/>
          <w:sz w:val="24"/>
          <w:szCs w:val="24"/>
        </w:rPr>
        <w:t xml:space="preserve"> Following a 60-min habituation period, mice received cocaine (10 mg/kg, </w:t>
      </w:r>
      <w:proofErr w:type="spellStart"/>
      <w:r w:rsidRPr="0080220C">
        <w:rPr>
          <w:rFonts w:ascii="Times New Roman" w:hAnsi="Times New Roman" w:cs="Times New Roman"/>
          <w:color w:val="000000" w:themeColor="text1"/>
          <w:sz w:val="24"/>
          <w:szCs w:val="24"/>
        </w:rPr>
        <w:t>i.p</w:t>
      </w:r>
      <w:proofErr w:type="spellEnd"/>
      <w:r w:rsidRPr="0080220C">
        <w:rPr>
          <w:rFonts w:ascii="Times New Roman" w:hAnsi="Times New Roman" w:cs="Times New Roman"/>
          <w:color w:val="000000" w:themeColor="text1"/>
          <w:sz w:val="24"/>
          <w:szCs w:val="24"/>
        </w:rPr>
        <w:t>.), and locomotor activity was measured for 60 min. This procedure occurred daily for 7 consecutive days.</w:t>
      </w:r>
    </w:p>
    <w:p w14:paraId="24C37234" w14:textId="271E3B68" w:rsidR="008F334E" w:rsidRPr="0080220C" w:rsidRDefault="00187E36" w:rsidP="00187E36">
      <w:pPr>
        <w:spacing w:line="480" w:lineRule="auto"/>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 xml:space="preserve">CPP. </w:t>
      </w:r>
      <w:r w:rsidRPr="0080220C">
        <w:rPr>
          <w:rFonts w:ascii="Times New Roman" w:hAnsi="Times New Roman" w:cs="Times New Roman"/>
          <w:color w:val="000000" w:themeColor="text1"/>
          <w:sz w:val="24"/>
          <w:szCs w:val="24"/>
        </w:rPr>
        <w:t xml:space="preserve">On days 1 and 5, mice were placed in the center chamber midday and allowed to freely explore all chambers for 20 min. On days 2-4, mice completed two 30-min sessions per day: in the morning mice received a saline injection and were confined to one side of the apparatus, and in the afternoon mice received an injection of saline or drug (5, 10, or 20 mg/kg, </w:t>
      </w:r>
      <w:proofErr w:type="spellStart"/>
      <w:r w:rsidRPr="0080220C">
        <w:rPr>
          <w:rFonts w:ascii="Times New Roman" w:hAnsi="Times New Roman" w:cs="Times New Roman"/>
          <w:color w:val="000000" w:themeColor="text1"/>
          <w:sz w:val="24"/>
          <w:szCs w:val="24"/>
        </w:rPr>
        <w:t>i.p</w:t>
      </w:r>
      <w:proofErr w:type="spellEnd"/>
      <w:r w:rsidRPr="0080220C">
        <w:rPr>
          <w:rFonts w:ascii="Times New Roman" w:hAnsi="Times New Roman" w:cs="Times New Roman"/>
          <w:color w:val="000000" w:themeColor="text1"/>
          <w:sz w:val="24"/>
          <w:szCs w:val="24"/>
        </w:rPr>
        <w:t>. of cocaine or morphine) and were confined to the other side of the apparatus.</w:t>
      </w:r>
      <w:r w:rsidR="0070614F" w:rsidRPr="0080220C">
        <w:rPr>
          <w:rFonts w:ascii="Times New Roman" w:hAnsi="Times New Roman" w:cs="Times New Roman"/>
          <w:color w:val="000000" w:themeColor="text1"/>
          <w:sz w:val="24"/>
          <w:szCs w:val="24"/>
        </w:rPr>
        <w:t xml:space="preserve"> A preference score was calculated on days 1 (pre-test) and 5 (post-test) by subtracting time spent in the saline-paired compartment from time spent in the drug-paired compartment. For preference score calculations of subjects who received saline in both compartments, the “saline” side was the side in which </w:t>
      </w:r>
      <w:r w:rsidR="0070614F" w:rsidRPr="0080220C">
        <w:rPr>
          <w:rFonts w:ascii="Times New Roman" w:hAnsi="Times New Roman" w:cs="Times New Roman"/>
          <w:color w:val="000000" w:themeColor="text1"/>
          <w:sz w:val="24"/>
          <w:szCs w:val="24"/>
        </w:rPr>
        <w:lastRenderedPageBreak/>
        <w:t xml:space="preserve">paired with the saline injection in the morning session and the “drug” side was the side in which saline was paired in the afternoon session. </w:t>
      </w:r>
      <w:r w:rsidR="008F334E" w:rsidRPr="0080220C">
        <w:rPr>
          <w:rFonts w:ascii="Times New Roman" w:hAnsi="Times New Roman" w:cs="Times New Roman"/>
          <w:color w:val="000000" w:themeColor="text1"/>
          <w:sz w:val="24"/>
          <w:szCs w:val="24"/>
        </w:rPr>
        <w:br w:type="page"/>
      </w:r>
    </w:p>
    <w:p w14:paraId="38EA2CC4" w14:textId="3465B96A" w:rsidR="00CD7D44" w:rsidRPr="0080220C" w:rsidRDefault="008F334E" w:rsidP="008F334E">
      <w:pPr>
        <w:spacing w:line="480" w:lineRule="auto"/>
        <w:jc w:val="center"/>
        <w:rPr>
          <w:rFonts w:ascii="Times New Roman" w:hAnsi="Times New Roman" w:cs="Times New Roman"/>
          <w:b/>
          <w:color w:val="000000" w:themeColor="text1"/>
          <w:sz w:val="24"/>
          <w:szCs w:val="24"/>
        </w:rPr>
      </w:pPr>
      <w:r w:rsidRPr="0080220C">
        <w:rPr>
          <w:rFonts w:ascii="Times New Roman" w:hAnsi="Times New Roman" w:cs="Times New Roman"/>
          <w:b/>
          <w:color w:val="000000" w:themeColor="text1"/>
          <w:sz w:val="24"/>
          <w:szCs w:val="24"/>
        </w:rPr>
        <w:lastRenderedPageBreak/>
        <w:t>Supplementary Figures</w:t>
      </w:r>
    </w:p>
    <w:p w14:paraId="732E2CCA" w14:textId="2A516EDD" w:rsidR="008F334E" w:rsidRPr="0080220C" w:rsidRDefault="008F334E" w:rsidP="008F334E">
      <w:pPr>
        <w:spacing w:line="480" w:lineRule="auto"/>
        <w:rPr>
          <w:rFonts w:ascii="Times New Roman" w:hAnsi="Times New Roman" w:cs="Times New Roman"/>
          <w:b/>
          <w:color w:val="000000" w:themeColor="text1"/>
          <w:sz w:val="24"/>
          <w:szCs w:val="24"/>
        </w:rPr>
      </w:pPr>
      <w:r w:rsidRPr="0080220C">
        <w:rPr>
          <w:rFonts w:ascii="Times New Roman" w:hAnsi="Times New Roman" w:cs="Times New Roman"/>
          <w:noProof/>
          <w:color w:val="000000" w:themeColor="text1"/>
          <w:sz w:val="24"/>
          <w:szCs w:val="24"/>
        </w:rPr>
        <w:drawing>
          <wp:inline distT="0" distB="0" distL="0" distR="0" wp14:anchorId="3E09FDEE" wp14:editId="1372DB37">
            <wp:extent cx="5943600" cy="2170430"/>
            <wp:effectExtent l="0" t="0" r="0" b="0"/>
            <wp:docPr id="2" name="Picture 2" descr="A close up of a scree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HC-Supplemental-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170430"/>
                    </a:xfrm>
                    <a:prstGeom prst="rect">
                      <a:avLst/>
                    </a:prstGeom>
                  </pic:spPr>
                </pic:pic>
              </a:graphicData>
            </a:graphic>
          </wp:inline>
        </w:drawing>
      </w:r>
    </w:p>
    <w:p w14:paraId="0904A57B" w14:textId="77777777" w:rsidR="000F0EEB" w:rsidRPr="0080220C" w:rsidRDefault="000F0EEB" w:rsidP="000F0EEB">
      <w:pPr>
        <w:spacing w:line="480" w:lineRule="auto"/>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 xml:space="preserve">Figure S1. </w:t>
      </w:r>
      <w:bookmarkStart w:id="1" w:name="_Hlk529887269"/>
      <w:r w:rsidRPr="0080220C">
        <w:rPr>
          <w:rFonts w:ascii="Times New Roman" w:hAnsi="Times New Roman" w:cs="Times New Roman"/>
          <w:b/>
          <w:color w:val="000000" w:themeColor="text1"/>
          <w:sz w:val="24"/>
          <w:szCs w:val="24"/>
        </w:rPr>
        <w:t xml:space="preserve">Immunohistochemistry secondary antibody control. </w:t>
      </w:r>
      <w:r w:rsidRPr="0080220C">
        <w:rPr>
          <w:rFonts w:ascii="Times New Roman" w:hAnsi="Times New Roman" w:cs="Times New Roman"/>
          <w:color w:val="000000" w:themeColor="text1"/>
          <w:sz w:val="24"/>
          <w:szCs w:val="24"/>
        </w:rPr>
        <w:t xml:space="preserve">To determine whether non-specific staining from the </w:t>
      </w:r>
      <w:proofErr w:type="spellStart"/>
      <w:r w:rsidRPr="0080220C">
        <w:rPr>
          <w:rFonts w:ascii="Times New Roman" w:hAnsi="Times New Roman" w:cs="Times New Roman"/>
          <w:color w:val="000000" w:themeColor="text1"/>
          <w:sz w:val="24"/>
          <w:szCs w:val="24"/>
        </w:rPr>
        <w:t>Tyramide</w:t>
      </w:r>
      <w:proofErr w:type="spellEnd"/>
      <w:r w:rsidRPr="0080220C">
        <w:rPr>
          <w:rFonts w:ascii="Times New Roman" w:hAnsi="Times New Roman" w:cs="Times New Roman"/>
          <w:color w:val="000000" w:themeColor="text1"/>
          <w:sz w:val="24"/>
          <w:szCs w:val="24"/>
        </w:rPr>
        <w:t xml:space="preserve"> Signal Amplification secondary antibody kit was occurring and impacting the observed βarr2 signal, striatal sections from a D1</w:t>
      </w:r>
      <w:r w:rsidRPr="0080220C">
        <w:rPr>
          <w:rFonts w:ascii="Times New Roman" w:hAnsi="Times New Roman" w:cs="Times New Roman"/>
          <w:color w:val="000000" w:themeColor="text1"/>
          <w:sz w:val="24"/>
          <w:szCs w:val="24"/>
          <w:vertAlign w:val="superscript"/>
        </w:rPr>
        <w:t>βarr2-KO/</w:t>
      </w:r>
      <w:proofErr w:type="spellStart"/>
      <w:r w:rsidRPr="0080220C">
        <w:rPr>
          <w:rFonts w:ascii="Times New Roman" w:hAnsi="Times New Roman" w:cs="Times New Roman"/>
          <w:color w:val="000000" w:themeColor="text1"/>
          <w:sz w:val="24"/>
          <w:szCs w:val="24"/>
          <w:vertAlign w:val="superscript"/>
        </w:rPr>
        <w:t>tdTomato</w:t>
      </w:r>
      <w:proofErr w:type="spellEnd"/>
      <w:r w:rsidRPr="0080220C">
        <w:rPr>
          <w:rFonts w:ascii="Times New Roman" w:hAnsi="Times New Roman" w:cs="Times New Roman"/>
          <w:color w:val="000000" w:themeColor="text1"/>
          <w:sz w:val="24"/>
          <w:szCs w:val="24"/>
        </w:rPr>
        <w:t xml:space="preserve"> mouse were processed identically as the tissue in Figure 1 except that the anti-βarr2 primary antibody was omitted. Endogenous </w:t>
      </w:r>
      <w:proofErr w:type="spellStart"/>
      <w:r w:rsidRPr="0080220C">
        <w:rPr>
          <w:rFonts w:ascii="Times New Roman" w:hAnsi="Times New Roman" w:cs="Times New Roman"/>
          <w:color w:val="000000" w:themeColor="text1"/>
          <w:sz w:val="24"/>
          <w:szCs w:val="24"/>
        </w:rPr>
        <w:t>tdTomato</w:t>
      </w:r>
      <w:proofErr w:type="spellEnd"/>
      <w:r w:rsidRPr="0080220C">
        <w:rPr>
          <w:rFonts w:ascii="Times New Roman" w:hAnsi="Times New Roman" w:cs="Times New Roman"/>
          <w:color w:val="000000" w:themeColor="text1"/>
          <w:sz w:val="24"/>
          <w:szCs w:val="24"/>
        </w:rPr>
        <w:t xml:space="preserve"> fluorescence (magenta) indicates D1-MSNs. The minimal green staining (center pane), demonstrates that the green signal in Figure 1 was not due to non-specific binding of the secondary antibody. Blue in the merged images represents DAPI. All scale bars = 50 µm.</w:t>
      </w:r>
      <w:bookmarkEnd w:id="1"/>
    </w:p>
    <w:p w14:paraId="1116EDAE" w14:textId="77777777" w:rsidR="008F334E" w:rsidRPr="0080220C" w:rsidRDefault="008F334E" w:rsidP="008F334E">
      <w:pPr>
        <w:spacing w:line="480" w:lineRule="auto"/>
        <w:rPr>
          <w:rFonts w:ascii="Times New Roman" w:hAnsi="Times New Roman" w:cs="Times New Roman"/>
          <w:b/>
          <w:color w:val="000000" w:themeColor="text1"/>
          <w:sz w:val="24"/>
          <w:szCs w:val="24"/>
        </w:rPr>
      </w:pPr>
    </w:p>
    <w:p w14:paraId="0268852C" w14:textId="1C3D0E93" w:rsidR="008F334E" w:rsidRPr="0080220C" w:rsidRDefault="008F334E">
      <w:pPr>
        <w:rPr>
          <w:rFonts w:ascii="Times New Roman" w:hAnsi="Times New Roman" w:cs="Times New Roman"/>
          <w:b/>
          <w:color w:val="000000" w:themeColor="text1"/>
          <w:sz w:val="24"/>
          <w:szCs w:val="24"/>
        </w:rPr>
      </w:pPr>
      <w:r w:rsidRPr="0080220C">
        <w:rPr>
          <w:rFonts w:ascii="Times New Roman" w:hAnsi="Times New Roman" w:cs="Times New Roman"/>
          <w:b/>
          <w:color w:val="000000" w:themeColor="text1"/>
          <w:sz w:val="24"/>
          <w:szCs w:val="24"/>
        </w:rPr>
        <w:br w:type="page"/>
      </w:r>
    </w:p>
    <w:p w14:paraId="66047E8C" w14:textId="76649652" w:rsidR="008F334E" w:rsidRPr="0080220C" w:rsidRDefault="00A82444" w:rsidP="008F334E">
      <w:pPr>
        <w:spacing w:line="480" w:lineRule="auto"/>
        <w:rPr>
          <w:rFonts w:ascii="Times New Roman" w:hAnsi="Times New Roman" w:cs="Times New Roman"/>
          <w:b/>
          <w:color w:val="000000" w:themeColor="text1"/>
          <w:sz w:val="24"/>
          <w:szCs w:val="24"/>
        </w:rPr>
      </w:pPr>
      <w:r w:rsidRPr="0080220C">
        <w:rPr>
          <w:rFonts w:ascii="Times New Roman" w:hAnsi="Times New Roman" w:cs="Times New Roman"/>
          <w:b/>
          <w:noProof/>
          <w:color w:val="000000" w:themeColor="text1"/>
          <w:sz w:val="24"/>
          <w:szCs w:val="24"/>
        </w:rPr>
        <w:lastRenderedPageBreak/>
        <w:drawing>
          <wp:inline distT="0" distB="0" distL="0" distR="0" wp14:anchorId="0BE7BA6F" wp14:editId="15067225">
            <wp:extent cx="5885384" cy="1596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ng"/>
                    <pic:cNvPicPr/>
                  </pic:nvPicPr>
                  <pic:blipFill rotWithShape="1">
                    <a:blip r:embed="rId7" cstate="print">
                      <a:extLst>
                        <a:ext uri="{28A0092B-C50C-407E-A947-70E740481C1C}">
                          <a14:useLocalDpi xmlns:a14="http://schemas.microsoft.com/office/drawing/2010/main" val="0"/>
                        </a:ext>
                      </a:extLst>
                    </a:blip>
                    <a:srcRect r="7692"/>
                    <a:stretch/>
                  </pic:blipFill>
                  <pic:spPr bwMode="auto">
                    <a:xfrm>
                      <a:off x="0" y="0"/>
                      <a:ext cx="5924566" cy="1607313"/>
                    </a:xfrm>
                    <a:prstGeom prst="rect">
                      <a:avLst/>
                    </a:prstGeom>
                    <a:ln>
                      <a:noFill/>
                    </a:ln>
                    <a:extLst>
                      <a:ext uri="{53640926-AAD7-44D8-BBD7-CCE9431645EC}">
                        <a14:shadowObscured xmlns:a14="http://schemas.microsoft.com/office/drawing/2010/main"/>
                      </a:ext>
                    </a:extLst>
                  </pic:spPr>
                </pic:pic>
              </a:graphicData>
            </a:graphic>
          </wp:inline>
        </w:drawing>
      </w:r>
    </w:p>
    <w:p w14:paraId="39E8A65D" w14:textId="77777777" w:rsidR="000F0EEB" w:rsidRPr="0080220C" w:rsidRDefault="000F0EEB" w:rsidP="000F0EEB">
      <w:pPr>
        <w:spacing w:line="480" w:lineRule="auto"/>
        <w:rPr>
          <w:rFonts w:ascii="Times New Roman" w:hAnsi="Times New Roman" w:cs="Times New Roman"/>
          <w:color w:val="000000" w:themeColor="text1"/>
          <w:sz w:val="24"/>
          <w:szCs w:val="24"/>
        </w:rPr>
      </w:pPr>
      <w:r w:rsidRPr="0080220C">
        <w:rPr>
          <w:rFonts w:ascii="Times New Roman" w:hAnsi="Times New Roman" w:cs="Times New Roman"/>
          <w:b/>
          <w:color w:val="000000" w:themeColor="text1"/>
          <w:sz w:val="24"/>
          <w:szCs w:val="24"/>
        </w:rPr>
        <w:t xml:space="preserve">Figure S2. Elimination of βarr2 in D1 or D2 cells has no effect on baseline or saline-induced locomotion. A-B) </w:t>
      </w:r>
      <w:r w:rsidRPr="0080220C">
        <w:rPr>
          <w:rFonts w:ascii="Times New Roman" w:hAnsi="Times New Roman" w:cs="Times New Roman"/>
          <w:color w:val="000000" w:themeColor="text1"/>
          <w:sz w:val="24"/>
          <w:szCs w:val="24"/>
        </w:rPr>
        <w:t>D1</w:t>
      </w:r>
      <w:r w:rsidRPr="0080220C">
        <w:rPr>
          <w:rFonts w:ascii="Times New Roman" w:hAnsi="Times New Roman" w:cs="Times New Roman"/>
          <w:color w:val="000000" w:themeColor="text1"/>
          <w:sz w:val="24"/>
          <w:szCs w:val="24"/>
          <w:vertAlign w:val="superscript"/>
        </w:rPr>
        <w:t>βarr2-KO</w:t>
      </w:r>
      <w:r w:rsidRPr="0080220C">
        <w:rPr>
          <w:rFonts w:ascii="Times New Roman" w:hAnsi="Times New Roman" w:cs="Times New Roman"/>
          <w:color w:val="000000" w:themeColor="text1"/>
          <w:sz w:val="24"/>
          <w:szCs w:val="24"/>
        </w:rPr>
        <w:t xml:space="preserve"> and D2</w:t>
      </w:r>
      <w:r w:rsidRPr="0080220C">
        <w:rPr>
          <w:rFonts w:ascii="Times New Roman" w:hAnsi="Times New Roman" w:cs="Times New Roman"/>
          <w:color w:val="000000" w:themeColor="text1"/>
          <w:sz w:val="24"/>
          <w:szCs w:val="24"/>
          <w:vertAlign w:val="superscript"/>
        </w:rPr>
        <w:t>βarr2-KO</w:t>
      </w:r>
      <w:r w:rsidRPr="0080220C">
        <w:rPr>
          <w:rFonts w:ascii="Times New Roman" w:hAnsi="Times New Roman" w:cs="Times New Roman"/>
          <w:color w:val="000000" w:themeColor="text1"/>
          <w:sz w:val="24"/>
          <w:szCs w:val="24"/>
        </w:rPr>
        <w:t xml:space="preserve"> mice had similar locomotor responses to a novel environment (A) and a saline injection (B) as controls (n = 11 mice per genotype). </w:t>
      </w:r>
      <w:r w:rsidRPr="0080220C">
        <w:rPr>
          <w:rFonts w:ascii="Times New Roman" w:hAnsi="Times New Roman" w:cs="Times New Roman"/>
          <w:b/>
          <w:color w:val="000000" w:themeColor="text1"/>
          <w:sz w:val="24"/>
          <w:szCs w:val="24"/>
        </w:rPr>
        <w:t>C)</w:t>
      </w:r>
      <w:r w:rsidRPr="0080220C">
        <w:rPr>
          <w:rFonts w:ascii="Times New Roman" w:hAnsi="Times New Roman" w:cs="Times New Roman"/>
          <w:color w:val="000000" w:themeColor="text1"/>
          <w:sz w:val="24"/>
          <w:szCs w:val="24"/>
        </w:rPr>
        <w:t xml:space="preserve"> Saline-induced locomotion did not differ between controls bred from D1-Cre x </w:t>
      </w:r>
      <w:proofErr w:type="spellStart"/>
      <w:r w:rsidRPr="0080220C">
        <w:rPr>
          <w:rFonts w:ascii="Times New Roman" w:hAnsi="Times New Roman" w:cs="Times New Roman"/>
          <w:color w:val="000000" w:themeColor="text1"/>
          <w:sz w:val="24"/>
          <w:szCs w:val="24"/>
        </w:rPr>
        <w:t>floxed</w:t>
      </w:r>
      <w:proofErr w:type="spellEnd"/>
      <w:r w:rsidRPr="0080220C">
        <w:rPr>
          <w:rFonts w:ascii="Times New Roman" w:hAnsi="Times New Roman" w:cs="Times New Roman"/>
          <w:color w:val="000000" w:themeColor="text1"/>
          <w:sz w:val="24"/>
          <w:szCs w:val="24"/>
        </w:rPr>
        <w:t xml:space="preserve"> βarr2 mice (D1; n = 12) and controls bred from D2-Cre x </w:t>
      </w:r>
      <w:proofErr w:type="spellStart"/>
      <w:r w:rsidRPr="0080220C">
        <w:rPr>
          <w:rFonts w:ascii="Times New Roman" w:hAnsi="Times New Roman" w:cs="Times New Roman"/>
          <w:color w:val="000000" w:themeColor="text1"/>
          <w:sz w:val="24"/>
          <w:szCs w:val="24"/>
        </w:rPr>
        <w:t>floxed</w:t>
      </w:r>
      <w:proofErr w:type="spellEnd"/>
      <w:r w:rsidRPr="0080220C">
        <w:rPr>
          <w:rFonts w:ascii="Times New Roman" w:hAnsi="Times New Roman" w:cs="Times New Roman"/>
          <w:color w:val="000000" w:themeColor="text1"/>
          <w:sz w:val="24"/>
          <w:szCs w:val="24"/>
        </w:rPr>
        <w:t xml:space="preserve"> βarr2 mice (D2; n = 16). </w:t>
      </w:r>
      <w:proofErr w:type="spellStart"/>
      <w:r w:rsidRPr="0080220C">
        <w:rPr>
          <w:rFonts w:ascii="Times New Roman" w:hAnsi="Times New Roman" w:cs="Times New Roman"/>
          <w:color w:val="000000" w:themeColor="text1"/>
          <w:sz w:val="24"/>
          <w:szCs w:val="24"/>
        </w:rPr>
        <w:t>n.s</w:t>
      </w:r>
      <w:proofErr w:type="spellEnd"/>
      <w:r w:rsidRPr="0080220C">
        <w:rPr>
          <w:rFonts w:ascii="Times New Roman" w:hAnsi="Times New Roman" w:cs="Times New Roman"/>
          <w:color w:val="000000" w:themeColor="text1"/>
          <w:sz w:val="24"/>
          <w:szCs w:val="24"/>
        </w:rPr>
        <w:t>. = not statistically significant, error bars represent SEM.</w:t>
      </w:r>
    </w:p>
    <w:p w14:paraId="3352F101" w14:textId="33270DAC" w:rsidR="00187E36" w:rsidRPr="0080220C" w:rsidRDefault="00187E36" w:rsidP="005903DA">
      <w:pPr>
        <w:rPr>
          <w:rFonts w:ascii="Times New Roman" w:hAnsi="Times New Roman" w:cs="Times New Roman"/>
          <w:color w:val="000000" w:themeColor="text1"/>
          <w:sz w:val="24"/>
          <w:szCs w:val="24"/>
        </w:rPr>
      </w:pPr>
    </w:p>
    <w:p w14:paraId="2D4559CC" w14:textId="77777777" w:rsidR="00187E36" w:rsidRPr="0080220C" w:rsidRDefault="00187E36" w:rsidP="00187E36">
      <w:pPr>
        <w:pStyle w:val="EndNoteBibliography"/>
        <w:rPr>
          <w:rFonts w:ascii="Times New Roman" w:hAnsi="Times New Roman" w:cs="Times New Roman"/>
          <w:color w:val="000000" w:themeColor="text1"/>
          <w:sz w:val="24"/>
          <w:szCs w:val="24"/>
        </w:rPr>
      </w:pPr>
    </w:p>
    <w:p w14:paraId="6576F312" w14:textId="77777777" w:rsidR="005903DA" w:rsidRPr="0080220C" w:rsidRDefault="005903DA">
      <w:pPr>
        <w:rPr>
          <w:rFonts w:ascii="Times New Roman" w:hAnsi="Times New Roman" w:cs="Times New Roman"/>
          <w:b/>
          <w:color w:val="000000" w:themeColor="text1"/>
          <w:sz w:val="24"/>
          <w:szCs w:val="24"/>
        </w:rPr>
      </w:pPr>
      <w:r w:rsidRPr="0080220C">
        <w:rPr>
          <w:rFonts w:ascii="Times New Roman" w:hAnsi="Times New Roman" w:cs="Times New Roman"/>
          <w:b/>
          <w:color w:val="000000" w:themeColor="text1"/>
          <w:sz w:val="24"/>
          <w:szCs w:val="24"/>
        </w:rPr>
        <w:br w:type="page"/>
      </w:r>
    </w:p>
    <w:p w14:paraId="5E5917F1" w14:textId="7C445B7E" w:rsidR="00187E36" w:rsidRPr="0080220C" w:rsidRDefault="00187E36" w:rsidP="00187E36">
      <w:pPr>
        <w:pStyle w:val="EndNoteBibliography"/>
        <w:jc w:val="center"/>
        <w:rPr>
          <w:rFonts w:ascii="Times New Roman" w:hAnsi="Times New Roman" w:cs="Times New Roman"/>
          <w:b/>
          <w:color w:val="000000" w:themeColor="text1"/>
          <w:sz w:val="24"/>
          <w:szCs w:val="24"/>
        </w:rPr>
      </w:pPr>
      <w:r w:rsidRPr="0080220C">
        <w:rPr>
          <w:rFonts w:ascii="Times New Roman" w:hAnsi="Times New Roman" w:cs="Times New Roman"/>
          <w:b/>
          <w:color w:val="000000" w:themeColor="text1"/>
          <w:sz w:val="24"/>
          <w:szCs w:val="24"/>
        </w:rPr>
        <w:lastRenderedPageBreak/>
        <w:t>Supplementary References</w:t>
      </w:r>
    </w:p>
    <w:p w14:paraId="0F3AD063" w14:textId="77777777" w:rsidR="00187E36" w:rsidRPr="0080220C" w:rsidRDefault="00187E36" w:rsidP="005903DA">
      <w:pPr>
        <w:pStyle w:val="EndNoteBibliography"/>
        <w:spacing w:line="480" w:lineRule="auto"/>
        <w:rPr>
          <w:rFonts w:ascii="Times New Roman" w:hAnsi="Times New Roman" w:cs="Times New Roman"/>
          <w:color w:val="000000" w:themeColor="text1"/>
          <w:sz w:val="24"/>
          <w:szCs w:val="24"/>
        </w:rPr>
      </w:pPr>
    </w:p>
    <w:p w14:paraId="61E9A9A9" w14:textId="77777777" w:rsidR="005903DA" w:rsidRPr="0080220C" w:rsidRDefault="00187E36" w:rsidP="005903DA">
      <w:pPr>
        <w:pStyle w:val="EndNoteBibliography"/>
        <w:spacing w:after="0" w:line="480" w:lineRule="auto"/>
        <w:ind w:left="360" w:hanging="360"/>
        <w:rPr>
          <w:rFonts w:ascii="Times New Roman" w:hAnsi="Times New Roman" w:cs="Times New Roman"/>
          <w:noProof/>
          <w:color w:val="000000" w:themeColor="text1"/>
          <w:sz w:val="24"/>
          <w:szCs w:val="24"/>
        </w:rPr>
      </w:pPr>
      <w:r w:rsidRPr="0080220C">
        <w:rPr>
          <w:rFonts w:ascii="Times New Roman" w:hAnsi="Times New Roman" w:cs="Times New Roman"/>
          <w:color w:val="000000" w:themeColor="text1"/>
          <w:sz w:val="24"/>
          <w:szCs w:val="24"/>
        </w:rPr>
        <w:fldChar w:fldCharType="begin"/>
      </w:r>
      <w:r w:rsidRPr="0080220C">
        <w:rPr>
          <w:rFonts w:ascii="Times New Roman" w:hAnsi="Times New Roman" w:cs="Times New Roman"/>
          <w:color w:val="000000" w:themeColor="text1"/>
          <w:sz w:val="24"/>
          <w:szCs w:val="24"/>
        </w:rPr>
        <w:instrText xml:space="preserve"> ADDIN EN.REFLIST </w:instrText>
      </w:r>
      <w:r w:rsidRPr="0080220C">
        <w:rPr>
          <w:rFonts w:ascii="Times New Roman" w:hAnsi="Times New Roman" w:cs="Times New Roman"/>
          <w:color w:val="000000" w:themeColor="text1"/>
          <w:sz w:val="24"/>
          <w:szCs w:val="24"/>
        </w:rPr>
        <w:fldChar w:fldCharType="separate"/>
      </w:r>
      <w:r w:rsidR="005903DA" w:rsidRPr="0080220C">
        <w:rPr>
          <w:rFonts w:ascii="Times New Roman" w:hAnsi="Times New Roman" w:cs="Times New Roman"/>
          <w:noProof/>
          <w:color w:val="000000" w:themeColor="text1"/>
          <w:sz w:val="24"/>
          <w:szCs w:val="24"/>
        </w:rPr>
        <w:t xml:space="preserve">Manvich DF, Petko AK, Branco RC, Foster SL, Porter-Stransky KA, Stout KA, Newman AH, Miller GW, Paladini CA, Weinshenker D (2019) Selective D2 and D3 receptor antagonists oppositely modulate cocaine responses in mice via distinct postsynaptic mechanisms in nucleus accumbens. </w:t>
      </w:r>
      <w:r w:rsidR="005903DA" w:rsidRPr="0080220C">
        <w:rPr>
          <w:rFonts w:ascii="Times New Roman" w:hAnsi="Times New Roman" w:cs="Times New Roman"/>
          <w:i/>
          <w:noProof/>
          <w:color w:val="000000" w:themeColor="text1"/>
          <w:sz w:val="24"/>
          <w:szCs w:val="24"/>
        </w:rPr>
        <w:t>Neuropsychopharmacology</w:t>
      </w:r>
      <w:r w:rsidR="005903DA" w:rsidRPr="0080220C">
        <w:rPr>
          <w:rFonts w:ascii="Times New Roman" w:hAnsi="Times New Roman" w:cs="Times New Roman"/>
          <w:noProof/>
          <w:color w:val="000000" w:themeColor="text1"/>
          <w:sz w:val="24"/>
          <w:szCs w:val="24"/>
        </w:rPr>
        <w:t>.</w:t>
      </w:r>
    </w:p>
    <w:p w14:paraId="1D0AABE4" w14:textId="77777777" w:rsidR="005903DA" w:rsidRPr="0080220C" w:rsidRDefault="005903DA" w:rsidP="005903DA">
      <w:pPr>
        <w:pStyle w:val="EndNoteBibliography"/>
        <w:spacing w:after="0" w:line="480" w:lineRule="auto"/>
        <w:ind w:left="360" w:hanging="360"/>
        <w:rPr>
          <w:rFonts w:ascii="Times New Roman" w:hAnsi="Times New Roman" w:cs="Times New Roman"/>
          <w:noProof/>
          <w:color w:val="000000" w:themeColor="text1"/>
          <w:sz w:val="24"/>
          <w:szCs w:val="24"/>
        </w:rPr>
      </w:pPr>
      <w:r w:rsidRPr="0080220C">
        <w:rPr>
          <w:rFonts w:ascii="Times New Roman" w:hAnsi="Times New Roman" w:cs="Times New Roman"/>
          <w:noProof/>
          <w:color w:val="000000" w:themeColor="text1"/>
          <w:sz w:val="24"/>
          <w:szCs w:val="24"/>
        </w:rPr>
        <w:t xml:space="preserve">Planert H, Berger TK, Silberberg G (2013) Membrane properties of striatal direct and indirect pathway neurons in mouse and rat slices and their modulation by dopamine. </w:t>
      </w:r>
      <w:r w:rsidRPr="0080220C">
        <w:rPr>
          <w:rFonts w:ascii="Times New Roman" w:hAnsi="Times New Roman" w:cs="Times New Roman"/>
          <w:i/>
          <w:noProof/>
          <w:color w:val="000000" w:themeColor="text1"/>
          <w:sz w:val="24"/>
          <w:szCs w:val="24"/>
        </w:rPr>
        <w:t>PloS one</w:t>
      </w:r>
      <w:r w:rsidRPr="0080220C">
        <w:rPr>
          <w:rFonts w:ascii="Times New Roman" w:hAnsi="Times New Roman" w:cs="Times New Roman"/>
          <w:noProof/>
          <w:color w:val="000000" w:themeColor="text1"/>
          <w:sz w:val="24"/>
          <w:szCs w:val="24"/>
        </w:rPr>
        <w:t xml:space="preserve"> 8:e57054.</w:t>
      </w:r>
    </w:p>
    <w:p w14:paraId="5F982B6D" w14:textId="77777777" w:rsidR="005903DA" w:rsidRPr="0080220C" w:rsidRDefault="005903DA" w:rsidP="005903DA">
      <w:pPr>
        <w:pStyle w:val="EndNoteBibliography"/>
        <w:spacing w:line="480" w:lineRule="auto"/>
        <w:ind w:left="360" w:hanging="360"/>
        <w:rPr>
          <w:rFonts w:ascii="Times New Roman" w:hAnsi="Times New Roman" w:cs="Times New Roman"/>
          <w:noProof/>
          <w:color w:val="000000" w:themeColor="text1"/>
          <w:sz w:val="24"/>
          <w:szCs w:val="24"/>
        </w:rPr>
      </w:pPr>
      <w:r w:rsidRPr="0080220C">
        <w:rPr>
          <w:rFonts w:ascii="Times New Roman" w:hAnsi="Times New Roman" w:cs="Times New Roman"/>
          <w:noProof/>
          <w:color w:val="000000" w:themeColor="text1"/>
          <w:sz w:val="24"/>
          <w:szCs w:val="24"/>
        </w:rPr>
        <w:t xml:space="preserve">Porter-Stransky KA, Centanni SW, Karne SL, Odil LM, Fekir S, Wong JC, Jerome C, Mitchell HA, Escayg A, Pederson NP (2019) Noradrenergic transmission at alpha1-adrenergic receptors in the ventral periaqueductal gray modulates arousal. </w:t>
      </w:r>
      <w:r w:rsidRPr="0080220C">
        <w:rPr>
          <w:rFonts w:ascii="Times New Roman" w:hAnsi="Times New Roman" w:cs="Times New Roman"/>
          <w:i/>
          <w:noProof/>
          <w:color w:val="000000" w:themeColor="text1"/>
          <w:sz w:val="24"/>
          <w:szCs w:val="24"/>
        </w:rPr>
        <w:t>Biological Psychiatry</w:t>
      </w:r>
      <w:r w:rsidRPr="0080220C">
        <w:rPr>
          <w:rFonts w:ascii="Times New Roman" w:hAnsi="Times New Roman" w:cs="Times New Roman"/>
          <w:noProof/>
          <w:color w:val="000000" w:themeColor="text1"/>
          <w:sz w:val="24"/>
          <w:szCs w:val="24"/>
        </w:rPr>
        <w:t xml:space="preserve"> 85:237-247.</w:t>
      </w:r>
    </w:p>
    <w:p w14:paraId="59738C57" w14:textId="36C5DC10" w:rsidR="00CD7D44" w:rsidRPr="0080220C" w:rsidRDefault="00187E36" w:rsidP="005903DA">
      <w:pPr>
        <w:spacing w:line="480" w:lineRule="auto"/>
        <w:ind w:left="360" w:hanging="360"/>
        <w:rPr>
          <w:rFonts w:ascii="Times New Roman" w:hAnsi="Times New Roman" w:cs="Times New Roman"/>
          <w:color w:val="000000" w:themeColor="text1"/>
          <w:sz w:val="24"/>
          <w:szCs w:val="24"/>
        </w:rPr>
      </w:pPr>
      <w:r w:rsidRPr="0080220C">
        <w:rPr>
          <w:rFonts w:ascii="Times New Roman" w:hAnsi="Times New Roman" w:cs="Times New Roman"/>
          <w:color w:val="000000" w:themeColor="text1"/>
          <w:sz w:val="24"/>
          <w:szCs w:val="24"/>
        </w:rPr>
        <w:fldChar w:fldCharType="end"/>
      </w:r>
      <w:bookmarkEnd w:id="0"/>
    </w:p>
    <w:sectPr w:rsidR="00CD7D44" w:rsidRPr="0080220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5DD00" w14:textId="77777777" w:rsidR="006763B4" w:rsidRDefault="006763B4" w:rsidP="00D402EE">
      <w:pPr>
        <w:spacing w:after="0" w:line="240" w:lineRule="auto"/>
      </w:pPr>
      <w:r>
        <w:separator/>
      </w:r>
    </w:p>
  </w:endnote>
  <w:endnote w:type="continuationSeparator" w:id="0">
    <w:p w14:paraId="32AA13F2" w14:textId="77777777" w:rsidR="006763B4" w:rsidRDefault="006763B4" w:rsidP="00D4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D3FC" w14:textId="77777777" w:rsidR="0007001D" w:rsidRDefault="0007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8753" w14:textId="77777777" w:rsidR="0007001D" w:rsidRDefault="00070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8466" w14:textId="77777777" w:rsidR="0007001D" w:rsidRDefault="00070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7FD41" w14:textId="77777777" w:rsidR="006763B4" w:rsidRDefault="006763B4" w:rsidP="00D402EE">
      <w:pPr>
        <w:spacing w:after="0" w:line="240" w:lineRule="auto"/>
      </w:pPr>
      <w:r>
        <w:separator/>
      </w:r>
    </w:p>
  </w:footnote>
  <w:footnote w:type="continuationSeparator" w:id="0">
    <w:p w14:paraId="6356F2FA" w14:textId="77777777" w:rsidR="006763B4" w:rsidRDefault="006763B4" w:rsidP="00D40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5F4D" w14:textId="77777777" w:rsidR="0007001D" w:rsidRDefault="000700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9018E" w14:textId="68B4AE59" w:rsidR="00D402EE" w:rsidRPr="005D7076" w:rsidRDefault="00402790">
    <w:pPr>
      <w:pStyle w:val="Header"/>
      <w:rPr>
        <w:rFonts w:ascii="Times New Roman" w:hAnsi="Times New Roman" w:cs="Times New Roman"/>
        <w:sz w:val="24"/>
        <w:szCs w:val="24"/>
      </w:rPr>
    </w:pPr>
    <w:r>
      <w:rPr>
        <w:rFonts w:ascii="Times New Roman" w:hAnsi="Times New Roman" w:cs="Times New Roman"/>
        <w:sz w:val="24"/>
        <w:szCs w:val="24"/>
      </w:rPr>
      <w:t>Supporting</w:t>
    </w:r>
    <w:r w:rsidR="00D402EE">
      <w:rPr>
        <w:rFonts w:ascii="Times New Roman" w:hAnsi="Times New Roman" w:cs="Times New Roman"/>
        <w:sz w:val="24"/>
        <w:szCs w:val="24"/>
      </w:rPr>
      <w:t xml:space="preserve"> Information</w:t>
    </w:r>
    <w:r w:rsidR="00D402EE">
      <w:rPr>
        <w:rFonts w:ascii="Times New Roman" w:hAnsi="Times New Roman" w:cs="Times New Roman"/>
        <w:sz w:val="24"/>
        <w:szCs w:val="24"/>
      </w:rPr>
      <w:tab/>
    </w:r>
    <w:r w:rsidR="00D402EE">
      <w:rPr>
        <w:rFonts w:ascii="Times New Roman" w:hAnsi="Times New Roman" w:cs="Times New Roman"/>
        <w:sz w:val="24"/>
        <w:szCs w:val="24"/>
      </w:rPr>
      <w:tab/>
      <w:t>Porter-</w:t>
    </w:r>
    <w:proofErr w:type="spellStart"/>
    <w:r w:rsidR="00D402EE">
      <w:rPr>
        <w:rFonts w:ascii="Times New Roman" w:hAnsi="Times New Roman" w:cs="Times New Roman"/>
        <w:sz w:val="24"/>
        <w:szCs w:val="24"/>
      </w:rPr>
      <w:t>Stransky</w:t>
    </w:r>
    <w:proofErr w:type="spellEnd"/>
    <w:r w:rsidR="00D402EE">
      <w:rPr>
        <w:rFonts w:ascii="Times New Roman" w:hAnsi="Times New Roman" w:cs="Times New Roman"/>
        <w:sz w:val="24"/>
        <w:szCs w:val="24"/>
      </w:rPr>
      <w:t>,</w:t>
    </w:r>
    <w:r w:rsidR="0007001D">
      <w:rPr>
        <w:rFonts w:ascii="Times New Roman" w:hAnsi="Times New Roman" w:cs="Times New Roman"/>
        <w:sz w:val="24"/>
        <w:szCs w:val="24"/>
      </w:rPr>
      <w:t xml:space="preserve"> </w:t>
    </w:r>
    <w:proofErr w:type="spellStart"/>
    <w:r w:rsidR="0007001D">
      <w:rPr>
        <w:rFonts w:ascii="Times New Roman" w:hAnsi="Times New Roman" w:cs="Times New Roman"/>
        <w:sz w:val="24"/>
        <w:szCs w:val="24"/>
      </w:rPr>
      <w:t>Petko</w:t>
    </w:r>
    <w:proofErr w:type="spellEnd"/>
    <w:r w:rsidR="0007001D">
      <w:rPr>
        <w:rFonts w:ascii="Times New Roman" w:hAnsi="Times New Roman" w:cs="Times New Roman"/>
        <w:sz w:val="24"/>
        <w:szCs w:val="24"/>
      </w:rPr>
      <w:t>,</w:t>
    </w:r>
    <w:r w:rsidR="00D402EE">
      <w:rPr>
        <w:rFonts w:ascii="Times New Roman" w:hAnsi="Times New Roman" w:cs="Times New Roman"/>
        <w:sz w:val="24"/>
        <w:szCs w:val="24"/>
      </w:rPr>
      <w:t xml:space="preserve"> </w:t>
    </w:r>
    <w:r w:rsidR="00D402EE">
      <w:rPr>
        <w:rFonts w:ascii="Times New Roman" w:hAnsi="Times New Roman" w:cs="Times New Roman"/>
        <w:i/>
        <w:sz w:val="24"/>
        <w:szCs w:val="24"/>
      </w:rPr>
      <w:t>et al.</w:t>
    </w:r>
    <w:r w:rsidR="005D7076" w:rsidRPr="005D7076">
      <w:rPr>
        <w:rFonts w:ascii="Times New Roman" w:hAnsi="Times New Roman" w:cs="Times New Roman"/>
        <w:sz w:val="24"/>
        <w:szCs w:val="24"/>
      </w:rPr>
      <w:t xml:space="preserve">, </w:t>
    </w:r>
    <w:r w:rsidR="005D7076" w:rsidRPr="005D7076">
      <w:rPr>
        <w:rFonts w:ascii="Times New Roman" w:hAnsi="Times New Roman" w:cs="Times New Roman"/>
        <w:sz w:val="24"/>
        <w:szCs w:val="24"/>
      </w:rPr>
      <w:fldChar w:fldCharType="begin"/>
    </w:r>
    <w:r w:rsidR="005D7076" w:rsidRPr="005D7076">
      <w:rPr>
        <w:rFonts w:ascii="Times New Roman" w:hAnsi="Times New Roman" w:cs="Times New Roman"/>
        <w:sz w:val="24"/>
        <w:szCs w:val="24"/>
      </w:rPr>
      <w:instrText xml:space="preserve"> PAGE   \* MERGEFORMAT </w:instrText>
    </w:r>
    <w:r w:rsidR="005D7076" w:rsidRPr="005D7076">
      <w:rPr>
        <w:rFonts w:ascii="Times New Roman" w:hAnsi="Times New Roman" w:cs="Times New Roman"/>
        <w:sz w:val="24"/>
        <w:szCs w:val="24"/>
      </w:rPr>
      <w:fldChar w:fldCharType="separate"/>
    </w:r>
    <w:r w:rsidR="005D7076" w:rsidRPr="005D7076">
      <w:rPr>
        <w:rFonts w:ascii="Times New Roman" w:hAnsi="Times New Roman" w:cs="Times New Roman"/>
        <w:noProof/>
        <w:sz w:val="24"/>
        <w:szCs w:val="24"/>
      </w:rPr>
      <w:t>1</w:t>
    </w:r>
    <w:r w:rsidR="005D7076" w:rsidRPr="005D7076">
      <w:rPr>
        <w:rFonts w:ascii="Times New Roman" w:hAnsi="Times New Roman" w:cs="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BB1A4" w14:textId="77777777" w:rsidR="0007001D" w:rsidRDefault="000700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diction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z520xw5d95piese9bxerxieddwxtvwrvzp&quot;&gt;My EndNote Library&lt;record-ids&gt;&lt;item&gt;20&lt;/item&gt;&lt;item&gt;34&lt;/item&gt;&lt;item&gt;35&lt;/item&gt;&lt;/record-ids&gt;&lt;/item&gt;&lt;/Libraries&gt;"/>
  </w:docVars>
  <w:rsids>
    <w:rsidRoot w:val="00CD7D44"/>
    <w:rsid w:val="00000E30"/>
    <w:rsid w:val="00032996"/>
    <w:rsid w:val="0007001D"/>
    <w:rsid w:val="000D70C7"/>
    <w:rsid w:val="000F0EEB"/>
    <w:rsid w:val="000F4B00"/>
    <w:rsid w:val="00187E36"/>
    <w:rsid w:val="00314D3A"/>
    <w:rsid w:val="00335879"/>
    <w:rsid w:val="00400DF3"/>
    <w:rsid w:val="00402790"/>
    <w:rsid w:val="004956A2"/>
    <w:rsid w:val="004D33FB"/>
    <w:rsid w:val="00576D47"/>
    <w:rsid w:val="005903DA"/>
    <w:rsid w:val="005D53AA"/>
    <w:rsid w:val="005D7076"/>
    <w:rsid w:val="005F531E"/>
    <w:rsid w:val="006763B4"/>
    <w:rsid w:val="006876CE"/>
    <w:rsid w:val="006F7300"/>
    <w:rsid w:val="0070614F"/>
    <w:rsid w:val="00723185"/>
    <w:rsid w:val="007836DC"/>
    <w:rsid w:val="00785F62"/>
    <w:rsid w:val="007E4F6D"/>
    <w:rsid w:val="0080220C"/>
    <w:rsid w:val="00861D8E"/>
    <w:rsid w:val="0089178F"/>
    <w:rsid w:val="008F0013"/>
    <w:rsid w:val="008F334E"/>
    <w:rsid w:val="00940241"/>
    <w:rsid w:val="009455FC"/>
    <w:rsid w:val="00984EF6"/>
    <w:rsid w:val="00A00AA5"/>
    <w:rsid w:val="00A726DA"/>
    <w:rsid w:val="00A82444"/>
    <w:rsid w:val="00C27D6D"/>
    <w:rsid w:val="00CB070C"/>
    <w:rsid w:val="00CD7D44"/>
    <w:rsid w:val="00D402EE"/>
    <w:rsid w:val="00D43372"/>
    <w:rsid w:val="00D447F8"/>
    <w:rsid w:val="00E23194"/>
    <w:rsid w:val="00ED4C1B"/>
    <w:rsid w:val="00F43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419CF"/>
  <w15:chartTrackingRefBased/>
  <w15:docId w15:val="{64314664-5125-4BF6-821E-55699AED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0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2EE"/>
  </w:style>
  <w:style w:type="paragraph" w:styleId="Footer">
    <w:name w:val="footer"/>
    <w:basedOn w:val="Normal"/>
    <w:link w:val="FooterChar"/>
    <w:uiPriority w:val="99"/>
    <w:unhideWhenUsed/>
    <w:rsid w:val="00D40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2EE"/>
  </w:style>
  <w:style w:type="paragraph" w:customStyle="1" w:styleId="EndNoteBibliographyTitle">
    <w:name w:val="EndNote Bibliography Title"/>
    <w:basedOn w:val="Normal"/>
    <w:link w:val="EndNoteBibliographyTitleChar"/>
    <w:rsid w:val="00187E36"/>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187E36"/>
    <w:rPr>
      <w:rFonts w:ascii="Calibri" w:hAnsi="Calibri" w:cs="Calibri"/>
    </w:rPr>
  </w:style>
  <w:style w:type="paragraph" w:customStyle="1" w:styleId="EndNoteBibliography">
    <w:name w:val="EndNote Bibliography"/>
    <w:basedOn w:val="Normal"/>
    <w:link w:val="EndNoteBibliographyChar"/>
    <w:rsid w:val="00187E36"/>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187E3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1674</Words>
  <Characters>9545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Porter-Stransky, Kirsten</dc:creator>
  <cp:keywords/>
  <dc:description/>
  <cp:lastModifiedBy>Weinshenker, David</cp:lastModifiedBy>
  <cp:revision>2</cp:revision>
  <dcterms:created xsi:type="dcterms:W3CDTF">2019-06-27T20:48:00Z</dcterms:created>
  <dcterms:modified xsi:type="dcterms:W3CDTF">2019-06-27T20:48:00Z</dcterms:modified>
</cp:coreProperties>
</file>