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76" w:rsidRPr="00693576" w:rsidRDefault="00693576" w:rsidP="00693576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693576">
        <w:rPr>
          <w:rFonts w:ascii="Arial" w:hAnsi="Arial" w:cs="Arial" w:hint="eastAsia"/>
          <w:b/>
          <w:sz w:val="32"/>
          <w:szCs w:val="24"/>
        </w:rPr>
        <w:t>Supporting Information</w:t>
      </w:r>
    </w:p>
    <w:p w:rsidR="00693576" w:rsidRDefault="00693576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3576" w:rsidRDefault="00693576" w:rsidP="0069357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A Dual-sensing DNA Nanostructure with an Ultra-broad Detection Range</w:t>
      </w: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951985">
        <w:rPr>
          <w:rFonts w:ascii="Arial" w:eastAsia="굴림" w:hAnsi="Arial" w:cs="Arial"/>
          <w:kern w:val="0"/>
          <w:sz w:val="24"/>
          <w:szCs w:val="24"/>
        </w:rPr>
        <w:t>Byunghwa Kang</w:t>
      </w: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1</w:t>
      </w:r>
      <w:r w:rsidRPr="00951985">
        <w:rPr>
          <w:rFonts w:ascii="Arial" w:eastAsia="굴림" w:hAnsi="Arial" w:cs="Arial"/>
          <w:kern w:val="0"/>
          <w:sz w:val="24"/>
          <w:szCs w:val="24"/>
        </w:rPr>
        <w:t>, Soyeon V. Park</w:t>
      </w: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1</w:t>
      </w:r>
      <w:r w:rsidRPr="00951985">
        <w:rPr>
          <w:rFonts w:ascii="Arial" w:eastAsia="굴림" w:hAnsi="Arial" w:cs="Arial"/>
          <w:kern w:val="0"/>
          <w:sz w:val="24"/>
          <w:szCs w:val="24"/>
        </w:rPr>
        <w:t>, H. Tom Soh</w:t>
      </w: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2*</w:t>
      </w:r>
      <w:r w:rsidRPr="00951985">
        <w:rPr>
          <w:rFonts w:ascii="Arial" w:eastAsia="굴림" w:hAnsi="Arial" w:cs="Arial"/>
          <w:kern w:val="0"/>
          <w:sz w:val="24"/>
          <w:szCs w:val="24"/>
        </w:rPr>
        <w:t>, Seung Soo Oh</w:t>
      </w: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1,3**</w:t>
      </w: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1</w:t>
      </w:r>
      <w:r w:rsidRPr="00951985">
        <w:rPr>
          <w:rFonts w:ascii="Arial" w:eastAsia="굴림" w:hAnsi="Arial" w:cs="Arial"/>
          <w:kern w:val="0"/>
          <w:sz w:val="24"/>
          <w:szCs w:val="24"/>
        </w:rPr>
        <w:t>Department of Materials Science and Engineering, Pohang University of Science and Technology</w:t>
      </w:r>
      <w:r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51985">
        <w:rPr>
          <w:rFonts w:ascii="Arial" w:eastAsia="굴림" w:hAnsi="Arial" w:cs="Arial"/>
          <w:kern w:val="0"/>
          <w:sz w:val="24"/>
          <w:szCs w:val="24"/>
        </w:rPr>
        <w:t>(POSTECH), 77 Cheongam-Ro, Nam-Gu, Pohang, Gyeongbuk 37673, South Korea</w:t>
      </w: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2</w:t>
      </w:r>
      <w:r w:rsidRPr="00951985">
        <w:rPr>
          <w:rFonts w:ascii="Arial" w:eastAsia="굴림" w:hAnsi="Arial" w:cs="Arial"/>
          <w:kern w:val="0"/>
          <w:sz w:val="24"/>
          <w:szCs w:val="24"/>
        </w:rPr>
        <w:t>Department of Electrical Engineering</w:t>
      </w:r>
      <w:r>
        <w:rPr>
          <w:rFonts w:ascii="Arial" w:eastAsia="굴림" w:hAnsi="Arial" w:cs="Arial"/>
          <w:kern w:val="0"/>
          <w:sz w:val="24"/>
          <w:szCs w:val="24"/>
        </w:rPr>
        <w:t xml:space="preserve"> and Department of Radiology</w:t>
      </w:r>
      <w:r w:rsidRPr="00951985">
        <w:rPr>
          <w:rFonts w:ascii="Arial" w:eastAsia="굴림" w:hAnsi="Arial" w:cs="Arial"/>
          <w:kern w:val="0"/>
          <w:sz w:val="24"/>
          <w:szCs w:val="24"/>
        </w:rPr>
        <w:t>,</w:t>
      </w:r>
      <w:r>
        <w:rPr>
          <w:rFonts w:ascii="Arial" w:eastAsia="굴림" w:hAnsi="Arial" w:cs="Arial"/>
          <w:kern w:val="0"/>
          <w:sz w:val="24"/>
          <w:szCs w:val="24"/>
        </w:rPr>
        <w:t xml:space="preserve"> Canary Center at</w:t>
      </w:r>
      <w:r w:rsidRPr="00951985">
        <w:rPr>
          <w:rFonts w:ascii="Arial" w:eastAsia="굴림" w:hAnsi="Arial" w:cs="Arial"/>
          <w:kern w:val="0"/>
          <w:sz w:val="24"/>
          <w:szCs w:val="24"/>
        </w:rPr>
        <w:t xml:space="preserve"> Stanford University,</w:t>
      </w:r>
      <w:r>
        <w:rPr>
          <w:rFonts w:ascii="Arial" w:eastAsia="굴림" w:hAnsi="Arial" w:cs="Arial"/>
          <w:kern w:val="0"/>
          <w:sz w:val="24"/>
          <w:szCs w:val="24"/>
        </w:rPr>
        <w:t xml:space="preserve"> 3155 Porter Drive,</w:t>
      </w:r>
      <w:r w:rsidRPr="00951985">
        <w:rPr>
          <w:rFonts w:ascii="Arial" w:eastAsia="굴림" w:hAnsi="Arial" w:cs="Arial"/>
          <w:kern w:val="0"/>
          <w:sz w:val="24"/>
          <w:szCs w:val="24"/>
        </w:rPr>
        <w:t xml:space="preserve"> Stanford, CA</w:t>
      </w:r>
      <w:r>
        <w:rPr>
          <w:rFonts w:ascii="Arial" w:eastAsia="굴림" w:hAnsi="Arial" w:cs="Arial"/>
          <w:kern w:val="0"/>
          <w:sz w:val="24"/>
          <w:szCs w:val="24"/>
        </w:rPr>
        <w:t xml:space="preserve"> 94305</w:t>
      </w:r>
      <w:r w:rsidRPr="00951985">
        <w:rPr>
          <w:rFonts w:ascii="Arial" w:eastAsia="굴림" w:hAnsi="Arial" w:cs="Arial"/>
          <w:kern w:val="0"/>
          <w:sz w:val="24"/>
          <w:szCs w:val="24"/>
        </w:rPr>
        <w:t xml:space="preserve"> </w:t>
      </w:r>
      <w:r>
        <w:rPr>
          <w:rFonts w:ascii="Arial" w:eastAsia="굴림" w:hAnsi="Arial" w:cs="Arial"/>
          <w:kern w:val="0"/>
          <w:sz w:val="24"/>
          <w:szCs w:val="24"/>
        </w:rPr>
        <w:t>(USA)</w:t>
      </w: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951985">
        <w:rPr>
          <w:rFonts w:ascii="Arial" w:eastAsia="굴림" w:hAnsi="Arial" w:cs="Arial"/>
          <w:kern w:val="0"/>
          <w:sz w:val="24"/>
          <w:szCs w:val="24"/>
          <w:vertAlign w:val="superscript"/>
        </w:rPr>
        <w:t>3</w:t>
      </w:r>
      <w:r w:rsidRPr="00951985">
        <w:rPr>
          <w:rFonts w:ascii="Arial" w:eastAsia="굴림" w:hAnsi="Arial" w:cs="Arial"/>
          <w:kern w:val="0"/>
          <w:sz w:val="24"/>
          <w:szCs w:val="24"/>
        </w:rPr>
        <w:t>School of Interdisciplinary Bioscience and Bioengineering, Pohang University of Science and Technology</w:t>
      </w:r>
      <w:r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51985">
        <w:rPr>
          <w:rFonts w:ascii="Arial" w:eastAsia="굴림" w:hAnsi="Arial" w:cs="Arial"/>
          <w:kern w:val="0"/>
          <w:sz w:val="24"/>
          <w:szCs w:val="24"/>
        </w:rPr>
        <w:t>(POSTECH), 77 Cheongam-Ro, Nam-Gu, Pohang, Gyeongbuk 37673, South Korea</w:t>
      </w: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951985">
        <w:rPr>
          <w:rFonts w:ascii="Arial" w:eastAsia="굴림" w:hAnsi="Arial" w:cs="Arial"/>
          <w:kern w:val="0"/>
          <w:sz w:val="24"/>
          <w:szCs w:val="24"/>
        </w:rPr>
        <w:t>* E-mail address: tsoh@stanford.edu</w:t>
      </w:r>
    </w:p>
    <w:p w:rsidR="00693576" w:rsidRPr="00951985" w:rsidRDefault="00693576" w:rsidP="00693576">
      <w:pPr>
        <w:widowControl/>
        <w:wordWrap/>
        <w:autoSpaceDE/>
        <w:autoSpaceDN/>
        <w:spacing w:after="0" w:line="360" w:lineRule="auto"/>
        <w:jc w:val="center"/>
        <w:rPr>
          <w:rFonts w:ascii="Arial" w:eastAsia="굴림" w:hAnsi="Arial" w:cs="Arial"/>
          <w:kern w:val="0"/>
          <w:sz w:val="24"/>
          <w:szCs w:val="24"/>
        </w:rPr>
      </w:pPr>
      <w:r w:rsidRPr="00951985">
        <w:rPr>
          <w:rFonts w:ascii="Arial" w:eastAsia="굴림" w:hAnsi="Arial" w:cs="Arial"/>
          <w:kern w:val="0"/>
          <w:sz w:val="24"/>
          <w:szCs w:val="24"/>
        </w:rPr>
        <w:t>** E-mail address: seungsoo@postech.ac.kr</w:t>
      </w:r>
    </w:p>
    <w:p w:rsidR="00693576" w:rsidRDefault="00693576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0B5C" w:rsidRDefault="000A0B5C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3576" w:rsidRDefault="00693576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of Contents</w:t>
      </w:r>
    </w:p>
    <w:p w:rsidR="00693576" w:rsidRPr="006C5210" w:rsidRDefault="00693576" w:rsidP="006C5210">
      <w:pPr>
        <w:pStyle w:val="a3"/>
        <w:numPr>
          <w:ilvl w:val="0"/>
          <w:numId w:val="4"/>
        </w:numPr>
        <w:spacing w:line="360" w:lineRule="auto"/>
        <w:ind w:leftChars="0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Materials and Methods</w:t>
      </w:r>
    </w:p>
    <w:p w:rsidR="006C5210" w:rsidRPr="006C5210" w:rsidRDefault="006C5210" w:rsidP="006C5210">
      <w:pPr>
        <w:pStyle w:val="a3"/>
        <w:numPr>
          <w:ilvl w:val="1"/>
          <w:numId w:val="3"/>
        </w:numPr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6C5210">
        <w:rPr>
          <w:rFonts w:ascii="Arial" w:hAnsi="Arial" w:cs="Arial" w:hint="eastAsia"/>
          <w:sz w:val="24"/>
          <w:szCs w:val="24"/>
        </w:rPr>
        <w:t>Reagents and Materials</w:t>
      </w:r>
    </w:p>
    <w:p w:rsidR="006C5210" w:rsidRDefault="006C5210" w:rsidP="006C5210">
      <w:pPr>
        <w:pStyle w:val="a3"/>
        <w:numPr>
          <w:ilvl w:val="1"/>
          <w:numId w:val="3"/>
        </w:numPr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6C5210">
        <w:rPr>
          <w:rFonts w:ascii="Arial" w:hAnsi="Arial" w:cs="Arial"/>
          <w:sz w:val="24"/>
          <w:szCs w:val="24"/>
        </w:rPr>
        <w:t>Detection range measurement of the DMRD</w:t>
      </w:r>
    </w:p>
    <w:p w:rsidR="006C5210" w:rsidRDefault="006C5210" w:rsidP="006C5210">
      <w:pPr>
        <w:pStyle w:val="a3"/>
        <w:numPr>
          <w:ilvl w:val="1"/>
          <w:numId w:val="3"/>
        </w:numPr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Tuning target detection range of the DDM</w:t>
      </w:r>
    </w:p>
    <w:p w:rsidR="006C5210" w:rsidRDefault="006C5210" w:rsidP="006C5210">
      <w:pPr>
        <w:pStyle w:val="a3"/>
        <w:numPr>
          <w:ilvl w:val="1"/>
          <w:numId w:val="3"/>
        </w:numPr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Tuning target detection range of the EDM</w:t>
      </w:r>
    </w:p>
    <w:p w:rsidR="006C5210" w:rsidRPr="006C5210" w:rsidRDefault="006C5210" w:rsidP="006C5210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/>
          <w:sz w:val="24"/>
          <w:szCs w:val="24"/>
        </w:rPr>
      </w:pPr>
      <w:r w:rsidRPr="006C5210">
        <w:rPr>
          <w:rFonts w:ascii="Arial" w:hAnsi="Arial" w:cs="Arial"/>
          <w:b/>
          <w:sz w:val="24"/>
          <w:szCs w:val="24"/>
        </w:rPr>
        <w:t>Supplementary Figures and Tables</w:t>
      </w:r>
    </w:p>
    <w:p w:rsidR="006C5210" w:rsidRDefault="006C5210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</w:t>
      </w:r>
      <w:r w:rsidRPr="006C5210">
        <w:rPr>
          <w:rFonts w:ascii="Arial" w:hAnsi="Arial" w:cs="Arial" w:hint="eastAsia"/>
          <w:sz w:val="24"/>
          <w:szCs w:val="24"/>
        </w:rPr>
        <w:t xml:space="preserve"> S1</w:t>
      </w:r>
      <w:r>
        <w:rPr>
          <w:rFonts w:ascii="Arial" w:hAnsi="Arial" w:cs="Arial"/>
          <w:sz w:val="24"/>
          <w:szCs w:val="24"/>
        </w:rPr>
        <w:t>: DNA sequences</w:t>
      </w:r>
    </w:p>
    <w:p w:rsidR="006D01DB" w:rsidRDefault="006D01DB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S2: ATP detection range of the DDM</w:t>
      </w:r>
    </w:p>
    <w:p w:rsidR="00BB4484" w:rsidRDefault="00BB4484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S3: hybridization energies of antisense DNAs and EC</w:t>
      </w:r>
      <w:r>
        <w:rPr>
          <w:rFonts w:ascii="Arial" w:hAnsi="Arial" w:cs="Arial"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 xml:space="preserve"> value of the DDM</w:t>
      </w:r>
    </w:p>
    <w:p w:rsidR="00BB4484" w:rsidRDefault="00BB4484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Figure S1: Arrhenius plot</w:t>
      </w:r>
    </w:p>
    <w:p w:rsidR="00BB4484" w:rsidRPr="000C1814" w:rsidRDefault="000C1814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S2: Fitting graph for obtaining K</w:t>
      </w:r>
      <w:r>
        <w:rPr>
          <w:rFonts w:ascii="Arial" w:hAnsi="Arial" w:cs="Arial"/>
          <w:sz w:val="24"/>
          <w:szCs w:val="24"/>
          <w:vertAlign w:val="subscript"/>
        </w:rPr>
        <w:t>d</w:t>
      </w:r>
      <w:r>
        <w:rPr>
          <w:rFonts w:ascii="Arial" w:hAnsi="Arial" w:cs="Arial"/>
          <w:sz w:val="24"/>
          <w:szCs w:val="24"/>
        </w:rPr>
        <w:t xml:space="preserve"> value of the ATP aptamer</w:t>
      </w:r>
    </w:p>
    <w:p w:rsidR="00BB4484" w:rsidRDefault="00D70A4F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S3: Antisense-free target specificity of the DDM</w:t>
      </w:r>
    </w:p>
    <w:p w:rsidR="00BB4484" w:rsidRDefault="00D70A4F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S4: ATP detection range of the EDM</w:t>
      </w:r>
    </w:p>
    <w:p w:rsidR="00BB4484" w:rsidRPr="00BB4484" w:rsidRDefault="00D70A4F" w:rsidP="00680B72">
      <w:pPr>
        <w:spacing w:line="360" w:lineRule="auto"/>
        <w:ind w:leftChars="350" w:left="1408" w:hangingChars="295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Figure S4: Tris-free target specificity of the EDM</w:t>
      </w:r>
    </w:p>
    <w:p w:rsidR="006C5210" w:rsidRDefault="006C5210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6C5210" w:rsidRDefault="006C5210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D70A4F" w:rsidRPr="006C5210" w:rsidRDefault="00D70A4F" w:rsidP="006C5210">
      <w:pPr>
        <w:spacing w:line="360" w:lineRule="auto"/>
        <w:rPr>
          <w:rFonts w:ascii="Arial" w:hAnsi="Arial" w:cs="Arial"/>
          <w:sz w:val="24"/>
          <w:szCs w:val="24"/>
        </w:rPr>
      </w:pPr>
    </w:p>
    <w:p w:rsidR="00693576" w:rsidRPr="00693576" w:rsidRDefault="00693576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3576" w:rsidRDefault="00693576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5210" w:rsidRDefault="006C5210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A18E9" w:rsidRPr="00693576" w:rsidRDefault="00693576" w:rsidP="0069357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3576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18E9" w:rsidRPr="00693576">
        <w:rPr>
          <w:rFonts w:ascii="Arial" w:hAnsi="Arial" w:cs="Arial"/>
          <w:b/>
          <w:sz w:val="24"/>
          <w:szCs w:val="24"/>
        </w:rPr>
        <w:t>Materials and Methods</w:t>
      </w:r>
    </w:p>
    <w:p w:rsidR="007A18E9" w:rsidRPr="000E2988" w:rsidRDefault="00693576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7A18E9" w:rsidRPr="000E2988">
        <w:rPr>
          <w:rFonts w:ascii="Arial" w:hAnsi="Arial" w:cs="Arial"/>
          <w:b/>
          <w:sz w:val="24"/>
          <w:szCs w:val="24"/>
        </w:rPr>
        <w:t>Reagents and Materials</w:t>
      </w:r>
    </w:p>
    <w:p w:rsidR="007A18E9" w:rsidRPr="000E2988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DMRD</w:t>
      </w:r>
      <w:r w:rsidRPr="000E2988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antisense DNAs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AD11–18 </w:t>
      </w:r>
      <w:r w:rsidRPr="000E2988">
        <w:rPr>
          <w:rFonts w:ascii="Arial" w:hAnsi="Arial" w:cs="Arial"/>
          <w:sz w:val="24"/>
          <w:szCs w:val="24"/>
        </w:rPr>
        <w:t>were synthesized and purified by either Integrated DNA Technologies (Coralville, IA) or BIONEER (Daejeon, Korea). Adenosine triphosphate (ATP), Tris(hydroxymethyl)aminomethane (Tris), Tris hydrochloride, sodium chloride (NaCl), magnesium chloride (MgCl</w:t>
      </w:r>
      <w:r w:rsidRPr="000E2988">
        <w:rPr>
          <w:rFonts w:ascii="Arial" w:hAnsi="Arial" w:cs="Arial"/>
          <w:sz w:val="24"/>
          <w:szCs w:val="24"/>
          <w:vertAlign w:val="subscript"/>
        </w:rPr>
        <w:t>2</w:t>
      </w:r>
      <w:r w:rsidRPr="000E2988">
        <w:rPr>
          <w:rFonts w:ascii="Arial" w:hAnsi="Arial" w:cs="Arial"/>
          <w:sz w:val="24"/>
          <w:szCs w:val="24"/>
        </w:rPr>
        <w:t xml:space="preserve">), potassium chloride (KCl), Triton X-100, </w:t>
      </w:r>
      <w:r>
        <w:rPr>
          <w:rFonts w:ascii="Arial" w:hAnsi="Arial" w:cs="Arial"/>
          <w:sz w:val="24"/>
          <w:szCs w:val="24"/>
        </w:rPr>
        <w:t xml:space="preserve">HEPES, </w:t>
      </w:r>
      <w:r w:rsidRPr="000E2988">
        <w:rPr>
          <w:rFonts w:ascii="Arial" w:hAnsi="Arial" w:cs="Arial"/>
          <w:sz w:val="24"/>
          <w:szCs w:val="24"/>
        </w:rPr>
        <w:t>and hydrogen peroxide (H</w:t>
      </w:r>
      <w:r w:rsidRPr="000E2988">
        <w:rPr>
          <w:rFonts w:ascii="Arial" w:hAnsi="Arial" w:cs="Arial"/>
          <w:sz w:val="24"/>
          <w:szCs w:val="24"/>
          <w:vertAlign w:val="subscript"/>
        </w:rPr>
        <w:t>2</w:t>
      </w:r>
      <w:r w:rsidRPr="000E2988">
        <w:rPr>
          <w:rFonts w:ascii="Arial" w:hAnsi="Arial" w:cs="Arial"/>
          <w:sz w:val="24"/>
          <w:szCs w:val="24"/>
        </w:rPr>
        <w:t>O</w:t>
      </w:r>
      <w:r w:rsidRPr="000E2988">
        <w:rPr>
          <w:rFonts w:ascii="Arial" w:hAnsi="Arial" w:cs="Arial"/>
          <w:sz w:val="24"/>
          <w:szCs w:val="24"/>
          <w:vertAlign w:val="subscript"/>
        </w:rPr>
        <w:t>2</w:t>
      </w:r>
      <w:r w:rsidRPr="000E2988">
        <w:rPr>
          <w:rFonts w:ascii="Arial" w:hAnsi="Arial" w:cs="Arial"/>
          <w:sz w:val="24"/>
          <w:szCs w:val="24"/>
        </w:rPr>
        <w:t xml:space="preserve">) were purchased from </w:t>
      </w:r>
      <w:r w:rsidRPr="00B6676F">
        <w:rPr>
          <w:rFonts w:ascii="Arial" w:hAnsi="Arial" w:cs="Arial"/>
          <w:sz w:val="24"/>
          <w:szCs w:val="24"/>
        </w:rPr>
        <w:t>GA Biochem (Chuncheon, Korea).</w:t>
      </w:r>
      <w:r w:rsidRPr="000E2988">
        <w:rPr>
          <w:rFonts w:ascii="Arial" w:hAnsi="Arial" w:cs="Arial"/>
          <w:sz w:val="24"/>
          <w:szCs w:val="24"/>
        </w:rPr>
        <w:t xml:space="preserve"> Adenosine diphosphate (ADP), adenosine monophosphate (AMP), adenosine, dimethyl sulfoxide (DMSO), sodium hydroxide (NaOH) and hemin were purchased from Sigma-Aldrich (St. Louis, MO). Guanosine triphosphate (GTP), cytosine triphosphate (CTP) and uracil triphosphate</w:t>
      </w:r>
      <w:r>
        <w:rPr>
          <w:rFonts w:ascii="Arial" w:hAnsi="Arial" w:cs="Arial"/>
          <w:sz w:val="24"/>
          <w:szCs w:val="24"/>
        </w:rPr>
        <w:t xml:space="preserve"> (UTP)</w:t>
      </w:r>
      <w:r w:rsidRPr="000E2988">
        <w:rPr>
          <w:rFonts w:ascii="Arial" w:hAnsi="Arial" w:cs="Arial"/>
          <w:sz w:val="24"/>
          <w:szCs w:val="24"/>
        </w:rPr>
        <w:t xml:space="preserve"> were purchased from Tech and Innovation (Chuncheon, Korea). 2,2’-Azino-bis(3-ethylbenzothiazoline-6-sulphonic acid</w:t>
      </w:r>
      <w:r>
        <w:rPr>
          <w:rFonts w:ascii="Arial" w:hAnsi="Arial" w:cs="Arial"/>
          <w:sz w:val="24"/>
          <w:szCs w:val="24"/>
        </w:rPr>
        <w:t>)</w:t>
      </w:r>
      <w:r w:rsidRPr="000E2988">
        <w:rPr>
          <w:rFonts w:ascii="Arial" w:hAnsi="Arial" w:cs="Arial"/>
          <w:sz w:val="24"/>
          <w:szCs w:val="24"/>
        </w:rPr>
        <w:t xml:space="preserve"> (ABTS) was purchased from Roche (Basel, Switzerland).</w:t>
      </w:r>
    </w:p>
    <w:p w:rsidR="007A18E9" w:rsidRPr="000E2988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7A18E9" w:rsidRPr="000E2988" w:rsidRDefault="001E55D3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7A18E9" w:rsidRPr="000E2988">
        <w:rPr>
          <w:rFonts w:ascii="Arial" w:hAnsi="Arial" w:cs="Arial"/>
          <w:b/>
          <w:sz w:val="24"/>
          <w:szCs w:val="24"/>
        </w:rPr>
        <w:t>Detection range measurement of the DMRD</w:t>
      </w:r>
    </w:p>
    <w:p w:rsidR="007A18E9" w:rsidRPr="000E2988" w:rsidRDefault="007A18E9" w:rsidP="007A18E9">
      <w:pPr>
        <w:spacing w:line="36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measured the affinity of the DDM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Pr="000E2988">
        <w:rPr>
          <w:rFonts w:ascii="Arial" w:hAnsi="Arial" w:cs="Arial"/>
          <w:sz w:val="24"/>
          <w:szCs w:val="24"/>
        </w:rPr>
        <w:t xml:space="preserve"> ATP</w:t>
      </w:r>
      <w:r>
        <w:rPr>
          <w:rFonts w:ascii="Arial" w:hAnsi="Arial" w:cs="Arial"/>
          <w:sz w:val="24"/>
          <w:szCs w:val="24"/>
        </w:rPr>
        <w:t xml:space="preserve"> via microscale thermophoresis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E2988">
        <w:rPr>
          <w:rFonts w:ascii="Arial" w:hAnsi="Arial" w:cs="Arial"/>
          <w:sz w:val="24"/>
          <w:szCs w:val="24"/>
        </w:rPr>
        <w:t>2bind GmbH</w:t>
      </w:r>
      <w:r>
        <w:rPr>
          <w:rFonts w:ascii="Arial" w:hAnsi="Arial" w:cs="Arial"/>
          <w:sz w:val="24"/>
          <w:szCs w:val="24"/>
        </w:rPr>
        <w:t xml:space="preserve">; </w:t>
      </w:r>
      <w:r w:rsidRPr="000E2988">
        <w:rPr>
          <w:rFonts w:ascii="Arial" w:hAnsi="Arial" w:cs="Arial"/>
          <w:sz w:val="24"/>
          <w:szCs w:val="24"/>
        </w:rPr>
        <w:t xml:space="preserve">Regensburg, Germany). </w:t>
      </w:r>
      <w:r>
        <w:rPr>
          <w:rFonts w:ascii="Arial" w:hAnsi="Arial" w:cs="Arial"/>
          <w:sz w:val="24"/>
          <w:szCs w:val="24"/>
        </w:rPr>
        <w:t>A t</w:t>
      </w:r>
      <w:r w:rsidRPr="000E2988">
        <w:rPr>
          <w:rFonts w:ascii="Arial" w:hAnsi="Arial" w:cs="Arial"/>
          <w:sz w:val="24"/>
          <w:szCs w:val="24"/>
        </w:rPr>
        <w:t xml:space="preserve">itration series from 21.4 nM to 350 </w:t>
      </w:r>
      <w:r w:rsidRPr="000E2988">
        <w:rPr>
          <w:rFonts w:ascii="Arial" w:eastAsiaTheme="minorHAnsi" w:hAnsi="Arial" w:cs="Arial"/>
          <w:sz w:val="24"/>
          <w:szCs w:val="24"/>
        </w:rPr>
        <w:t>μ</w:t>
      </w:r>
      <w:r w:rsidRPr="000E2988">
        <w:rPr>
          <w:rFonts w:ascii="Arial" w:hAnsi="Arial" w:cs="Arial"/>
          <w:sz w:val="24"/>
          <w:szCs w:val="24"/>
        </w:rPr>
        <w:t xml:space="preserve">M ATP </w:t>
      </w:r>
      <w:r>
        <w:rPr>
          <w:rFonts w:ascii="Arial" w:hAnsi="Arial" w:cs="Arial"/>
          <w:sz w:val="24"/>
          <w:szCs w:val="24"/>
        </w:rPr>
        <w:t>was</w:t>
      </w:r>
      <w:r w:rsidRPr="000E2988">
        <w:rPr>
          <w:rFonts w:ascii="Arial" w:hAnsi="Arial" w:cs="Arial"/>
          <w:sz w:val="24"/>
          <w:szCs w:val="24"/>
        </w:rPr>
        <w:t xml:space="preserve"> prepared in 1X </w:t>
      </w:r>
      <w:r>
        <w:rPr>
          <w:rFonts w:ascii="Arial" w:hAnsi="Arial" w:cs="Arial"/>
          <w:sz w:val="24"/>
          <w:szCs w:val="24"/>
        </w:rPr>
        <w:t xml:space="preserve">ATP Binding Buffer (ATPBB; </w:t>
      </w:r>
      <w:r w:rsidRPr="000E2988">
        <w:rPr>
          <w:rFonts w:ascii="Arial" w:hAnsi="Arial" w:cs="Arial"/>
          <w:sz w:val="24"/>
          <w:szCs w:val="24"/>
        </w:rPr>
        <w:t>20 mM Tris-HCl, 300 m</w:t>
      </w:r>
      <w:r w:rsidRPr="00B21C4D">
        <w:rPr>
          <w:rFonts w:ascii="Arial" w:hAnsi="Arial" w:cs="Arial"/>
          <w:sz w:val="24"/>
          <w:szCs w:val="24"/>
        </w:rPr>
        <w:t>M NaCl, and 5 mM MgCl</w:t>
      </w:r>
      <w:r w:rsidRPr="00B21C4D">
        <w:rPr>
          <w:rFonts w:ascii="Arial" w:hAnsi="Arial" w:cs="Arial"/>
          <w:sz w:val="24"/>
          <w:szCs w:val="24"/>
          <w:vertAlign w:val="subscript"/>
        </w:rPr>
        <w:t>2</w:t>
      </w:r>
      <w:r w:rsidRPr="00B21C4D">
        <w:rPr>
          <w:rFonts w:ascii="Arial" w:hAnsi="Arial" w:cs="Arial"/>
          <w:sz w:val="24"/>
          <w:szCs w:val="24"/>
        </w:rPr>
        <w:t>, pH 7.5</w:t>
      </w:r>
      <w:r>
        <w:rPr>
          <w:rFonts w:ascii="Arial" w:hAnsi="Arial" w:cs="Arial"/>
          <w:sz w:val="24"/>
          <w:szCs w:val="24"/>
        </w:rPr>
        <w:t>)</w:t>
      </w:r>
      <w:r w:rsidRPr="000E29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with</w:t>
      </w:r>
      <w:r w:rsidRPr="000E2988">
        <w:rPr>
          <w:rFonts w:ascii="Arial" w:hAnsi="Arial" w:cs="Arial"/>
          <w:sz w:val="24"/>
          <w:szCs w:val="24"/>
        </w:rPr>
        <w:t xml:space="preserve"> the same concentration of </w:t>
      </w:r>
      <w:r>
        <w:rPr>
          <w:rFonts w:ascii="Arial" w:hAnsi="Arial" w:cs="Arial"/>
          <w:sz w:val="24"/>
          <w:szCs w:val="24"/>
        </w:rPr>
        <w:t>DMRD</w:t>
      </w:r>
      <w:r w:rsidRPr="000E2988">
        <w:rPr>
          <w:rFonts w:ascii="Arial" w:hAnsi="Arial" w:cs="Arial"/>
          <w:sz w:val="24"/>
          <w:szCs w:val="24"/>
        </w:rPr>
        <w:t xml:space="preserve"> (2 nM) added </w:t>
      </w:r>
      <w:r>
        <w:rPr>
          <w:rFonts w:ascii="Arial" w:hAnsi="Arial" w:cs="Arial"/>
          <w:sz w:val="24"/>
          <w:szCs w:val="24"/>
        </w:rPr>
        <w:t>to each</w:t>
      </w:r>
      <w:r w:rsidRPr="000E298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0E2988">
        <w:rPr>
          <w:rFonts w:ascii="Arial" w:hAnsi="Arial" w:cs="Arial"/>
          <w:sz w:val="24"/>
          <w:szCs w:val="24"/>
        </w:rPr>
        <w:t xml:space="preserve">he binding behavior of each sample was analyzed in the Monolith NT.115 pico device (NanoTemper Technologies GmbH; Munich, Germany). This experiment was </w:t>
      </w:r>
      <w:r>
        <w:rPr>
          <w:rFonts w:ascii="Arial" w:hAnsi="Arial" w:cs="Arial"/>
          <w:sz w:val="24"/>
          <w:szCs w:val="24"/>
        </w:rPr>
        <w:t xml:space="preserve">performed in </w:t>
      </w:r>
      <w:r w:rsidRPr="000E2988">
        <w:rPr>
          <w:rFonts w:ascii="Arial" w:hAnsi="Arial" w:cs="Arial"/>
          <w:sz w:val="24"/>
          <w:szCs w:val="24"/>
        </w:rPr>
        <w:t>duplicate.</w:t>
      </w:r>
      <w:r>
        <w:rPr>
          <w:rFonts w:ascii="Arial" w:hAnsi="Arial" w:cs="Arial"/>
          <w:sz w:val="24"/>
          <w:szCs w:val="24"/>
        </w:rPr>
        <w:t xml:space="preserve"> In parallel, we also conducted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FAM </w:t>
      </w:r>
      <w:r w:rsidRPr="000E2988">
        <w:rPr>
          <w:rFonts w:ascii="Arial" w:hAnsi="Arial" w:cs="Arial"/>
          <w:sz w:val="24"/>
          <w:szCs w:val="24"/>
        </w:rPr>
        <w:t xml:space="preserve">fluorescence </w:t>
      </w:r>
      <w:r>
        <w:rPr>
          <w:rFonts w:ascii="Arial" w:hAnsi="Arial" w:cs="Arial"/>
          <w:sz w:val="24"/>
          <w:szCs w:val="24"/>
        </w:rPr>
        <w:t>visualization</w:t>
      </w:r>
      <w:r w:rsidRPr="000E2988">
        <w:rPr>
          <w:rFonts w:ascii="Arial" w:hAnsi="Arial" w:cs="Arial"/>
          <w:sz w:val="24"/>
          <w:szCs w:val="24"/>
        </w:rPr>
        <w:t xml:space="preserve"> in 1.5 ml tube</w:t>
      </w:r>
      <w:r>
        <w:rPr>
          <w:rFonts w:ascii="Arial" w:hAnsi="Arial" w:cs="Arial"/>
          <w:sz w:val="24"/>
          <w:szCs w:val="24"/>
        </w:rPr>
        <w:t>s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containing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100 </w:t>
      </w:r>
      <w:r w:rsidRPr="002A4A4A">
        <w:rPr>
          <w:rFonts w:ascii="Arial" w:eastAsia="맑은 고딕" w:hAnsi="Arial" w:cs="Arial"/>
          <w:sz w:val="24"/>
          <w:szCs w:val="24"/>
        </w:rPr>
        <w:t>μ</w:t>
      </w:r>
      <w:r w:rsidRPr="002A4A4A">
        <w:rPr>
          <w:rFonts w:ascii="Arial" w:hAnsi="Arial" w:cs="Arial"/>
          <w:sz w:val="24"/>
          <w:szCs w:val="24"/>
        </w:rPr>
        <w:t>l</w:t>
      </w:r>
      <w:r w:rsidRPr="000E2988">
        <w:rPr>
          <w:rFonts w:ascii="Arial" w:hAnsi="Arial" w:cs="Arial"/>
          <w:sz w:val="24"/>
          <w:szCs w:val="24"/>
        </w:rPr>
        <w:t xml:space="preserve"> 1X ATPBB</w:t>
      </w:r>
      <w:r>
        <w:rPr>
          <w:rFonts w:ascii="Arial" w:hAnsi="Arial" w:cs="Arial"/>
          <w:sz w:val="24"/>
          <w:szCs w:val="24"/>
        </w:rPr>
        <w:t xml:space="preserve"> </w:t>
      </w:r>
      <w:r w:rsidRPr="000E2988">
        <w:rPr>
          <w:rFonts w:ascii="Arial" w:hAnsi="Arial" w:cs="Arial"/>
          <w:sz w:val="24"/>
          <w:szCs w:val="24"/>
        </w:rPr>
        <w:t xml:space="preserve">with 5 </w:t>
      </w:r>
      <w:r w:rsidRPr="000E2988">
        <w:rPr>
          <w:rFonts w:ascii="Arial" w:eastAsiaTheme="minorHAnsi" w:hAnsi="Arial" w:cs="Arial"/>
          <w:sz w:val="24"/>
          <w:szCs w:val="24"/>
        </w:rPr>
        <w:t>μ</w:t>
      </w:r>
      <w:r w:rsidRPr="000E2988">
        <w:rPr>
          <w:rFonts w:ascii="Arial" w:hAnsi="Arial" w:cs="Arial"/>
          <w:sz w:val="24"/>
          <w:szCs w:val="24"/>
        </w:rPr>
        <w:t>M D</w:t>
      </w:r>
      <w:r>
        <w:rPr>
          <w:rFonts w:ascii="Arial" w:hAnsi="Arial" w:cs="Arial"/>
          <w:sz w:val="24"/>
          <w:szCs w:val="24"/>
        </w:rPr>
        <w:t>MRD</w:t>
      </w:r>
      <w:r w:rsidRPr="000E29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which we</w:t>
      </w:r>
      <w:r w:rsidRPr="000E2988">
        <w:rPr>
          <w:rFonts w:ascii="Arial" w:hAnsi="Arial" w:cs="Arial"/>
          <w:sz w:val="24"/>
          <w:szCs w:val="24"/>
        </w:rPr>
        <w:t xml:space="preserve"> compared ATP-induced fluorescence decrease with 1 mM ATP </w:t>
      </w:r>
      <w:r>
        <w:rPr>
          <w:rFonts w:ascii="Arial" w:hAnsi="Arial" w:cs="Arial"/>
          <w:sz w:val="24"/>
          <w:szCs w:val="24"/>
        </w:rPr>
        <w:t>or a</w:t>
      </w:r>
      <w:r w:rsidRPr="000E2988">
        <w:rPr>
          <w:rFonts w:ascii="Arial" w:hAnsi="Arial" w:cs="Arial"/>
          <w:sz w:val="24"/>
          <w:szCs w:val="24"/>
        </w:rPr>
        <w:t xml:space="preserve"> negative control without ATP. Fluorescence signals were obtained using </w:t>
      </w:r>
      <w:r>
        <w:rPr>
          <w:rFonts w:ascii="Arial" w:hAnsi="Arial" w:cs="Arial"/>
          <w:sz w:val="24"/>
          <w:szCs w:val="24"/>
        </w:rPr>
        <w:t xml:space="preserve">the </w:t>
      </w:r>
      <w:r w:rsidRPr="000E2988">
        <w:rPr>
          <w:rFonts w:ascii="Arial" w:hAnsi="Arial" w:cs="Arial"/>
          <w:sz w:val="24"/>
          <w:szCs w:val="24"/>
        </w:rPr>
        <w:t xml:space="preserve">Azure c600 (Azure Biosystems; Dublin, CA) at </w:t>
      </w:r>
      <w:r>
        <w:rPr>
          <w:rFonts w:ascii="Arial" w:hAnsi="Arial" w:cs="Arial"/>
          <w:sz w:val="24"/>
          <w:szCs w:val="24"/>
        </w:rPr>
        <w:t>room temperature</w:t>
      </w:r>
      <w:r w:rsidRPr="000E2988">
        <w:rPr>
          <w:rFonts w:ascii="Arial" w:hAnsi="Arial" w:cs="Arial"/>
          <w:sz w:val="24"/>
          <w:szCs w:val="24"/>
        </w:rPr>
        <w:t>.</w:t>
      </w:r>
    </w:p>
    <w:p w:rsidR="007A18E9" w:rsidRPr="000E2988" w:rsidRDefault="007A18E9" w:rsidP="007A18E9">
      <w:pPr>
        <w:spacing w:line="36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To confirm</w:t>
      </w:r>
      <w:r>
        <w:rPr>
          <w:rFonts w:ascii="Arial" w:hAnsi="Arial" w:cs="Arial"/>
          <w:sz w:val="24"/>
          <w:szCs w:val="24"/>
        </w:rPr>
        <w:t xml:space="preserve"> the ATP concentration range that can be detected by the EDM, we performed an ATP-assisted peroxidation test.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Solutions containing 100 nM DMRD and 5 mM HEPES (pH 7.5) were prepared in 1X ATP Reaction Buffer (ATPRB;</w:t>
      </w:r>
      <w:r w:rsidRPr="000E2988">
        <w:rPr>
          <w:rFonts w:ascii="Arial" w:hAnsi="Arial" w:cs="Arial"/>
          <w:sz w:val="24"/>
          <w:szCs w:val="24"/>
        </w:rPr>
        <w:t xml:space="preserve"> 10 mM KCl, 200 mM NaCl, and 0.002% (v/v)</w:t>
      </w:r>
      <w:r>
        <w:rPr>
          <w:rFonts w:ascii="Arial" w:hAnsi="Arial" w:cs="Arial"/>
          <w:sz w:val="24"/>
          <w:szCs w:val="24"/>
        </w:rPr>
        <w:t xml:space="preserve"> </w:t>
      </w:r>
      <w:r w:rsidRPr="000E2988">
        <w:rPr>
          <w:rFonts w:ascii="Arial" w:hAnsi="Arial" w:cs="Arial"/>
          <w:sz w:val="24"/>
          <w:szCs w:val="24"/>
        </w:rPr>
        <w:t>Triton X-100).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0E2988">
        <w:rPr>
          <w:rFonts w:ascii="Arial" w:hAnsi="Arial" w:cs="Arial"/>
          <w:sz w:val="24"/>
          <w:szCs w:val="24"/>
        </w:rPr>
        <w:t>To th</w:t>
      </w:r>
      <w:r>
        <w:rPr>
          <w:rFonts w:ascii="Arial" w:hAnsi="Arial" w:cs="Arial"/>
          <w:sz w:val="24"/>
          <w:szCs w:val="24"/>
        </w:rPr>
        <w:t>is</w:t>
      </w:r>
      <w:r w:rsidRPr="000E2988">
        <w:rPr>
          <w:rFonts w:ascii="Arial" w:hAnsi="Arial" w:cs="Arial"/>
          <w:sz w:val="24"/>
          <w:szCs w:val="24"/>
        </w:rPr>
        <w:t xml:space="preserve"> solution, </w:t>
      </w:r>
      <w:r>
        <w:rPr>
          <w:rFonts w:ascii="Arial" w:hAnsi="Arial" w:cs="Arial"/>
          <w:sz w:val="24"/>
          <w:szCs w:val="24"/>
        </w:rPr>
        <w:t>we added 5 mM</w:t>
      </w:r>
      <w:r w:rsidRPr="000E2988">
        <w:rPr>
          <w:rFonts w:ascii="Arial" w:hAnsi="Arial" w:cs="Arial"/>
          <w:sz w:val="24"/>
          <w:szCs w:val="24"/>
        </w:rPr>
        <w:t xml:space="preserve"> H</w:t>
      </w:r>
      <w:r w:rsidRPr="000E2988">
        <w:rPr>
          <w:rFonts w:ascii="Arial" w:hAnsi="Arial" w:cs="Arial"/>
          <w:sz w:val="24"/>
          <w:szCs w:val="24"/>
          <w:vertAlign w:val="subscript"/>
        </w:rPr>
        <w:t>2</w:t>
      </w:r>
      <w:r w:rsidRPr="000E2988">
        <w:rPr>
          <w:rFonts w:ascii="Arial" w:hAnsi="Arial" w:cs="Arial"/>
          <w:sz w:val="24"/>
          <w:szCs w:val="24"/>
        </w:rPr>
        <w:t>O</w:t>
      </w:r>
      <w:r w:rsidRPr="000E2988">
        <w:rPr>
          <w:rFonts w:ascii="Arial" w:hAnsi="Arial" w:cs="Arial"/>
          <w:sz w:val="24"/>
          <w:szCs w:val="24"/>
          <w:vertAlign w:val="subscript"/>
        </w:rPr>
        <w:t>2</w:t>
      </w:r>
      <w:r w:rsidRPr="000E2988">
        <w:rPr>
          <w:rFonts w:ascii="Arial" w:hAnsi="Arial" w:cs="Arial"/>
          <w:sz w:val="24"/>
          <w:szCs w:val="24"/>
        </w:rPr>
        <w:t xml:space="preserve"> </w:t>
      </w:r>
      <w:r w:rsidRPr="000E2988">
        <w:rPr>
          <w:rFonts w:ascii="Arial" w:hAnsi="Arial" w:cs="Arial"/>
          <w:sz w:val="24"/>
          <w:szCs w:val="24"/>
        </w:rPr>
        <w:lastRenderedPageBreak/>
        <w:t xml:space="preserve">and 500 </w:t>
      </w:r>
      <w:r w:rsidRPr="000E2988">
        <w:rPr>
          <w:rFonts w:ascii="Arial" w:eastAsiaTheme="minorHAnsi" w:hAnsi="Arial" w:cs="Arial"/>
          <w:sz w:val="24"/>
          <w:szCs w:val="24"/>
        </w:rPr>
        <w:t>μ</w:t>
      </w:r>
      <w:r w:rsidRPr="000E2988">
        <w:rPr>
          <w:rFonts w:ascii="Arial" w:hAnsi="Arial" w:cs="Arial"/>
          <w:sz w:val="24"/>
          <w:szCs w:val="24"/>
        </w:rPr>
        <w:t xml:space="preserve">M ABTS, and then incubated at 25 </w:t>
      </w:r>
      <w:r w:rsidRPr="00DB694A">
        <w:rPr>
          <w:rFonts w:ascii="Times New Roman" w:eastAsia="맑은 고딕" w:hAnsi="Times New Roman" w:cs="Times New Roman"/>
          <w:sz w:val="24"/>
          <w:szCs w:val="24"/>
        </w:rPr>
        <w:t>℃</w:t>
      </w:r>
      <w:r w:rsidRPr="000E2988">
        <w:rPr>
          <w:rFonts w:ascii="Arial" w:hAnsi="Arial" w:cs="Arial"/>
          <w:sz w:val="24"/>
          <w:szCs w:val="24"/>
        </w:rPr>
        <w:t xml:space="preserve"> for 10 min. </w:t>
      </w:r>
      <w:r>
        <w:rPr>
          <w:rFonts w:ascii="Arial" w:hAnsi="Arial" w:cs="Arial"/>
          <w:sz w:val="24"/>
          <w:szCs w:val="24"/>
        </w:rPr>
        <w:t>These r</w:t>
      </w:r>
      <w:r w:rsidRPr="000E2988">
        <w:rPr>
          <w:rFonts w:ascii="Arial" w:hAnsi="Arial" w:cs="Arial"/>
          <w:sz w:val="24"/>
          <w:szCs w:val="24"/>
        </w:rPr>
        <w:t>eaction mixtures were challenged with varying concentrations of ATP (</w:t>
      </w:r>
      <w:r>
        <w:rPr>
          <w:rFonts w:ascii="Arial" w:hAnsi="Arial" w:cs="Arial"/>
          <w:sz w:val="24"/>
          <w:szCs w:val="24"/>
        </w:rPr>
        <w:t xml:space="preserve">0–5 </w:t>
      </w:r>
      <w:r w:rsidRPr="000E2988">
        <w:rPr>
          <w:rFonts w:ascii="Arial" w:hAnsi="Arial" w:cs="Arial"/>
          <w:sz w:val="24"/>
          <w:szCs w:val="24"/>
        </w:rPr>
        <w:t>mM)</w:t>
      </w:r>
      <w:r>
        <w:rPr>
          <w:rFonts w:ascii="Arial" w:hAnsi="Arial" w:cs="Arial"/>
          <w:sz w:val="24"/>
          <w:szCs w:val="24"/>
        </w:rPr>
        <w:t xml:space="preserve"> and then</w:t>
      </w:r>
      <w:r w:rsidRPr="000E2988">
        <w:rPr>
          <w:rFonts w:ascii="Arial" w:hAnsi="Arial" w:cs="Arial"/>
          <w:sz w:val="24"/>
          <w:szCs w:val="24"/>
        </w:rPr>
        <w:t xml:space="preserve"> transferred to a flat</w:t>
      </w:r>
      <w:r>
        <w:rPr>
          <w:rFonts w:ascii="Arial" w:hAnsi="Arial" w:cs="Arial"/>
          <w:sz w:val="24"/>
          <w:szCs w:val="24"/>
        </w:rPr>
        <w:t>-bottomed</w:t>
      </w:r>
      <w:r w:rsidRPr="000E2988">
        <w:rPr>
          <w:rFonts w:ascii="Arial" w:hAnsi="Arial" w:cs="Arial"/>
          <w:sz w:val="24"/>
          <w:szCs w:val="24"/>
        </w:rPr>
        <w:t xml:space="preserve"> transparent 96-well microplate (Greiner; </w:t>
      </w:r>
      <w:hyperlink r:id="rId7" w:history="1">
        <w:r w:rsidRPr="000E2988">
          <w:rPr>
            <w:rStyle w:val="lrzxr"/>
            <w:rFonts w:ascii="Arial" w:eastAsiaTheme="minorHAnsi" w:hAnsi="Arial" w:cs="Arial"/>
            <w:sz w:val="24"/>
            <w:szCs w:val="24"/>
          </w:rPr>
          <w:t>Kremsmünster</w:t>
        </w:r>
      </w:hyperlink>
      <w:r w:rsidRPr="000E2988">
        <w:rPr>
          <w:rStyle w:val="lrzxr"/>
          <w:rFonts w:ascii="Arial" w:eastAsiaTheme="minorHAnsi" w:hAnsi="Arial" w:cs="Arial"/>
          <w:sz w:val="24"/>
          <w:szCs w:val="24"/>
        </w:rPr>
        <w:t>, Austria</w:t>
      </w:r>
      <w:r w:rsidRPr="000E2988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after which</w:t>
      </w:r>
      <w:r w:rsidRPr="000E2988">
        <w:rPr>
          <w:rFonts w:ascii="Arial" w:hAnsi="Arial" w:cs="Arial"/>
          <w:sz w:val="24"/>
          <w:szCs w:val="24"/>
        </w:rPr>
        <w:t xml:space="preserve"> 200 nM hemin </w:t>
      </w:r>
      <w:r>
        <w:rPr>
          <w:rFonts w:ascii="Arial" w:hAnsi="Arial" w:cs="Arial"/>
          <w:sz w:val="24"/>
          <w:szCs w:val="24"/>
        </w:rPr>
        <w:t>was</w:t>
      </w:r>
      <w:r w:rsidRPr="000E2988">
        <w:rPr>
          <w:rFonts w:ascii="Arial" w:hAnsi="Arial" w:cs="Arial"/>
          <w:sz w:val="24"/>
          <w:szCs w:val="24"/>
        </w:rPr>
        <w:t xml:space="preserve"> added</w:t>
      </w:r>
      <w:r>
        <w:rPr>
          <w:rFonts w:ascii="Arial" w:hAnsi="Arial" w:cs="Arial"/>
          <w:sz w:val="24"/>
          <w:szCs w:val="24"/>
        </w:rPr>
        <w:t xml:space="preserve"> to each well (final reaction volume: 50</w:t>
      </w:r>
      <w:r w:rsidRPr="006C6497">
        <w:rPr>
          <w:rFonts w:ascii="Arial" w:hAnsi="Arial" w:cs="Arial"/>
          <w:sz w:val="24"/>
          <w:szCs w:val="24"/>
        </w:rPr>
        <w:t xml:space="preserve"> </w:t>
      </w:r>
      <w:r w:rsidRPr="006C6497">
        <w:rPr>
          <w:rFonts w:ascii="Arial" w:eastAsia="맑은 고딕" w:hAnsi="Arial" w:cs="Arial"/>
          <w:sz w:val="24"/>
          <w:szCs w:val="24"/>
        </w:rPr>
        <w:t>μ</w:t>
      </w:r>
      <w:r w:rsidRPr="006C649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)</w:t>
      </w:r>
      <w:r w:rsidRPr="000E2988">
        <w:rPr>
          <w:rFonts w:ascii="Arial" w:hAnsi="Arial" w:cs="Arial"/>
          <w:sz w:val="24"/>
          <w:szCs w:val="24"/>
        </w:rPr>
        <w:t>. The reaction</w:t>
      </w:r>
      <w:r>
        <w:rPr>
          <w:rFonts w:ascii="Arial" w:hAnsi="Arial" w:cs="Arial"/>
          <w:sz w:val="24"/>
          <w:szCs w:val="24"/>
        </w:rPr>
        <w:t>s</w:t>
      </w:r>
      <w:r w:rsidRPr="000E2988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ere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incuba</w:t>
      </w:r>
      <w:r w:rsidRPr="000E2988">
        <w:rPr>
          <w:rFonts w:ascii="Arial" w:hAnsi="Arial" w:cs="Arial"/>
          <w:sz w:val="24"/>
          <w:szCs w:val="24"/>
        </w:rPr>
        <w:t xml:space="preserve">ted at 25 </w:t>
      </w:r>
      <w:r w:rsidRPr="00DB694A">
        <w:rPr>
          <w:rFonts w:ascii="Times New Roman" w:eastAsia="맑은 고딕" w:hAnsi="Times New Roman" w:cs="Times New Roman"/>
          <w:sz w:val="24"/>
          <w:szCs w:val="24"/>
        </w:rPr>
        <w:t>℃</w:t>
      </w:r>
      <w:r w:rsidRPr="000E2988">
        <w:rPr>
          <w:rFonts w:ascii="Arial" w:hAnsi="Arial" w:cs="Arial"/>
          <w:sz w:val="24"/>
          <w:szCs w:val="24"/>
        </w:rPr>
        <w:t xml:space="preserve"> for 1 h. Absorbance increases </w:t>
      </w:r>
      <w:r>
        <w:rPr>
          <w:rFonts w:ascii="Arial" w:hAnsi="Arial" w:cs="Arial"/>
          <w:sz w:val="24"/>
          <w:szCs w:val="24"/>
        </w:rPr>
        <w:t xml:space="preserve">at </w:t>
      </w:r>
      <w:r w:rsidRPr="000E2988">
        <w:rPr>
          <w:rFonts w:ascii="Arial" w:hAnsi="Arial" w:cs="Arial"/>
          <w:sz w:val="24"/>
          <w:szCs w:val="24"/>
        </w:rPr>
        <w:t xml:space="preserve">418 nm were measured </w:t>
      </w:r>
      <w:r>
        <w:rPr>
          <w:rFonts w:ascii="Arial" w:hAnsi="Arial" w:cs="Arial"/>
          <w:sz w:val="24"/>
          <w:szCs w:val="24"/>
        </w:rPr>
        <w:t>with the</w:t>
      </w:r>
      <w:r w:rsidRPr="000E2988">
        <w:rPr>
          <w:rFonts w:ascii="Arial" w:hAnsi="Arial" w:cs="Arial"/>
          <w:sz w:val="24"/>
          <w:szCs w:val="24"/>
        </w:rPr>
        <w:t xml:space="preserve"> Spark 10M microplate reader, </w:t>
      </w:r>
      <w:r>
        <w:rPr>
          <w:rFonts w:ascii="Arial" w:hAnsi="Arial" w:cs="Arial"/>
          <w:sz w:val="24"/>
          <w:szCs w:val="24"/>
        </w:rPr>
        <w:t>with</w:t>
      </w:r>
      <w:r w:rsidRPr="000E2988">
        <w:rPr>
          <w:rFonts w:ascii="Arial" w:hAnsi="Arial" w:cs="Arial"/>
          <w:sz w:val="24"/>
          <w:szCs w:val="24"/>
        </w:rPr>
        <w:t xml:space="preserve"> experiment</w:t>
      </w:r>
      <w:r>
        <w:rPr>
          <w:rFonts w:ascii="Arial" w:hAnsi="Arial" w:cs="Arial"/>
          <w:sz w:val="24"/>
          <w:szCs w:val="24"/>
        </w:rPr>
        <w:t>s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performed in </w:t>
      </w:r>
      <w:r w:rsidRPr="000E2988">
        <w:rPr>
          <w:rFonts w:ascii="Arial" w:hAnsi="Arial" w:cs="Arial"/>
          <w:sz w:val="24"/>
          <w:szCs w:val="24"/>
        </w:rPr>
        <w:t>triplicate.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parallel, w</w:t>
      </w:r>
      <w:r w:rsidRPr="000E298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performed naked eye visualization of ABTS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>-associated color  change (green)</w:t>
      </w:r>
      <w:r w:rsidRPr="000E2988">
        <w:rPr>
          <w:rFonts w:ascii="Arial" w:hAnsi="Arial" w:cs="Arial"/>
          <w:sz w:val="24"/>
          <w:szCs w:val="24"/>
        </w:rPr>
        <w:t xml:space="preserve"> in 1.5 ml tube</w:t>
      </w:r>
      <w:r>
        <w:rPr>
          <w:rFonts w:ascii="Arial" w:hAnsi="Arial" w:cs="Arial"/>
          <w:sz w:val="24"/>
          <w:szCs w:val="24"/>
        </w:rPr>
        <w:t>s, in which we</w:t>
      </w:r>
      <w:r w:rsidRPr="000E2988">
        <w:rPr>
          <w:rFonts w:ascii="Arial" w:hAnsi="Arial" w:cs="Arial"/>
          <w:sz w:val="24"/>
          <w:szCs w:val="24"/>
        </w:rPr>
        <w:t xml:space="preserve"> compared ATP-assisted peroxidation </w:t>
      </w:r>
      <w:r>
        <w:rPr>
          <w:rFonts w:ascii="Arial" w:hAnsi="Arial" w:cs="Arial"/>
          <w:sz w:val="24"/>
          <w:szCs w:val="24"/>
        </w:rPr>
        <w:t xml:space="preserve">in a 100 </w:t>
      </w:r>
      <w:r w:rsidRPr="002A4A4A">
        <w:rPr>
          <w:rFonts w:ascii="Arial" w:eastAsia="맑은 고딕" w:hAnsi="Arial" w:cs="Arial"/>
          <w:sz w:val="24"/>
          <w:szCs w:val="24"/>
        </w:rPr>
        <w:t>μ</w:t>
      </w:r>
      <w:r w:rsidRPr="002A4A4A">
        <w:rPr>
          <w:rFonts w:ascii="Arial" w:hAnsi="Arial" w:cs="Arial"/>
          <w:sz w:val="24"/>
          <w:szCs w:val="24"/>
        </w:rPr>
        <w:t>l</w:t>
      </w:r>
      <w:r w:rsidRPr="000E2988">
        <w:rPr>
          <w:rFonts w:ascii="Arial" w:hAnsi="Arial" w:cs="Arial"/>
          <w:sz w:val="24"/>
          <w:szCs w:val="24"/>
        </w:rPr>
        <w:t xml:space="preserve"> sample</w:t>
      </w:r>
      <w:r>
        <w:rPr>
          <w:rFonts w:ascii="Arial" w:hAnsi="Arial" w:cs="Arial"/>
          <w:sz w:val="24"/>
          <w:szCs w:val="24"/>
        </w:rPr>
        <w:t xml:space="preserve"> </w:t>
      </w:r>
      <w:r w:rsidRPr="000E2988">
        <w:rPr>
          <w:rFonts w:ascii="Arial" w:hAnsi="Arial" w:cs="Arial"/>
          <w:sz w:val="24"/>
          <w:szCs w:val="24"/>
        </w:rPr>
        <w:t>with 6 mM ATP</w:t>
      </w:r>
      <w:r>
        <w:rPr>
          <w:rFonts w:ascii="Arial" w:hAnsi="Arial" w:cs="Arial"/>
          <w:sz w:val="24"/>
          <w:szCs w:val="24"/>
        </w:rPr>
        <w:t xml:space="preserve"> versus a</w:t>
      </w:r>
      <w:r w:rsidRPr="000E2988">
        <w:rPr>
          <w:rFonts w:ascii="Arial" w:hAnsi="Arial" w:cs="Arial"/>
          <w:sz w:val="24"/>
          <w:szCs w:val="24"/>
        </w:rPr>
        <w:t xml:space="preserve"> negative control without ATP, </w:t>
      </w:r>
      <w:r>
        <w:rPr>
          <w:rFonts w:ascii="Arial" w:hAnsi="Arial" w:cs="Arial"/>
          <w:sz w:val="24"/>
          <w:szCs w:val="24"/>
        </w:rPr>
        <w:t xml:space="preserve">with results </w:t>
      </w:r>
      <w:r w:rsidRPr="000E2988">
        <w:rPr>
          <w:rFonts w:ascii="Arial" w:hAnsi="Arial" w:cs="Arial"/>
          <w:sz w:val="24"/>
          <w:szCs w:val="24"/>
        </w:rPr>
        <w:t xml:space="preserve">recorded by </w:t>
      </w:r>
      <w:r>
        <w:rPr>
          <w:rFonts w:ascii="Arial" w:hAnsi="Arial" w:cs="Arial"/>
          <w:sz w:val="24"/>
          <w:szCs w:val="24"/>
        </w:rPr>
        <w:t xml:space="preserve">the </w:t>
      </w:r>
      <w:r w:rsidRPr="000E2988">
        <w:rPr>
          <w:rFonts w:ascii="Arial" w:hAnsi="Arial" w:cs="Arial"/>
          <w:sz w:val="24"/>
          <w:szCs w:val="24"/>
        </w:rPr>
        <w:t xml:space="preserve">digital camera of </w:t>
      </w:r>
      <w:r>
        <w:rPr>
          <w:rFonts w:ascii="Arial" w:hAnsi="Arial" w:cs="Arial"/>
          <w:sz w:val="24"/>
          <w:szCs w:val="24"/>
        </w:rPr>
        <w:t xml:space="preserve">a </w:t>
      </w:r>
      <w:r w:rsidRPr="000E2988">
        <w:rPr>
          <w:rFonts w:ascii="Arial" w:hAnsi="Arial" w:cs="Arial"/>
          <w:sz w:val="24"/>
          <w:szCs w:val="24"/>
        </w:rPr>
        <w:t>Samsung Galaxy S9+</w:t>
      </w:r>
      <w:r>
        <w:rPr>
          <w:rFonts w:ascii="Arial" w:hAnsi="Arial" w:cs="Arial"/>
          <w:sz w:val="24"/>
          <w:szCs w:val="24"/>
        </w:rPr>
        <w:t xml:space="preserve"> smartphone.</w:t>
      </w:r>
    </w:p>
    <w:p w:rsidR="007A18E9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7A18E9" w:rsidRPr="008B31E0" w:rsidRDefault="001E55D3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</w:t>
      </w:r>
      <w:r w:rsidR="007A18E9" w:rsidRPr="008B31E0">
        <w:rPr>
          <w:rFonts w:ascii="Arial" w:hAnsi="Arial" w:cs="Arial" w:hint="eastAsia"/>
          <w:b/>
          <w:sz w:val="24"/>
          <w:szCs w:val="24"/>
        </w:rPr>
        <w:t>T</w:t>
      </w:r>
      <w:r w:rsidR="007A18E9" w:rsidRPr="008B31E0">
        <w:rPr>
          <w:rFonts w:ascii="Arial" w:hAnsi="Arial" w:cs="Arial"/>
          <w:b/>
          <w:sz w:val="24"/>
          <w:szCs w:val="24"/>
        </w:rPr>
        <w:t xml:space="preserve">uning </w:t>
      </w:r>
      <w:r w:rsidR="007A18E9">
        <w:rPr>
          <w:rFonts w:ascii="Arial" w:hAnsi="Arial" w:cs="Arial"/>
          <w:b/>
          <w:sz w:val="24"/>
          <w:szCs w:val="24"/>
        </w:rPr>
        <w:t>target detection range of the DDM</w:t>
      </w:r>
    </w:p>
    <w:p w:rsidR="007A18E9" w:rsidRPr="000E2988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prepared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samples of 100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n</w:t>
      </w:r>
      <w:r w:rsidRPr="000E2988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DMRD</w:t>
      </w:r>
      <w:r w:rsidRPr="000E2988">
        <w:rPr>
          <w:rFonts w:ascii="Arial" w:hAnsi="Arial" w:cs="Arial"/>
          <w:sz w:val="24"/>
          <w:szCs w:val="24"/>
        </w:rPr>
        <w:t xml:space="preserve"> in 1X ATPBB</w:t>
      </w:r>
      <w:r>
        <w:rPr>
          <w:rFonts w:ascii="Arial" w:hAnsi="Arial" w:cs="Arial"/>
          <w:sz w:val="24"/>
          <w:szCs w:val="24"/>
        </w:rPr>
        <w:t>, and then added 150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n</w:t>
      </w:r>
      <w:r w:rsidRPr="000E2988">
        <w:rPr>
          <w:rFonts w:ascii="Arial" w:hAnsi="Arial" w:cs="Arial"/>
          <w:sz w:val="24"/>
          <w:szCs w:val="24"/>
        </w:rPr>
        <w:t>M</w:t>
      </w:r>
      <w:r w:rsidDel="00581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an antisense DNA (AD11</w:t>
      </w:r>
      <w:r>
        <w:rPr>
          <w:rFonts w:ascii="Arial" w:hAnsi="Arial" w:cs="Arial"/>
          <w:sz w:val="24"/>
          <w:szCs w:val="24"/>
        </w:rPr>
        <w:softHyphen/>
        <w:t>–18) to each reaction (final volume: 10</w:t>
      </w:r>
      <w:r w:rsidRPr="006C6497">
        <w:rPr>
          <w:rFonts w:ascii="Arial" w:hAnsi="Arial" w:cs="Arial"/>
          <w:sz w:val="24"/>
          <w:szCs w:val="24"/>
        </w:rPr>
        <w:t xml:space="preserve">0 </w:t>
      </w:r>
      <w:r w:rsidRPr="006C6497">
        <w:rPr>
          <w:rFonts w:ascii="Arial" w:eastAsia="맑은 고딕" w:hAnsi="Arial" w:cs="Arial"/>
          <w:sz w:val="24"/>
          <w:szCs w:val="24"/>
        </w:rPr>
        <w:t>μ</w:t>
      </w:r>
      <w:r w:rsidRPr="006C649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). Samples were then heated to</w:t>
      </w:r>
      <w:r w:rsidRPr="000E2988">
        <w:rPr>
          <w:rFonts w:ascii="Arial" w:hAnsi="Arial" w:cs="Arial"/>
          <w:sz w:val="24"/>
          <w:szCs w:val="24"/>
        </w:rPr>
        <w:t xml:space="preserve"> 95 </w:t>
      </w:r>
      <w:r w:rsidRPr="007E61C2">
        <w:rPr>
          <w:rFonts w:ascii="Times New Roman" w:eastAsia="맑은 고딕" w:hAnsi="Times New Roman" w:cs="Times New Roman"/>
          <w:sz w:val="24"/>
          <w:szCs w:val="24"/>
        </w:rPr>
        <w:t>℃</w:t>
      </w:r>
      <w:r>
        <w:rPr>
          <w:rFonts w:ascii="Arial" w:eastAsiaTheme="minorHAnsi" w:hAnsi="Arial" w:cs="Arial"/>
          <w:sz w:val="24"/>
          <w:szCs w:val="24"/>
        </w:rPr>
        <w:t xml:space="preserve"> for</w:t>
      </w:r>
      <w:r w:rsidRPr="000E2988">
        <w:rPr>
          <w:rFonts w:ascii="Arial" w:eastAsiaTheme="minorHAnsi" w:hAnsi="Arial" w:cs="Arial"/>
          <w:sz w:val="24"/>
          <w:szCs w:val="24"/>
        </w:rPr>
        <w:t xml:space="preserve"> 10 min </w:t>
      </w:r>
      <w:r>
        <w:rPr>
          <w:rFonts w:ascii="Arial" w:eastAsiaTheme="minorHAnsi" w:hAnsi="Arial" w:cs="Arial"/>
          <w:sz w:val="24"/>
          <w:szCs w:val="24"/>
        </w:rPr>
        <w:t>followed by</w:t>
      </w:r>
      <w:r w:rsidRPr="000E2988">
        <w:rPr>
          <w:rFonts w:ascii="Arial" w:eastAsiaTheme="minorHAnsi" w:hAnsi="Arial" w:cs="Arial"/>
          <w:sz w:val="24"/>
          <w:szCs w:val="24"/>
        </w:rPr>
        <w:t xml:space="preserve"> ice-quenching</w:t>
      </w:r>
      <w:r>
        <w:rPr>
          <w:rFonts w:ascii="Arial" w:eastAsiaTheme="minorHAnsi" w:hAnsi="Arial" w:cs="Arial"/>
          <w:sz w:val="24"/>
          <w:szCs w:val="24"/>
        </w:rPr>
        <w:t xml:space="preserve"> for 10 min, and finally</w:t>
      </w:r>
      <w:r w:rsidRPr="000E2988">
        <w:rPr>
          <w:rFonts w:ascii="Arial" w:eastAsiaTheme="minorHAnsi" w:hAnsi="Arial" w:cs="Arial"/>
          <w:sz w:val="24"/>
          <w:szCs w:val="24"/>
        </w:rPr>
        <w:t xml:space="preserve"> 10 min at room temperature.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0E2988">
        <w:rPr>
          <w:rFonts w:ascii="Arial" w:eastAsiaTheme="minorHAnsi" w:hAnsi="Arial" w:cs="Arial"/>
          <w:sz w:val="24"/>
          <w:szCs w:val="24"/>
        </w:rPr>
        <w:t xml:space="preserve">All samples were challenged with </w:t>
      </w:r>
      <w:r w:rsidRPr="000E2988">
        <w:rPr>
          <w:rFonts w:ascii="Arial" w:hAnsi="Arial" w:cs="Arial"/>
          <w:sz w:val="24"/>
          <w:szCs w:val="24"/>
        </w:rPr>
        <w:t>varying ATP concentrations (0</w:t>
      </w:r>
      <w:r>
        <w:rPr>
          <w:rFonts w:ascii="Arial" w:hAnsi="Arial" w:cs="Arial"/>
          <w:sz w:val="24"/>
          <w:szCs w:val="24"/>
        </w:rPr>
        <w:t>–</w:t>
      </w:r>
      <w:r w:rsidRPr="000E298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</w:t>
      </w:r>
      <w:r w:rsidRPr="000E2988">
        <w:rPr>
          <w:rFonts w:ascii="Arial" w:hAnsi="Arial" w:cs="Arial"/>
          <w:sz w:val="24"/>
          <w:szCs w:val="24"/>
        </w:rPr>
        <w:t xml:space="preserve">000 </w:t>
      </w:r>
      <w:r w:rsidRPr="000E2988">
        <w:rPr>
          <w:rFonts w:ascii="Arial" w:eastAsiaTheme="minorHAnsi" w:hAnsi="Arial" w:cs="Arial"/>
          <w:sz w:val="24"/>
          <w:szCs w:val="24"/>
        </w:rPr>
        <w:t>μ</w:t>
      </w:r>
      <w:r w:rsidRPr="000E2988">
        <w:rPr>
          <w:rFonts w:ascii="Arial" w:hAnsi="Arial" w:cs="Arial"/>
          <w:sz w:val="24"/>
          <w:szCs w:val="24"/>
        </w:rPr>
        <w:t xml:space="preserve">M) and incubated for 30 min at 25 </w:t>
      </w:r>
      <w:r w:rsidRPr="004E3F09">
        <w:rPr>
          <w:rFonts w:ascii="Times New Roman" w:eastAsia="맑은 고딕" w:hAnsi="Times New Roman" w:cs="Times New Roman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 xml:space="preserve">, and then transferred to a flat-bottomed black 96-well microplate </w:t>
      </w:r>
      <w:r w:rsidRPr="000E2988">
        <w:rPr>
          <w:rFonts w:ascii="Arial" w:hAnsi="Arial" w:cs="Arial"/>
          <w:sz w:val="24"/>
          <w:szCs w:val="24"/>
        </w:rPr>
        <w:t xml:space="preserve">(Greiner; </w:t>
      </w:r>
      <w:hyperlink r:id="rId8" w:history="1">
        <w:r w:rsidRPr="000E2988">
          <w:rPr>
            <w:rStyle w:val="lrzxr"/>
            <w:rFonts w:ascii="Arial" w:eastAsiaTheme="minorHAnsi" w:hAnsi="Arial" w:cs="Arial"/>
            <w:sz w:val="24"/>
            <w:szCs w:val="24"/>
          </w:rPr>
          <w:t>Kremsmünster</w:t>
        </w:r>
      </w:hyperlink>
      <w:r w:rsidRPr="000E2988">
        <w:rPr>
          <w:rStyle w:val="lrzxr"/>
          <w:rFonts w:ascii="Arial" w:eastAsiaTheme="minorHAnsi" w:hAnsi="Arial" w:cs="Arial"/>
          <w:sz w:val="24"/>
          <w:szCs w:val="24"/>
        </w:rPr>
        <w:t>, Austria</w:t>
      </w:r>
      <w:r w:rsidRPr="000E298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Fluorescence signals</w:t>
      </w:r>
      <w:r w:rsidRPr="000E2988">
        <w:rPr>
          <w:rFonts w:ascii="Arial" w:hAnsi="Arial" w:cs="Arial"/>
          <w:sz w:val="24"/>
          <w:szCs w:val="24"/>
        </w:rPr>
        <w:t xml:space="preserve"> were monitored by Spark 10M microplate reader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0E2988">
        <w:rPr>
          <w:rFonts w:ascii="Arial" w:hAnsi="Arial" w:cs="Arial"/>
          <w:sz w:val="24"/>
          <w:szCs w:val="24"/>
        </w:rPr>
        <w:t xml:space="preserve">following settings: excitation = 485 nm, emission = 535 nm, </w:t>
      </w:r>
      <w:r>
        <w:rPr>
          <w:rFonts w:ascii="Arial" w:hAnsi="Arial" w:cs="Arial"/>
          <w:sz w:val="24"/>
          <w:szCs w:val="24"/>
        </w:rPr>
        <w:t>i</w:t>
      </w:r>
      <w:r w:rsidRPr="000E2988">
        <w:rPr>
          <w:rFonts w:ascii="Arial" w:hAnsi="Arial" w:cs="Arial"/>
          <w:sz w:val="24"/>
          <w:szCs w:val="24"/>
        </w:rPr>
        <w:t xml:space="preserve">ntegration time = 40 </w:t>
      </w:r>
      <w:r w:rsidRPr="000E2988">
        <w:rPr>
          <w:rFonts w:ascii="Arial" w:eastAsiaTheme="minorHAnsi" w:hAnsi="Arial" w:cs="Arial"/>
          <w:sz w:val="24"/>
          <w:szCs w:val="24"/>
        </w:rPr>
        <w:t>μ</w:t>
      </w:r>
      <w:r w:rsidRPr="000E2988">
        <w:rPr>
          <w:rFonts w:ascii="Arial" w:hAnsi="Arial" w:cs="Arial"/>
          <w:sz w:val="24"/>
          <w:szCs w:val="24"/>
        </w:rPr>
        <w:t xml:space="preserve">s. This experiment was </w:t>
      </w:r>
      <w:r>
        <w:rPr>
          <w:rFonts w:ascii="Arial" w:hAnsi="Arial" w:cs="Arial"/>
          <w:sz w:val="24"/>
          <w:szCs w:val="24"/>
        </w:rPr>
        <w:t>performed in triplicate</w:t>
      </w:r>
      <w:r w:rsidRPr="000E2988">
        <w:rPr>
          <w:rFonts w:ascii="Arial" w:hAnsi="Arial" w:cs="Arial"/>
          <w:sz w:val="24"/>
          <w:szCs w:val="24"/>
        </w:rPr>
        <w:t>.</w:t>
      </w:r>
    </w:p>
    <w:p w:rsidR="007A18E9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  <w:r w:rsidRPr="000E2988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tested DDM</w:t>
      </w:r>
      <w:r w:rsidRPr="000E2988">
        <w:rPr>
          <w:rFonts w:ascii="Arial" w:hAnsi="Arial" w:cs="Arial"/>
          <w:sz w:val="24"/>
          <w:szCs w:val="24"/>
        </w:rPr>
        <w:t xml:space="preserve"> selectivity in </w:t>
      </w:r>
      <w:r>
        <w:rPr>
          <w:rFonts w:ascii="Arial" w:hAnsi="Arial" w:cs="Arial"/>
          <w:sz w:val="24"/>
          <w:szCs w:val="24"/>
        </w:rPr>
        <w:t xml:space="preserve">the </w:t>
      </w:r>
      <w:r w:rsidRPr="000E2988">
        <w:rPr>
          <w:rFonts w:ascii="Arial" w:hAnsi="Arial" w:cs="Arial"/>
          <w:sz w:val="24"/>
          <w:szCs w:val="24"/>
        </w:rPr>
        <w:t xml:space="preserve">presence of </w:t>
      </w:r>
      <w:r>
        <w:rPr>
          <w:rFonts w:ascii="Arial" w:hAnsi="Arial" w:cs="Arial"/>
          <w:sz w:val="24"/>
          <w:szCs w:val="24"/>
        </w:rPr>
        <w:t>AD</w:t>
      </w:r>
      <w:r w:rsidRPr="000E298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 with the reaction conditions and heat-treatment described above. T</w:t>
      </w:r>
      <w:r w:rsidRPr="000E2988">
        <w:rPr>
          <w:rFonts w:ascii="Arial" w:hAnsi="Arial" w:cs="Arial"/>
          <w:sz w:val="24"/>
          <w:szCs w:val="24"/>
        </w:rPr>
        <w:t>he concentration of ATP</w:t>
      </w:r>
      <w:r>
        <w:rPr>
          <w:rFonts w:ascii="Arial" w:hAnsi="Arial" w:cs="Arial"/>
          <w:sz w:val="24"/>
          <w:szCs w:val="24"/>
        </w:rPr>
        <w:t xml:space="preserve">, </w:t>
      </w:r>
      <w:r w:rsidRPr="000E2988">
        <w:rPr>
          <w:rFonts w:ascii="Arial" w:hAnsi="Arial" w:cs="Arial"/>
          <w:sz w:val="24"/>
          <w:szCs w:val="24"/>
        </w:rPr>
        <w:t xml:space="preserve">ADP, AMP, </w:t>
      </w:r>
      <w:r>
        <w:rPr>
          <w:rFonts w:ascii="Arial" w:hAnsi="Arial" w:cs="Arial"/>
          <w:sz w:val="24"/>
          <w:szCs w:val="24"/>
        </w:rPr>
        <w:t>a</w:t>
      </w:r>
      <w:r w:rsidRPr="000E2988">
        <w:rPr>
          <w:rFonts w:ascii="Arial" w:hAnsi="Arial" w:cs="Arial"/>
          <w:sz w:val="24"/>
          <w:szCs w:val="24"/>
        </w:rPr>
        <w:t xml:space="preserve">denosine, GTP, CTP, </w:t>
      </w:r>
      <w:r>
        <w:rPr>
          <w:rFonts w:ascii="Arial" w:hAnsi="Arial" w:cs="Arial"/>
          <w:sz w:val="24"/>
          <w:szCs w:val="24"/>
        </w:rPr>
        <w:t>or</w:t>
      </w:r>
      <w:r w:rsidRPr="000E2988">
        <w:rPr>
          <w:rFonts w:ascii="Arial" w:hAnsi="Arial" w:cs="Arial"/>
          <w:sz w:val="24"/>
          <w:szCs w:val="24"/>
        </w:rPr>
        <w:t xml:space="preserve"> UTP w</w:t>
      </w:r>
      <w:r>
        <w:rPr>
          <w:rFonts w:ascii="Arial" w:hAnsi="Arial" w:cs="Arial"/>
          <w:sz w:val="24"/>
          <w:szCs w:val="24"/>
        </w:rPr>
        <w:t>as</w:t>
      </w:r>
      <w:r w:rsidRPr="000E2988">
        <w:rPr>
          <w:rFonts w:ascii="Arial" w:hAnsi="Arial" w:cs="Arial"/>
          <w:sz w:val="24"/>
          <w:szCs w:val="24"/>
        </w:rPr>
        <w:t xml:space="preserve"> 1 mM. </w:t>
      </w:r>
      <w:r>
        <w:rPr>
          <w:rFonts w:ascii="Arial" w:hAnsi="Arial" w:cs="Arial"/>
          <w:sz w:val="24"/>
          <w:szCs w:val="24"/>
        </w:rPr>
        <w:t>F</w:t>
      </w:r>
      <w:r w:rsidRPr="000E2988">
        <w:rPr>
          <w:rFonts w:ascii="Arial" w:hAnsi="Arial" w:cs="Arial"/>
          <w:sz w:val="24"/>
          <w:szCs w:val="24"/>
        </w:rPr>
        <w:t>luorescen</w:t>
      </w:r>
      <w:r>
        <w:rPr>
          <w:rFonts w:ascii="Arial" w:hAnsi="Arial" w:cs="Arial"/>
          <w:sz w:val="24"/>
          <w:szCs w:val="24"/>
        </w:rPr>
        <w:t>ce</w:t>
      </w:r>
      <w:r w:rsidRPr="000E2988">
        <w:rPr>
          <w:rFonts w:ascii="Arial" w:hAnsi="Arial" w:cs="Arial"/>
          <w:sz w:val="24"/>
          <w:szCs w:val="24"/>
        </w:rPr>
        <w:t xml:space="preserve"> signals were monitored by Spark 10M microplate reader, </w:t>
      </w:r>
      <w:r>
        <w:rPr>
          <w:rFonts w:ascii="Arial" w:hAnsi="Arial" w:cs="Arial"/>
          <w:sz w:val="24"/>
          <w:szCs w:val="24"/>
        </w:rPr>
        <w:t>with</w:t>
      </w:r>
      <w:r w:rsidRPr="000E2988">
        <w:rPr>
          <w:rFonts w:ascii="Arial" w:hAnsi="Arial" w:cs="Arial"/>
          <w:sz w:val="24"/>
          <w:szCs w:val="24"/>
        </w:rPr>
        <w:t xml:space="preserve"> experiment</w:t>
      </w:r>
      <w:r>
        <w:rPr>
          <w:rFonts w:ascii="Arial" w:hAnsi="Arial" w:cs="Arial"/>
          <w:sz w:val="24"/>
          <w:szCs w:val="24"/>
        </w:rPr>
        <w:t xml:space="preserve">s performed in </w:t>
      </w:r>
      <w:r w:rsidRPr="000E2988">
        <w:rPr>
          <w:rFonts w:ascii="Arial" w:hAnsi="Arial" w:cs="Arial"/>
          <w:sz w:val="24"/>
          <w:szCs w:val="24"/>
        </w:rPr>
        <w:t>quadruplicate.</w:t>
      </w:r>
    </w:p>
    <w:p w:rsidR="007A18E9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7A18E9" w:rsidRPr="008B31E0" w:rsidRDefault="001E55D3" w:rsidP="007A18E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</w:t>
      </w:r>
      <w:r w:rsidR="007A18E9" w:rsidRPr="008B31E0">
        <w:rPr>
          <w:rFonts w:ascii="Arial" w:hAnsi="Arial" w:cs="Arial" w:hint="eastAsia"/>
          <w:b/>
          <w:sz w:val="24"/>
          <w:szCs w:val="24"/>
        </w:rPr>
        <w:t>T</w:t>
      </w:r>
      <w:r w:rsidR="007A18E9" w:rsidRPr="008B31E0">
        <w:rPr>
          <w:rFonts w:ascii="Arial" w:hAnsi="Arial" w:cs="Arial"/>
          <w:b/>
          <w:sz w:val="24"/>
          <w:szCs w:val="24"/>
        </w:rPr>
        <w:t>uning ta</w:t>
      </w:r>
      <w:r w:rsidR="007A18E9">
        <w:rPr>
          <w:rFonts w:ascii="Arial" w:hAnsi="Arial" w:cs="Arial"/>
          <w:b/>
          <w:sz w:val="24"/>
          <w:szCs w:val="24"/>
        </w:rPr>
        <w:t>rget detection range of the EDM</w:t>
      </w:r>
    </w:p>
    <w:p w:rsidR="007A18E9" w:rsidRPr="000E2988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prepared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multiple sets of </w:t>
      </w:r>
      <w:r w:rsidRPr="000E2988">
        <w:rPr>
          <w:rFonts w:ascii="Arial" w:hAnsi="Arial" w:cs="Arial"/>
          <w:sz w:val="24"/>
          <w:szCs w:val="24"/>
        </w:rPr>
        <w:t xml:space="preserve">eight experimental </w:t>
      </w:r>
      <w:r>
        <w:rPr>
          <w:rFonts w:ascii="Arial" w:hAnsi="Arial" w:cs="Arial"/>
          <w:sz w:val="24"/>
          <w:szCs w:val="24"/>
        </w:rPr>
        <w:t>samples (volume: 50</w:t>
      </w:r>
      <w:r w:rsidRPr="006C6497">
        <w:rPr>
          <w:rFonts w:ascii="Arial" w:hAnsi="Arial" w:cs="Arial"/>
          <w:sz w:val="24"/>
          <w:szCs w:val="24"/>
        </w:rPr>
        <w:t xml:space="preserve"> </w:t>
      </w:r>
      <w:r w:rsidRPr="006C6497">
        <w:rPr>
          <w:rFonts w:ascii="Arial" w:eastAsia="맑은 고딕" w:hAnsi="Arial" w:cs="Arial"/>
          <w:sz w:val="24"/>
          <w:szCs w:val="24"/>
        </w:rPr>
        <w:t>μ</w:t>
      </w:r>
      <w:r w:rsidRPr="006C649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) containing 100 nM DMRD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1X ATPRB</w:t>
      </w:r>
      <w:r w:rsidRPr="000E2988">
        <w:rPr>
          <w:rFonts w:ascii="Arial" w:hAnsi="Arial" w:cs="Arial"/>
          <w:sz w:val="24"/>
          <w:szCs w:val="24"/>
        </w:rPr>
        <w:t xml:space="preserve"> with varying Tris concentrations (20 mM</w:t>
      </w:r>
      <w:r>
        <w:rPr>
          <w:rFonts w:ascii="Arial" w:hAnsi="Arial" w:cs="Arial"/>
          <w:sz w:val="24"/>
          <w:szCs w:val="24"/>
        </w:rPr>
        <w:t>–2.1 M</w:t>
      </w:r>
      <w:r w:rsidRPr="000E2988">
        <w:rPr>
          <w:rFonts w:ascii="Arial" w:hAnsi="Arial" w:cs="Arial"/>
          <w:sz w:val="24"/>
          <w:szCs w:val="24"/>
        </w:rPr>
        <w:t xml:space="preserve">). After incubation at 25 </w:t>
      </w:r>
      <w:r>
        <w:rPr>
          <w:rFonts w:ascii="Times New Roman" w:hAnsi="Times New Roman" w:cs="Times New Roman"/>
          <w:sz w:val="24"/>
          <w:szCs w:val="24"/>
        </w:rPr>
        <w:t>℃</w:t>
      </w:r>
      <w:r w:rsidRPr="000E2988">
        <w:rPr>
          <w:rFonts w:ascii="Arial" w:hAnsi="Arial" w:cs="Arial"/>
          <w:sz w:val="24"/>
          <w:szCs w:val="24"/>
        </w:rPr>
        <w:t xml:space="preserve"> for 10 min, each</w:t>
      </w:r>
      <w:r>
        <w:rPr>
          <w:rFonts w:ascii="Arial" w:hAnsi="Arial" w:cs="Arial"/>
          <w:sz w:val="24"/>
          <w:szCs w:val="24"/>
        </w:rPr>
        <w:t xml:space="preserve"> set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samples</w:t>
      </w:r>
      <w:r w:rsidRPr="000E2988">
        <w:rPr>
          <w:rFonts w:ascii="Arial" w:hAnsi="Arial" w:cs="Arial"/>
          <w:sz w:val="24"/>
          <w:szCs w:val="24"/>
        </w:rPr>
        <w:t xml:space="preserve"> was challenged with varying ATP </w:t>
      </w:r>
      <w:r w:rsidRPr="000E2988">
        <w:rPr>
          <w:rFonts w:ascii="Arial" w:hAnsi="Arial" w:cs="Arial"/>
          <w:sz w:val="24"/>
          <w:szCs w:val="24"/>
        </w:rPr>
        <w:lastRenderedPageBreak/>
        <w:t>concentrations (1</w:t>
      </w:r>
      <w:r>
        <w:rPr>
          <w:rFonts w:ascii="Arial" w:hAnsi="Arial" w:cs="Arial"/>
          <w:sz w:val="24"/>
          <w:szCs w:val="24"/>
        </w:rPr>
        <w:t>–</w:t>
      </w:r>
      <w:r w:rsidRPr="000E2988">
        <w:rPr>
          <w:rFonts w:ascii="Arial" w:hAnsi="Arial" w:cs="Arial"/>
          <w:sz w:val="24"/>
          <w:szCs w:val="24"/>
        </w:rPr>
        <w:t>720 mM)</w:t>
      </w:r>
      <w:r>
        <w:rPr>
          <w:rFonts w:ascii="Arial" w:hAnsi="Arial" w:cs="Arial"/>
          <w:sz w:val="24"/>
          <w:szCs w:val="24"/>
        </w:rPr>
        <w:t>, after which 200 nM hemin was added.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0E2988">
        <w:rPr>
          <w:rFonts w:ascii="Arial" w:hAnsi="Arial" w:cs="Arial"/>
          <w:sz w:val="24"/>
          <w:szCs w:val="24"/>
        </w:rPr>
        <w:t xml:space="preserve">The reaction was </w:t>
      </w:r>
      <w:r>
        <w:rPr>
          <w:rFonts w:ascii="Arial" w:hAnsi="Arial" w:cs="Arial"/>
          <w:sz w:val="24"/>
          <w:szCs w:val="24"/>
        </w:rPr>
        <w:t>incubat</w:t>
      </w:r>
      <w:r w:rsidRPr="000E2988">
        <w:rPr>
          <w:rFonts w:ascii="Arial" w:hAnsi="Arial" w:cs="Arial"/>
          <w:sz w:val="24"/>
          <w:szCs w:val="24"/>
        </w:rPr>
        <w:t xml:space="preserve">ed at </w:t>
      </w:r>
      <w:r>
        <w:rPr>
          <w:rFonts w:ascii="Arial" w:hAnsi="Arial" w:cs="Arial"/>
          <w:sz w:val="24"/>
          <w:szCs w:val="24"/>
        </w:rPr>
        <w:t>room temperature</w:t>
      </w:r>
      <w:r w:rsidRPr="00F43354">
        <w:rPr>
          <w:rFonts w:ascii="Arial" w:hAnsi="Arial" w:cs="Arial"/>
          <w:sz w:val="24"/>
          <w:szCs w:val="24"/>
        </w:rPr>
        <w:t xml:space="preserve"> for 1</w:t>
      </w:r>
      <w:r>
        <w:rPr>
          <w:rFonts w:ascii="Arial" w:hAnsi="Arial" w:cs="Arial"/>
          <w:sz w:val="24"/>
          <w:szCs w:val="24"/>
        </w:rPr>
        <w:t xml:space="preserve"> h</w:t>
      </w:r>
      <w:r w:rsidRPr="000E2988">
        <w:rPr>
          <w:rFonts w:ascii="Arial" w:hAnsi="Arial" w:cs="Arial"/>
          <w:sz w:val="24"/>
          <w:szCs w:val="24"/>
        </w:rPr>
        <w:t xml:space="preserve">. The increase of absorbance </w:t>
      </w:r>
      <w:r>
        <w:rPr>
          <w:rFonts w:ascii="Arial" w:hAnsi="Arial" w:cs="Arial"/>
          <w:sz w:val="24"/>
          <w:szCs w:val="24"/>
        </w:rPr>
        <w:t xml:space="preserve">at </w:t>
      </w:r>
      <w:r w:rsidRPr="000E2988">
        <w:rPr>
          <w:rFonts w:ascii="Arial" w:hAnsi="Arial" w:cs="Arial"/>
          <w:sz w:val="24"/>
          <w:szCs w:val="24"/>
        </w:rPr>
        <w:t>418 nm was measured by Spark 10M microplate reader</w:t>
      </w:r>
      <w:r>
        <w:rPr>
          <w:rFonts w:ascii="Arial" w:hAnsi="Arial" w:cs="Arial"/>
          <w:sz w:val="24"/>
          <w:szCs w:val="24"/>
        </w:rPr>
        <w:t>, with experiments performed in triplicate</w:t>
      </w:r>
      <w:r w:rsidRPr="000E2988">
        <w:rPr>
          <w:rFonts w:ascii="Arial" w:hAnsi="Arial" w:cs="Arial"/>
          <w:sz w:val="24"/>
          <w:szCs w:val="24"/>
        </w:rPr>
        <w:t>.</w:t>
      </w:r>
    </w:p>
    <w:p w:rsidR="007A18E9" w:rsidRDefault="007A18E9" w:rsidP="007A18E9">
      <w:pPr>
        <w:spacing w:line="360" w:lineRule="auto"/>
        <w:rPr>
          <w:rFonts w:ascii="Arial" w:hAnsi="Arial" w:cs="Arial"/>
          <w:sz w:val="24"/>
          <w:szCs w:val="24"/>
        </w:rPr>
      </w:pPr>
      <w:r w:rsidRPr="000E2988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tested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EDM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selectivity </w:t>
      </w:r>
      <w:r w:rsidRPr="000E2988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 mM Tris reaction conditions as described above, where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 w:rsidRPr="000E2988">
        <w:rPr>
          <w:rFonts w:ascii="Arial" w:hAnsi="Arial" w:cs="Arial"/>
          <w:sz w:val="24"/>
          <w:szCs w:val="24"/>
        </w:rPr>
        <w:t xml:space="preserve"> ATP analogue</w:t>
      </w:r>
      <w:r>
        <w:rPr>
          <w:rFonts w:ascii="Arial" w:hAnsi="Arial" w:cs="Arial"/>
          <w:sz w:val="24"/>
          <w:szCs w:val="24"/>
        </w:rPr>
        <w:t xml:space="preserve"> was present at</w:t>
      </w:r>
      <w:r w:rsidRPr="000E2988">
        <w:rPr>
          <w:rFonts w:ascii="Arial" w:hAnsi="Arial" w:cs="Arial"/>
          <w:sz w:val="24"/>
          <w:szCs w:val="24"/>
        </w:rPr>
        <w:t xml:space="preserve"> 3 mM. </w:t>
      </w:r>
      <w:r>
        <w:rPr>
          <w:rFonts w:ascii="Arial" w:hAnsi="Arial" w:cs="Arial"/>
          <w:sz w:val="24"/>
          <w:szCs w:val="24"/>
        </w:rPr>
        <w:t xml:space="preserve">Absorbance was monitored at </w:t>
      </w:r>
      <w:r w:rsidRPr="000E2988">
        <w:rPr>
          <w:rFonts w:ascii="Arial" w:hAnsi="Arial" w:cs="Arial"/>
          <w:sz w:val="24"/>
          <w:szCs w:val="24"/>
        </w:rPr>
        <w:t xml:space="preserve">418 nm by Spark 10M microplate reader, </w:t>
      </w:r>
      <w:r>
        <w:rPr>
          <w:rFonts w:ascii="Arial" w:hAnsi="Arial" w:cs="Arial"/>
          <w:sz w:val="24"/>
          <w:szCs w:val="24"/>
        </w:rPr>
        <w:t>with</w:t>
      </w:r>
      <w:r w:rsidRPr="000E2988">
        <w:rPr>
          <w:rFonts w:ascii="Arial" w:hAnsi="Arial" w:cs="Arial"/>
          <w:sz w:val="24"/>
          <w:szCs w:val="24"/>
        </w:rPr>
        <w:t xml:space="preserve"> experiment</w:t>
      </w:r>
      <w:r>
        <w:rPr>
          <w:rFonts w:ascii="Arial" w:hAnsi="Arial" w:cs="Arial"/>
          <w:sz w:val="24"/>
          <w:szCs w:val="24"/>
        </w:rPr>
        <w:t>s</w:t>
      </w:r>
      <w:r w:rsidRPr="000E2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performed in</w:t>
      </w:r>
      <w:r w:rsidRPr="000E2988">
        <w:rPr>
          <w:rFonts w:ascii="Arial" w:hAnsi="Arial" w:cs="Arial"/>
          <w:sz w:val="24"/>
          <w:szCs w:val="24"/>
        </w:rPr>
        <w:t xml:space="preserve"> triplicate.</w:t>
      </w: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A05550" w:rsidRDefault="00A05550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A05550" w:rsidRDefault="00A05550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B56E7B" w:rsidRDefault="00B56E7B" w:rsidP="007A18E9">
      <w:pPr>
        <w:spacing w:line="360" w:lineRule="auto"/>
        <w:rPr>
          <w:rFonts w:ascii="Arial" w:hAnsi="Arial" w:cs="Arial"/>
          <w:sz w:val="24"/>
          <w:szCs w:val="24"/>
        </w:rPr>
      </w:pPr>
    </w:p>
    <w:p w:rsidR="007A18E9" w:rsidRDefault="004B4F4E" w:rsidP="007A18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1E55D3">
        <w:rPr>
          <w:rFonts w:ascii="Arial" w:hAnsi="Arial" w:cs="Arial" w:hint="eastAsia"/>
          <w:b/>
          <w:sz w:val="24"/>
          <w:szCs w:val="24"/>
        </w:rPr>
        <w:t>S</w:t>
      </w:r>
      <w:r w:rsidR="001E55D3">
        <w:rPr>
          <w:rFonts w:ascii="Arial" w:hAnsi="Arial" w:cs="Arial"/>
          <w:b/>
          <w:sz w:val="24"/>
          <w:szCs w:val="24"/>
        </w:rPr>
        <w:t>upplementary Figures and Tables</w:t>
      </w:r>
    </w:p>
    <w:p w:rsidR="001E55D3" w:rsidRDefault="001E55D3" w:rsidP="007A18E9">
      <w:pPr>
        <w:rPr>
          <w:rFonts w:ascii="Arial" w:hAnsi="Arial" w:cs="Arial"/>
          <w:b/>
          <w:sz w:val="24"/>
          <w:szCs w:val="24"/>
        </w:rPr>
      </w:pPr>
    </w:p>
    <w:p w:rsidR="007A18E9" w:rsidRDefault="007A18E9" w:rsidP="007A18E9">
      <w:pPr>
        <w:wordWrap/>
        <w:spacing w:line="360" w:lineRule="auto"/>
        <w:rPr>
          <w:noProof/>
        </w:rPr>
      </w:pPr>
      <w:r w:rsidRPr="004B6FDA">
        <w:rPr>
          <w:rFonts w:ascii="Arial" w:hAnsi="Arial" w:cs="Arial"/>
          <w:b/>
          <w:szCs w:val="24"/>
        </w:rPr>
        <w:t>Table S1.</w:t>
      </w:r>
      <w:r w:rsidRPr="004B6FDA">
        <w:rPr>
          <w:rFonts w:ascii="Arial" w:hAnsi="Arial" w:cs="Arial"/>
          <w:szCs w:val="24"/>
        </w:rPr>
        <w:t xml:space="preserve"> Sequences of DNAs used in this work.</w:t>
      </w:r>
      <w:r>
        <w:rPr>
          <w:rFonts w:ascii="Arial" w:hAnsi="Arial" w:cs="Arial"/>
          <w:szCs w:val="24"/>
        </w:rPr>
        <w:t xml:space="preserve"> </w:t>
      </w:r>
      <w:r>
        <w:rPr>
          <w:noProof/>
        </w:rPr>
        <w:t>Blue sequences show components of the DDM; magenta sequences show the EDM.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120"/>
      </w:tblGrid>
      <w:tr w:rsidR="007A18E9" w:rsidRPr="00951985" w:rsidTr="00CF00C7">
        <w:trPr>
          <w:jc w:val="center"/>
        </w:trPr>
        <w:tc>
          <w:tcPr>
            <w:tcW w:w="2900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Sequence (5’ 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E0"/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3’)</w:t>
            </w:r>
          </w:p>
        </w:tc>
      </w:tr>
      <w:tr w:rsidR="007A18E9" w:rsidRPr="00951985" w:rsidTr="00CF00C7">
        <w:trPr>
          <w:jc w:val="center"/>
        </w:trPr>
        <w:tc>
          <w:tcPr>
            <w:tcW w:w="2900" w:type="dxa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DMRD</w:t>
            </w:r>
          </w:p>
        </w:tc>
        <w:tc>
          <w:tcPr>
            <w:tcW w:w="61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AB7D46" w:rsidRDefault="007A18E9" w:rsidP="00CF00C7">
            <w:pPr>
              <w:wordWrap/>
              <w:spacing w:line="360" w:lineRule="auto"/>
              <w:rPr>
                <w:rFonts w:ascii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FAM-</w:t>
            </w:r>
            <w:r w:rsidRPr="00A90549">
              <w:rPr>
                <w:rFonts w:ascii="Arial" w:hAnsi="Arial" w:cs="Arial"/>
                <w:color w:val="0070C0"/>
                <w:sz w:val="24"/>
                <w:szCs w:val="24"/>
              </w:rPr>
              <w:t>AAT TCT GGG GGA G</w:t>
            </w:r>
            <w:r w:rsidRPr="00951985">
              <w:rPr>
                <w:rFonts w:ascii="Arial" w:hAnsi="Arial" w:cs="Arial"/>
                <w:sz w:val="24"/>
                <w:szCs w:val="24"/>
              </w:rPr>
              <w:t>CC TTT T</w:t>
            </w:r>
            <w:r w:rsidRPr="00EE432A">
              <w:rPr>
                <w:rFonts w:ascii="Arial" w:hAnsi="Arial" w:cs="Arial"/>
                <w:color w:val="FF33CC"/>
                <w:sz w:val="24"/>
                <w:szCs w:val="24"/>
              </w:rPr>
              <w:t>GT GGG TAG GGC GGG TTG G</w:t>
            </w:r>
            <w:r w:rsidRPr="00951985">
              <w:rPr>
                <w:rFonts w:ascii="Arial" w:hAnsi="Arial" w:cs="Arial"/>
                <w:sz w:val="24"/>
                <w:szCs w:val="24"/>
              </w:rPr>
              <w:t xml:space="preserve">TT TTG CCC </w:t>
            </w:r>
            <w:r w:rsidRPr="00A90549">
              <w:rPr>
                <w:rFonts w:ascii="Arial" w:hAnsi="Arial" w:cs="Arial"/>
                <w:color w:val="0070C0"/>
                <w:sz w:val="24"/>
                <w:szCs w:val="24"/>
              </w:rPr>
              <w:t>CGG AGG AGG AAT T</w:t>
            </w:r>
            <w:r>
              <w:rPr>
                <w:rFonts w:ascii="Arial" w:hAnsi="Arial" w:cs="Arial"/>
                <w:sz w:val="24"/>
                <w:szCs w:val="24"/>
              </w:rPr>
              <w:t>-BHQ1</w:t>
            </w:r>
          </w:p>
        </w:tc>
      </w:tr>
      <w:tr w:rsidR="007A18E9" w:rsidRPr="00951985" w:rsidTr="00CF00C7">
        <w:trPr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ACC CGC CCT A</w:t>
            </w:r>
          </w:p>
        </w:tc>
      </w:tr>
      <w:tr w:rsidR="007A18E9" w:rsidRPr="00951985" w:rsidTr="00CF00C7">
        <w:trPr>
          <w:trHeight w:val="304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AAC CCG CCC TA</w:t>
            </w:r>
          </w:p>
        </w:tc>
      </w:tr>
      <w:tr w:rsidR="007A18E9" w:rsidRPr="00951985" w:rsidTr="00CF00C7">
        <w:trPr>
          <w:trHeight w:val="268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CAA CCC GCC CTA C</w:t>
            </w:r>
          </w:p>
        </w:tc>
      </w:tr>
      <w:tr w:rsidR="007A18E9" w:rsidRPr="00951985" w:rsidTr="00CF00C7">
        <w:trPr>
          <w:trHeight w:val="268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CAA CCC GCC CTA CC</w:t>
            </w:r>
          </w:p>
        </w:tc>
      </w:tr>
      <w:tr w:rsidR="007A18E9" w:rsidRPr="00951985" w:rsidTr="00CF00C7">
        <w:trPr>
          <w:trHeight w:val="268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CAA CCC GCC CTA CCC</w:t>
            </w:r>
          </w:p>
        </w:tc>
      </w:tr>
      <w:tr w:rsidR="007A18E9" w:rsidRPr="00951985" w:rsidTr="00CF00C7">
        <w:trPr>
          <w:trHeight w:val="268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CAA CCC GCC CTA CCC A</w:t>
            </w:r>
          </w:p>
        </w:tc>
      </w:tr>
      <w:tr w:rsidR="007A18E9" w:rsidRPr="00951985" w:rsidTr="00CF00C7">
        <w:trPr>
          <w:trHeight w:val="268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CAA CCC GCC CTA CCC AC</w:t>
            </w:r>
          </w:p>
        </w:tc>
      </w:tr>
      <w:tr w:rsidR="007A18E9" w:rsidRPr="00951985" w:rsidTr="00CF00C7">
        <w:trPr>
          <w:trHeight w:val="268"/>
          <w:jc w:val="center"/>
        </w:trPr>
        <w:tc>
          <w:tcPr>
            <w:tcW w:w="290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CAA CCC GCC CTA CCC AC</w:t>
            </w:r>
          </w:p>
        </w:tc>
      </w:tr>
    </w:tbl>
    <w:p w:rsidR="007A18E9" w:rsidRDefault="007A18E9" w:rsidP="007A18E9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A18E9" w:rsidRPr="009A3B43" w:rsidRDefault="007A18E9" w:rsidP="007A18E9">
      <w:pPr>
        <w:wordWrap/>
        <w:spacing w:line="360" w:lineRule="auto"/>
        <w:rPr>
          <w:rFonts w:ascii="Arial" w:hAnsi="Arial" w:cs="Arial"/>
          <w:szCs w:val="24"/>
        </w:rPr>
      </w:pPr>
      <w:r w:rsidRPr="009A3B43">
        <w:rPr>
          <w:rFonts w:ascii="Arial" w:hAnsi="Arial" w:cs="Arial"/>
          <w:b/>
          <w:szCs w:val="24"/>
        </w:rPr>
        <w:lastRenderedPageBreak/>
        <w:t>Table S</w:t>
      </w:r>
      <w:r>
        <w:rPr>
          <w:rFonts w:ascii="Arial" w:hAnsi="Arial" w:cs="Arial"/>
          <w:b/>
          <w:szCs w:val="24"/>
        </w:rPr>
        <w:t>2</w:t>
      </w:r>
      <w:r w:rsidRPr="009A3B43">
        <w:rPr>
          <w:rFonts w:ascii="Arial" w:hAnsi="Arial" w:cs="Arial"/>
          <w:b/>
          <w:szCs w:val="24"/>
        </w:rPr>
        <w:t>.</w:t>
      </w:r>
      <w:r w:rsidRPr="009A3B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ATP detection range</w:t>
      </w:r>
      <w:r w:rsidRPr="009A3B43">
        <w:rPr>
          <w:rFonts w:ascii="Arial" w:hAnsi="Arial" w:cs="Arial"/>
          <w:szCs w:val="24"/>
        </w:rPr>
        <w:t xml:space="preserve"> of the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antisense-tuned</w:t>
      </w:r>
      <w:r w:rsidRPr="009A3B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DDM</w:t>
      </w:r>
      <w:r w:rsidRPr="009A3B43">
        <w:rPr>
          <w:rFonts w:ascii="Arial" w:hAnsi="Arial" w:cs="Arial"/>
          <w:szCs w:val="24"/>
        </w:rPr>
        <w:t xml:space="preserve">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076"/>
      </w:tblGrid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E44E39" w:rsidRDefault="007A18E9" w:rsidP="00CF00C7">
            <w:pPr>
              <w:wordWrap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44E39">
              <w:rPr>
                <w:rFonts w:ascii="Arial" w:hAnsi="Arial" w:cs="Arial" w:hint="eastAsia"/>
                <w:b/>
                <w:sz w:val="24"/>
                <w:szCs w:val="24"/>
              </w:rPr>
              <w:t>ntisense strand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(# reflects length in nt)</w:t>
            </w:r>
          </w:p>
        </w:tc>
        <w:tc>
          <w:tcPr>
            <w:tcW w:w="2258" w:type="pct"/>
            <w:tcBorders>
              <w:top w:val="nil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Detection range (</w:t>
            </w:r>
            <w:r w:rsidRPr="00802ADA">
              <w:rPr>
                <w:rFonts w:ascii="Arial" w:eastAsia="맑은 고딕" w:hAnsi="Arial" w:cs="Arial"/>
                <w:b/>
                <w:bCs/>
                <w:sz w:val="24"/>
                <w:szCs w:val="24"/>
              </w:rPr>
              <w:t>μ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M)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AD11</w:t>
            </w:r>
          </w:p>
        </w:tc>
        <w:tc>
          <w:tcPr>
            <w:tcW w:w="2258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33.9 ~ 1,782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AD12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29.7 ~ 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 w:hint="eastAsia"/>
                <w:sz w:val="24"/>
                <w:szCs w:val="24"/>
              </w:rPr>
              <w:t>514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AD13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57.2 ~ 2,998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802ADA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AD14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132.8 ~ 5,189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AD15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160.9 ~ 5,678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AD16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180.3 ~ 5,968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AD17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389.3 ~ 7,663</w:t>
            </w:r>
          </w:p>
        </w:tc>
      </w:tr>
      <w:tr w:rsidR="007A18E9" w:rsidRPr="00951985" w:rsidTr="00CF00C7">
        <w:trPr>
          <w:trHeight w:val="20"/>
          <w:jc w:val="center"/>
        </w:trPr>
        <w:tc>
          <w:tcPr>
            <w:tcW w:w="2742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AD18</w:t>
            </w:r>
          </w:p>
        </w:tc>
        <w:tc>
          <w:tcPr>
            <w:tcW w:w="2258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346.8 ~ 7,440</w:t>
            </w:r>
          </w:p>
        </w:tc>
      </w:tr>
    </w:tbl>
    <w:p w:rsidR="007A18E9" w:rsidRDefault="007A18E9" w:rsidP="007A18E9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</w:p>
    <w:p w:rsidR="007A18E9" w:rsidRPr="00242905" w:rsidRDefault="007A18E9" w:rsidP="007A18E9">
      <w:pPr>
        <w:wordWrap/>
        <w:spacing w:line="360" w:lineRule="auto"/>
        <w:rPr>
          <w:rFonts w:ascii="Arial" w:hAnsi="Arial" w:cs="Arial"/>
          <w:szCs w:val="24"/>
        </w:rPr>
      </w:pPr>
    </w:p>
    <w:p w:rsidR="007A18E9" w:rsidRDefault="007A18E9" w:rsidP="007A18E9">
      <w:pPr>
        <w:widowControl/>
        <w:wordWrap/>
        <w:autoSpaceDE/>
        <w:autoSpaceDN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A18E9" w:rsidRDefault="007A18E9" w:rsidP="007A18E9">
      <w:pPr>
        <w:wordWrap/>
        <w:spacing w:line="360" w:lineRule="auto"/>
        <w:rPr>
          <w:rFonts w:ascii="Arial" w:hAnsi="Arial" w:cs="Arial"/>
          <w:szCs w:val="24"/>
        </w:rPr>
      </w:pPr>
      <w:r w:rsidRPr="002C7E85">
        <w:rPr>
          <w:rFonts w:ascii="Arial" w:hAnsi="Arial" w:cs="Arial"/>
          <w:b/>
          <w:szCs w:val="24"/>
        </w:rPr>
        <w:lastRenderedPageBreak/>
        <w:t>Table S</w:t>
      </w:r>
      <w:r>
        <w:rPr>
          <w:rFonts w:ascii="Arial" w:hAnsi="Arial" w:cs="Arial"/>
          <w:b/>
          <w:szCs w:val="24"/>
        </w:rPr>
        <w:t>3</w:t>
      </w:r>
      <w:r w:rsidRPr="002C7E85">
        <w:rPr>
          <w:rFonts w:ascii="Arial" w:hAnsi="Arial" w:cs="Arial"/>
          <w:b/>
          <w:szCs w:val="24"/>
        </w:rPr>
        <w:t>.</w:t>
      </w:r>
      <w:r w:rsidRPr="002C7E85">
        <w:rPr>
          <w:rFonts w:ascii="Arial" w:hAnsi="Arial" w:cs="Arial"/>
          <w:szCs w:val="24"/>
        </w:rPr>
        <w:t xml:space="preserve"> The hybridization energies </w:t>
      </w:r>
      <w:r>
        <w:rPr>
          <w:rFonts w:ascii="Arial" w:hAnsi="Arial" w:cs="Arial"/>
          <w:szCs w:val="24"/>
        </w:rPr>
        <w:t>between antisense DNAs (AD11 to AD18)</w:t>
      </w:r>
      <w:r w:rsidRPr="002C7E85">
        <w:rPr>
          <w:rFonts w:ascii="Arial" w:hAnsi="Arial" w:cs="Arial"/>
          <w:szCs w:val="24"/>
        </w:rPr>
        <w:t xml:space="preserve"> and the </w:t>
      </w:r>
      <w:r>
        <w:rPr>
          <w:rFonts w:ascii="Arial" w:hAnsi="Arial" w:cs="Arial"/>
          <w:szCs w:val="24"/>
        </w:rPr>
        <w:t>DMR</w:t>
      </w:r>
      <w:r>
        <w:rPr>
          <w:rFonts w:ascii="Arial" w:hAnsi="Arial" w:cs="Arial" w:hint="eastAsia"/>
          <w:szCs w:val="24"/>
        </w:rPr>
        <w:t>D</w:t>
      </w:r>
      <w:r>
        <w:rPr>
          <w:rFonts w:ascii="Arial" w:hAnsi="Arial" w:cs="Arial"/>
          <w:szCs w:val="24"/>
        </w:rPr>
        <w:t>,</w:t>
      </w:r>
      <w:r w:rsidRPr="002C7E85">
        <w:rPr>
          <w:rFonts w:ascii="Arial" w:hAnsi="Arial" w:cs="Arial"/>
          <w:szCs w:val="24"/>
        </w:rPr>
        <w:t xml:space="preserve"> and EC</w:t>
      </w:r>
      <w:r w:rsidRPr="002C7E85">
        <w:rPr>
          <w:rFonts w:ascii="Arial" w:hAnsi="Arial" w:cs="Arial"/>
          <w:szCs w:val="24"/>
          <w:vertAlign w:val="subscript"/>
        </w:rPr>
        <w:t>50</w:t>
      </w:r>
      <w:r w:rsidRPr="002C7E85">
        <w:rPr>
          <w:rFonts w:ascii="Arial" w:hAnsi="Arial" w:cs="Arial"/>
          <w:szCs w:val="24"/>
        </w:rPr>
        <w:t xml:space="preserve"> values in terms of ATP-induced structure-switching. The hybridization energies (</w:t>
      </w:r>
      <w:r w:rsidRPr="002C7E85">
        <w:rPr>
          <w:rFonts w:ascii="Cambria Math" w:hAnsi="Cambria Math" w:cs="Cambria Math"/>
          <w:szCs w:val="24"/>
        </w:rPr>
        <w:t>△</w:t>
      </w:r>
      <w:r w:rsidRPr="002C7E85">
        <w:rPr>
          <w:rFonts w:ascii="Arial" w:hAnsi="Arial" w:cs="Arial"/>
          <w:szCs w:val="24"/>
        </w:rPr>
        <w:t xml:space="preserve">G, kcal/mole) between the </w:t>
      </w:r>
      <w:r>
        <w:rPr>
          <w:rFonts w:ascii="Arial" w:hAnsi="Arial" w:cs="Arial"/>
          <w:szCs w:val="24"/>
        </w:rPr>
        <w:t>antisense DNAs</w:t>
      </w:r>
      <w:r w:rsidRPr="002C7E85">
        <w:rPr>
          <w:rFonts w:ascii="Arial" w:hAnsi="Arial" w:cs="Arial"/>
          <w:szCs w:val="24"/>
        </w:rPr>
        <w:t xml:space="preserve"> and the </w:t>
      </w:r>
      <w:r>
        <w:rPr>
          <w:rFonts w:ascii="Arial" w:hAnsi="Arial" w:cs="Arial"/>
          <w:szCs w:val="24"/>
        </w:rPr>
        <w:t>DMR</w:t>
      </w:r>
      <w:r>
        <w:rPr>
          <w:rFonts w:ascii="Arial" w:hAnsi="Arial" w:cs="Arial" w:hint="eastAsia"/>
          <w:szCs w:val="24"/>
        </w:rPr>
        <w:t>D</w:t>
      </w:r>
      <w:r w:rsidRPr="002C7E85">
        <w:rPr>
          <w:rFonts w:ascii="Arial" w:hAnsi="Arial" w:cs="Arial"/>
          <w:szCs w:val="24"/>
        </w:rPr>
        <w:t xml:space="preserve"> were calculated </w:t>
      </w:r>
      <w:r>
        <w:rPr>
          <w:rFonts w:ascii="Arial" w:hAnsi="Arial" w:cs="Arial"/>
          <w:szCs w:val="24"/>
        </w:rPr>
        <w:t>with the</w:t>
      </w:r>
      <w:r w:rsidRPr="002C7E85">
        <w:rPr>
          <w:rFonts w:ascii="Arial" w:hAnsi="Arial" w:cs="Arial"/>
          <w:szCs w:val="24"/>
        </w:rPr>
        <w:t xml:space="preserve"> OligoAnalyzer Tool (Version 3.1) </w:t>
      </w:r>
      <w:r>
        <w:rPr>
          <w:rFonts w:ascii="Arial" w:hAnsi="Arial" w:cs="Arial"/>
          <w:szCs w:val="24"/>
        </w:rPr>
        <w:t>from</w:t>
      </w:r>
      <w:r w:rsidRPr="002C7E85">
        <w:rPr>
          <w:rFonts w:ascii="Arial" w:hAnsi="Arial" w:cs="Arial"/>
          <w:szCs w:val="24"/>
        </w:rPr>
        <w:t xml:space="preserve"> Integrated DNA Technologies (IDT; Coralville, IA)</w:t>
      </w:r>
      <w:r>
        <w:rPr>
          <w:rFonts w:ascii="Arial" w:hAnsi="Arial" w:cs="Arial"/>
          <w:szCs w:val="24"/>
        </w:rPr>
        <w:t>.</w:t>
      </w:r>
      <w:r w:rsidRPr="002C7E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2C7E85">
        <w:rPr>
          <w:rFonts w:ascii="Arial" w:hAnsi="Arial" w:cs="Arial"/>
          <w:szCs w:val="24"/>
        </w:rPr>
        <w:t>emperature was fixed at 298.15 K. EC</w:t>
      </w:r>
      <w:r w:rsidRPr="002C7E85">
        <w:rPr>
          <w:rFonts w:ascii="Arial" w:hAnsi="Arial" w:cs="Arial"/>
          <w:szCs w:val="24"/>
          <w:vertAlign w:val="subscript"/>
        </w:rPr>
        <w:t>50</w:t>
      </w:r>
      <w:r w:rsidRPr="002C7E85">
        <w:rPr>
          <w:rFonts w:ascii="Arial" w:hAnsi="Arial" w:cs="Arial"/>
          <w:szCs w:val="24"/>
        </w:rPr>
        <w:t xml:space="preserve"> value</w:t>
      </w:r>
      <w:r>
        <w:rPr>
          <w:rFonts w:ascii="Arial" w:hAnsi="Arial" w:cs="Arial"/>
          <w:szCs w:val="24"/>
        </w:rPr>
        <w:t>s</w:t>
      </w:r>
      <w:r w:rsidRPr="002C7E85">
        <w:rPr>
          <w:rFonts w:ascii="Arial" w:hAnsi="Arial" w:cs="Arial"/>
          <w:szCs w:val="24"/>
        </w:rPr>
        <w:t xml:space="preserve"> of our </w:t>
      </w:r>
      <w:r>
        <w:rPr>
          <w:rFonts w:ascii="Arial" w:hAnsi="Arial" w:cs="Arial"/>
          <w:szCs w:val="24"/>
        </w:rPr>
        <w:t>DDM</w:t>
      </w:r>
      <w:r w:rsidRPr="002C7E85">
        <w:rPr>
          <w:rFonts w:ascii="Arial" w:hAnsi="Arial" w:cs="Arial"/>
          <w:szCs w:val="24"/>
        </w:rPr>
        <w:t xml:space="preserve"> increased</w:t>
      </w:r>
      <w:r>
        <w:rPr>
          <w:rFonts w:ascii="Arial" w:hAnsi="Arial" w:cs="Arial"/>
          <w:szCs w:val="24"/>
        </w:rPr>
        <w:t xml:space="preserve"> depending on the length of antisense DNAs</w:t>
      </w:r>
      <w:r w:rsidRPr="002C7E85">
        <w:rPr>
          <w:rFonts w:ascii="Arial" w:hAnsi="Arial" w:cs="Arial"/>
          <w:szCs w:val="24"/>
        </w:rPr>
        <w:t>.</w:t>
      </w:r>
    </w:p>
    <w:p w:rsidR="007A18E9" w:rsidRPr="00951985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704"/>
        <w:gridCol w:w="2080"/>
      </w:tblGrid>
      <w:tr w:rsidR="007A18E9" w:rsidRPr="00951985" w:rsidTr="00CF00C7">
        <w:trPr>
          <w:trHeight w:val="850"/>
        </w:trPr>
        <w:tc>
          <w:tcPr>
            <w:tcW w:w="1242" w:type="pct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06" w:type="pct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Hybridization Energy (</w:t>
            </w:r>
            <w:r w:rsidRPr="00951985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△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hybridization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) (kcal/mole)</w:t>
            </w:r>
          </w:p>
        </w:tc>
        <w:tc>
          <w:tcPr>
            <w:tcW w:w="1152" w:type="pct"/>
            <w:tcBorders>
              <w:top w:val="nil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EC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50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951985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μ</w:t>
            </w: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M)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06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-24.87</w:t>
            </w:r>
          </w:p>
        </w:tc>
        <w:tc>
          <w:tcPr>
            <w:tcW w:w="1152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238.23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-26.22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205.79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-28.17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494.17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-31.24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51985">
              <w:rPr>
                <w:rFonts w:ascii="Arial" w:hAnsi="Arial" w:cs="Arial"/>
                <w:sz w:val="24"/>
                <w:szCs w:val="24"/>
              </w:rPr>
              <w:t>346.40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-34.31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51985">
              <w:rPr>
                <w:rFonts w:ascii="Arial" w:hAnsi="Arial" w:cs="Arial"/>
                <w:sz w:val="24"/>
                <w:szCs w:val="24"/>
              </w:rPr>
              <w:t>694.10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-36.26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51985">
              <w:rPr>
                <w:rFonts w:ascii="Arial" w:hAnsi="Arial" w:cs="Arial"/>
                <w:sz w:val="24"/>
                <w:szCs w:val="24"/>
              </w:rPr>
              <w:t>984.21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-37.6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51985">
              <w:rPr>
                <w:rFonts w:ascii="Arial" w:hAnsi="Arial" w:cs="Arial"/>
                <w:sz w:val="24"/>
                <w:szCs w:val="24"/>
              </w:rPr>
              <w:t>827.45</w:t>
            </w:r>
          </w:p>
        </w:tc>
      </w:tr>
      <w:tr w:rsidR="007A18E9" w:rsidRPr="00951985" w:rsidTr="00CF00C7">
        <w:trPr>
          <w:trHeight w:val="20"/>
        </w:trPr>
        <w:tc>
          <w:tcPr>
            <w:tcW w:w="1242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Pr="0095198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0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-40.67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4,768</w:t>
            </w:r>
            <w:r w:rsidRPr="00951985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</w:tbl>
    <w:p w:rsidR="007A18E9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</w:p>
    <w:p w:rsidR="007A18E9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</w:p>
    <w:p w:rsidR="007A18E9" w:rsidRPr="00951985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</w:p>
    <w:p w:rsidR="007A18E9" w:rsidRDefault="007A18E9" w:rsidP="007A18E9">
      <w:pPr>
        <w:wordWrap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w:drawing>
          <wp:inline distT="0" distB="0" distL="0" distR="0" wp14:anchorId="40EAFC40" wp14:editId="11DC05C9">
            <wp:extent cx="5688277" cy="3987383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6" cy="401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8E9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  <w:r w:rsidRPr="00A23F48">
        <w:rPr>
          <w:rFonts w:ascii="Arial" w:hAnsi="Arial" w:cs="Arial"/>
          <w:b/>
          <w:szCs w:val="24"/>
        </w:rPr>
        <w:t>Figure S</w:t>
      </w:r>
      <w:r>
        <w:rPr>
          <w:rFonts w:ascii="Arial" w:hAnsi="Arial" w:cs="Arial"/>
          <w:b/>
          <w:szCs w:val="24"/>
        </w:rPr>
        <w:t>1</w:t>
      </w:r>
      <w:r w:rsidRPr="00A23F48">
        <w:rPr>
          <w:rFonts w:ascii="Arial" w:hAnsi="Arial" w:cs="Arial"/>
          <w:b/>
          <w:szCs w:val="24"/>
        </w:rPr>
        <w:t>.</w:t>
      </w:r>
      <w:r w:rsidRPr="00A23F48">
        <w:rPr>
          <w:rFonts w:ascii="Arial" w:hAnsi="Arial" w:cs="Arial"/>
          <w:szCs w:val="24"/>
        </w:rPr>
        <w:t xml:space="preserve"> The increase of </w:t>
      </w:r>
      <w:r>
        <w:rPr>
          <w:rFonts w:ascii="Arial" w:hAnsi="Arial" w:cs="Arial"/>
          <w:szCs w:val="24"/>
        </w:rPr>
        <w:t xml:space="preserve">the </w:t>
      </w:r>
      <w:r w:rsidRPr="00A23F48">
        <w:rPr>
          <w:rFonts w:ascii="Arial" w:hAnsi="Arial" w:cs="Arial"/>
          <w:szCs w:val="24"/>
        </w:rPr>
        <w:t>EC</w:t>
      </w:r>
      <w:r w:rsidRPr="00A23F48">
        <w:rPr>
          <w:rFonts w:ascii="Arial" w:hAnsi="Arial" w:cs="Arial"/>
          <w:szCs w:val="24"/>
          <w:vertAlign w:val="subscript"/>
        </w:rPr>
        <w:t>50</w:t>
      </w:r>
      <w:r w:rsidRPr="00A23F48">
        <w:rPr>
          <w:rFonts w:ascii="Arial" w:hAnsi="Arial" w:cs="Arial"/>
          <w:szCs w:val="24"/>
        </w:rPr>
        <w:t xml:space="preserve"> value </w:t>
      </w:r>
      <w:r>
        <w:rPr>
          <w:rFonts w:ascii="Arial" w:hAnsi="Arial" w:cs="Arial"/>
          <w:szCs w:val="24"/>
        </w:rPr>
        <w:t>for antisense strands of increasing length</w:t>
      </w:r>
      <w:r w:rsidRPr="00A23F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relative to the</w:t>
      </w:r>
      <w:r w:rsidRPr="00A23F48">
        <w:rPr>
          <w:rFonts w:ascii="Arial" w:hAnsi="Arial" w:cs="Arial"/>
          <w:szCs w:val="24"/>
        </w:rPr>
        <w:t xml:space="preserve"> Gibbs free energy changes (</w:t>
      </w:r>
      <w:r>
        <w:rPr>
          <w:rFonts w:ascii="Arial" w:hAnsi="Arial" w:cs="Arial"/>
          <w:szCs w:val="24"/>
        </w:rPr>
        <w:t>-</w:t>
      </w:r>
      <w:r w:rsidRPr="00A23F48">
        <w:rPr>
          <w:rFonts w:ascii="Cambria Math" w:hAnsi="Cambria Math" w:cs="Cambria Math"/>
          <w:szCs w:val="24"/>
        </w:rPr>
        <w:t>△</w:t>
      </w:r>
      <w:r w:rsidRPr="00A23F48">
        <w:rPr>
          <w:rFonts w:ascii="Arial" w:hAnsi="Arial" w:cs="Arial"/>
          <w:szCs w:val="24"/>
        </w:rPr>
        <w:t>G/RT = (</w:t>
      </w:r>
      <w:r w:rsidRPr="00A23F48">
        <w:rPr>
          <w:rFonts w:ascii="Cambria Math" w:hAnsi="Cambria Math" w:cs="Cambria Math"/>
          <w:szCs w:val="24"/>
        </w:rPr>
        <w:t>△</w:t>
      </w:r>
      <w:r w:rsidRPr="00A23F48">
        <w:rPr>
          <w:rFonts w:ascii="Arial" w:hAnsi="Arial" w:cs="Arial"/>
          <w:szCs w:val="24"/>
        </w:rPr>
        <w:t>G</w:t>
      </w:r>
      <w:r w:rsidRPr="00A23F48">
        <w:rPr>
          <w:rFonts w:ascii="Arial" w:hAnsi="Arial" w:cs="Arial"/>
          <w:szCs w:val="24"/>
          <w:vertAlign w:val="subscript"/>
        </w:rPr>
        <w:t>hybridization</w:t>
      </w:r>
      <w:r w:rsidRPr="00A23F48">
        <w:rPr>
          <w:rFonts w:ascii="Arial" w:hAnsi="Arial" w:cs="Arial"/>
          <w:szCs w:val="24"/>
        </w:rPr>
        <w:t xml:space="preserve"> - </w:t>
      </w:r>
      <w:r w:rsidRPr="00A23F48">
        <w:rPr>
          <w:rFonts w:ascii="Cambria Math" w:hAnsi="Cambria Math" w:cs="Cambria Math"/>
          <w:szCs w:val="24"/>
        </w:rPr>
        <w:t>△</w:t>
      </w:r>
      <w:r w:rsidRPr="00A23F48">
        <w:rPr>
          <w:rFonts w:ascii="Arial" w:hAnsi="Arial" w:cs="Arial"/>
          <w:szCs w:val="24"/>
        </w:rPr>
        <w:t>G</w:t>
      </w:r>
      <w:r w:rsidRPr="00A23F48">
        <w:rPr>
          <w:rFonts w:ascii="Arial" w:hAnsi="Arial" w:cs="Arial"/>
          <w:szCs w:val="24"/>
          <w:vertAlign w:val="subscript"/>
        </w:rPr>
        <w:t>mfold</w:t>
      </w:r>
      <w:r w:rsidRPr="00A23F48">
        <w:rPr>
          <w:rFonts w:ascii="Arial" w:hAnsi="Arial" w:cs="Arial"/>
          <w:szCs w:val="24"/>
        </w:rPr>
        <w:t xml:space="preserve">)/RT) at </w:t>
      </w:r>
      <w:r>
        <w:rPr>
          <w:rFonts w:ascii="Arial" w:hAnsi="Arial" w:cs="Arial"/>
          <w:szCs w:val="24"/>
        </w:rPr>
        <w:t>room temperature (</w:t>
      </w:r>
      <w:r w:rsidRPr="00A23F48">
        <w:rPr>
          <w:rFonts w:ascii="Arial" w:hAnsi="Arial" w:cs="Arial"/>
          <w:szCs w:val="24"/>
        </w:rPr>
        <w:t>298.15 K</w:t>
      </w:r>
      <w:r>
        <w:rPr>
          <w:rFonts w:ascii="Arial" w:hAnsi="Arial" w:cs="Arial"/>
          <w:szCs w:val="24"/>
        </w:rPr>
        <w:t>)</w:t>
      </w:r>
      <w:r w:rsidRPr="00A23F48">
        <w:rPr>
          <w:rFonts w:ascii="Arial" w:hAnsi="Arial" w:cs="Arial"/>
          <w:szCs w:val="24"/>
        </w:rPr>
        <w:t xml:space="preserve">. Regression, </w:t>
      </w:r>
      <w:r w:rsidRPr="00A23F48">
        <w:rPr>
          <w:rFonts w:ascii="Arial" w:hAnsi="Arial" w:cs="Arial"/>
          <w:i/>
          <w:iCs/>
          <w:szCs w:val="24"/>
        </w:rPr>
        <w:t>y</w:t>
      </w:r>
      <w:r w:rsidRPr="00A23F48">
        <w:rPr>
          <w:rFonts w:ascii="Arial" w:hAnsi="Arial" w:cs="Arial"/>
          <w:szCs w:val="24"/>
        </w:rPr>
        <w:t>: 19.98*exponential(0.285*</w:t>
      </w:r>
      <w:r w:rsidRPr="00A23F48">
        <w:rPr>
          <w:rFonts w:ascii="Arial" w:hAnsi="Arial" w:cs="Arial"/>
          <w:i/>
          <w:iCs/>
          <w:szCs w:val="24"/>
        </w:rPr>
        <w:t>x</w:t>
      </w:r>
      <w:r w:rsidRPr="00A23F48">
        <w:rPr>
          <w:rFonts w:ascii="Arial" w:hAnsi="Arial" w:cs="Arial"/>
          <w:szCs w:val="24"/>
        </w:rPr>
        <w:t>); r</w:t>
      </w:r>
      <w:r w:rsidRPr="00A23F48">
        <w:rPr>
          <w:rFonts w:ascii="Arial" w:hAnsi="Arial" w:cs="Arial"/>
          <w:szCs w:val="24"/>
          <w:vertAlign w:val="superscript"/>
        </w:rPr>
        <w:t>2</w:t>
      </w:r>
      <w:r w:rsidRPr="00A23F48">
        <w:rPr>
          <w:rFonts w:ascii="Arial" w:hAnsi="Arial" w:cs="Arial"/>
          <w:szCs w:val="24"/>
        </w:rPr>
        <w:t xml:space="preserve"> = 0.873. </w:t>
      </w:r>
      <w:r w:rsidRPr="00A23F48">
        <w:rPr>
          <w:rFonts w:ascii="Cambria Math" w:hAnsi="Cambria Math" w:cs="Cambria Math"/>
          <w:szCs w:val="24"/>
        </w:rPr>
        <w:t>△</w:t>
      </w:r>
      <w:r w:rsidRPr="00A23F48">
        <w:rPr>
          <w:rFonts w:ascii="Arial" w:hAnsi="Arial" w:cs="Arial"/>
          <w:szCs w:val="24"/>
        </w:rPr>
        <w:t>G</w:t>
      </w:r>
      <w:r w:rsidRPr="00A23F48">
        <w:rPr>
          <w:rFonts w:ascii="Arial" w:hAnsi="Arial" w:cs="Arial"/>
          <w:szCs w:val="24"/>
          <w:vertAlign w:val="subscript"/>
        </w:rPr>
        <w:t>hybridization</w:t>
      </w:r>
      <w:r w:rsidRPr="00A23F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A23F48">
        <w:rPr>
          <w:rFonts w:ascii="Arial" w:hAnsi="Arial" w:cs="Arial"/>
          <w:szCs w:val="24"/>
        </w:rPr>
        <w:t>s the hybridization energ</w:t>
      </w:r>
      <w:r>
        <w:rPr>
          <w:rFonts w:ascii="Arial" w:hAnsi="Arial" w:cs="Arial"/>
          <w:szCs w:val="24"/>
        </w:rPr>
        <w:t>y</w:t>
      </w:r>
      <w:r w:rsidRPr="00A23F48">
        <w:rPr>
          <w:rFonts w:ascii="Arial" w:hAnsi="Arial" w:cs="Arial"/>
          <w:szCs w:val="24"/>
        </w:rPr>
        <w:t xml:space="preserve"> of </w:t>
      </w:r>
      <w:r>
        <w:rPr>
          <w:rFonts w:ascii="Arial" w:hAnsi="Arial" w:cs="Arial"/>
          <w:szCs w:val="24"/>
        </w:rPr>
        <w:t>antisense DNAs</w:t>
      </w:r>
      <w:r w:rsidRPr="00A23F48">
        <w:rPr>
          <w:rFonts w:ascii="Arial" w:hAnsi="Arial" w:cs="Arial"/>
          <w:szCs w:val="24"/>
        </w:rPr>
        <w:t xml:space="preserve"> with the </w:t>
      </w:r>
      <w:r>
        <w:rPr>
          <w:rFonts w:ascii="Arial" w:hAnsi="Arial" w:cs="Arial"/>
          <w:szCs w:val="24"/>
        </w:rPr>
        <w:t>DMRD</w:t>
      </w:r>
      <w:r w:rsidRPr="00A23F48">
        <w:rPr>
          <w:rFonts w:ascii="Arial" w:hAnsi="Arial" w:cs="Arial"/>
          <w:szCs w:val="24"/>
        </w:rPr>
        <w:t xml:space="preserve">, and </w:t>
      </w:r>
      <w:r w:rsidRPr="00A23F48">
        <w:rPr>
          <w:rFonts w:ascii="Cambria Math" w:hAnsi="Cambria Math" w:cs="Cambria Math"/>
          <w:szCs w:val="24"/>
        </w:rPr>
        <w:t>△</w:t>
      </w:r>
      <w:r w:rsidRPr="00A23F48">
        <w:rPr>
          <w:rFonts w:ascii="Arial" w:hAnsi="Arial" w:cs="Arial"/>
          <w:szCs w:val="24"/>
        </w:rPr>
        <w:t>G</w:t>
      </w:r>
      <w:r w:rsidRPr="00A23F48">
        <w:rPr>
          <w:rFonts w:ascii="Arial" w:hAnsi="Arial" w:cs="Arial"/>
          <w:szCs w:val="24"/>
          <w:vertAlign w:val="subscript"/>
        </w:rPr>
        <w:t>mfold</w:t>
      </w:r>
      <w:r w:rsidRPr="00A23F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A23F48">
        <w:rPr>
          <w:rFonts w:ascii="Arial" w:hAnsi="Arial" w:cs="Arial"/>
          <w:szCs w:val="24"/>
        </w:rPr>
        <w:t xml:space="preserve">s the intrinsic folding energy of our </w:t>
      </w:r>
      <w:r>
        <w:rPr>
          <w:rFonts w:ascii="Arial" w:hAnsi="Arial" w:cs="Arial"/>
          <w:szCs w:val="24"/>
        </w:rPr>
        <w:t>DMRD</w:t>
      </w:r>
      <w:r w:rsidRPr="00A23F48">
        <w:rPr>
          <w:rFonts w:ascii="Arial" w:hAnsi="Arial" w:cs="Arial"/>
          <w:szCs w:val="24"/>
        </w:rPr>
        <w:t xml:space="preserve"> (obtained by </w:t>
      </w:r>
      <w:r>
        <w:rPr>
          <w:rFonts w:ascii="Arial" w:hAnsi="Arial" w:cs="Arial"/>
          <w:szCs w:val="24"/>
        </w:rPr>
        <w:t>m</w:t>
      </w:r>
      <w:r w:rsidR="007A3DA4">
        <w:rPr>
          <w:rFonts w:ascii="Arial" w:hAnsi="Arial" w:cs="Arial"/>
          <w:szCs w:val="24"/>
        </w:rPr>
        <w:t>fold software</w:t>
      </w:r>
      <w:r w:rsidR="007A3DA4">
        <w:rPr>
          <w:rFonts w:ascii="Arial" w:hAnsi="Arial" w:cs="Arial"/>
          <w:szCs w:val="24"/>
          <w:vertAlign w:val="superscript"/>
        </w:rPr>
        <w:t>1</w:t>
      </w:r>
      <w:r w:rsidRPr="00A23F48">
        <w:rPr>
          <w:rFonts w:ascii="Arial" w:hAnsi="Arial" w:cs="Arial"/>
          <w:szCs w:val="24"/>
        </w:rPr>
        <w:t xml:space="preserve">). From extrapolation of this Arrhenius plot, we </w:t>
      </w:r>
      <w:r>
        <w:rPr>
          <w:rFonts w:ascii="Arial" w:hAnsi="Arial" w:cs="Arial"/>
          <w:szCs w:val="24"/>
        </w:rPr>
        <w:t>calculated</w:t>
      </w:r>
      <w:r w:rsidRPr="00A23F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</w:t>
      </w:r>
      <w:r w:rsidRPr="00A23F48">
        <w:rPr>
          <w:rFonts w:ascii="Arial" w:hAnsi="Arial" w:cs="Arial"/>
          <w:szCs w:val="24"/>
        </w:rPr>
        <w:t>K</w:t>
      </w:r>
      <w:r w:rsidRPr="00A23F48">
        <w:rPr>
          <w:rFonts w:ascii="Arial" w:hAnsi="Arial" w:cs="Arial"/>
          <w:szCs w:val="24"/>
          <w:vertAlign w:val="subscript"/>
        </w:rPr>
        <w:t>d</w:t>
      </w:r>
      <w:r w:rsidRPr="00A23F48">
        <w:rPr>
          <w:rFonts w:ascii="Arial" w:hAnsi="Arial" w:cs="Arial"/>
          <w:szCs w:val="24"/>
        </w:rPr>
        <w:t xml:space="preserve"> value of 19.98 μM </w:t>
      </w:r>
      <w:r>
        <w:rPr>
          <w:rFonts w:ascii="Arial" w:hAnsi="Arial" w:cs="Arial"/>
          <w:szCs w:val="24"/>
        </w:rPr>
        <w:t xml:space="preserve">for </w:t>
      </w:r>
      <w:r w:rsidRPr="00A23F48">
        <w:rPr>
          <w:rFonts w:ascii="Arial" w:hAnsi="Arial" w:cs="Arial"/>
          <w:szCs w:val="24"/>
        </w:rPr>
        <w:t>the ATP</w:t>
      </w:r>
      <w:r>
        <w:rPr>
          <w:rFonts w:ascii="Arial" w:hAnsi="Arial" w:cs="Arial"/>
          <w:szCs w:val="24"/>
        </w:rPr>
        <w:t>-binding</w:t>
      </w:r>
      <w:r w:rsidRPr="00A23F48">
        <w:rPr>
          <w:rFonts w:ascii="Arial" w:hAnsi="Arial" w:cs="Arial"/>
          <w:szCs w:val="24"/>
        </w:rPr>
        <w:t xml:space="preserve"> aptamer</w:t>
      </w:r>
      <w:r>
        <w:rPr>
          <w:rFonts w:ascii="Arial" w:hAnsi="Arial" w:cs="Arial"/>
          <w:szCs w:val="24"/>
        </w:rPr>
        <w:t>, which is</w:t>
      </w:r>
      <w:r w:rsidRPr="00A23F48">
        <w:rPr>
          <w:rFonts w:ascii="Arial" w:hAnsi="Arial" w:cs="Arial"/>
          <w:szCs w:val="24"/>
        </w:rPr>
        <w:t xml:space="preserve"> quite similar to the experimental</w:t>
      </w:r>
      <w:r>
        <w:rPr>
          <w:rFonts w:ascii="Arial" w:hAnsi="Arial" w:cs="Arial"/>
          <w:szCs w:val="24"/>
        </w:rPr>
        <w:t>ly measured</w:t>
      </w:r>
      <w:r w:rsidRPr="00A23F48">
        <w:rPr>
          <w:rFonts w:ascii="Arial" w:hAnsi="Arial" w:cs="Arial"/>
          <w:szCs w:val="24"/>
        </w:rPr>
        <w:t xml:space="preserve"> value </w:t>
      </w:r>
      <w:r>
        <w:rPr>
          <w:rFonts w:ascii="Arial" w:hAnsi="Arial" w:cs="Arial"/>
          <w:szCs w:val="24"/>
        </w:rPr>
        <w:t xml:space="preserve">of </w:t>
      </w:r>
      <w:r w:rsidRPr="00A23F48">
        <w:rPr>
          <w:rFonts w:ascii="Arial" w:hAnsi="Arial" w:cs="Arial"/>
          <w:szCs w:val="24"/>
        </w:rPr>
        <w:t>23.14 μM.</w:t>
      </w:r>
      <w:r w:rsidRPr="00951985">
        <w:rPr>
          <w:rFonts w:ascii="Arial" w:hAnsi="Arial" w:cs="Arial"/>
          <w:sz w:val="24"/>
          <w:szCs w:val="24"/>
        </w:rPr>
        <w:t xml:space="preserve"> </w:t>
      </w:r>
    </w:p>
    <w:p w:rsidR="007A18E9" w:rsidRDefault="007A18E9" w:rsidP="007A18E9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</w:p>
    <w:p w:rsidR="00D04F00" w:rsidRPr="00D04F00" w:rsidRDefault="00D04F00" w:rsidP="00D04F00">
      <w:pPr>
        <w:rPr>
          <w:rFonts w:ascii="Arial" w:hAnsi="Arial" w:cs="Arial"/>
        </w:rPr>
      </w:pPr>
      <w:r w:rsidRPr="00D04F00">
        <w:rPr>
          <w:rFonts w:ascii="Arial" w:hAnsi="Arial" w:cs="Arial"/>
        </w:rPr>
        <w:t xml:space="preserve">(1) Juker, M., Mfold web server for nucleic acid folding and hybridization prediction. </w:t>
      </w:r>
      <w:r w:rsidRPr="00D04F00">
        <w:rPr>
          <w:rFonts w:ascii="Arial" w:hAnsi="Arial" w:cs="Arial"/>
          <w:i/>
        </w:rPr>
        <w:t>Nucleic Acids Res.</w:t>
      </w:r>
      <w:r w:rsidRPr="00D04F00">
        <w:rPr>
          <w:rFonts w:ascii="Arial" w:hAnsi="Arial" w:cs="Arial"/>
        </w:rPr>
        <w:t xml:space="preserve"> </w:t>
      </w:r>
      <w:r w:rsidRPr="00D04F00">
        <w:rPr>
          <w:rFonts w:ascii="Arial" w:hAnsi="Arial" w:cs="Arial"/>
          <w:b/>
        </w:rPr>
        <w:t>2003</w:t>
      </w:r>
      <w:r w:rsidRPr="00D04F00">
        <w:rPr>
          <w:rFonts w:ascii="Arial" w:hAnsi="Arial" w:cs="Arial"/>
        </w:rPr>
        <w:t xml:space="preserve">, </w:t>
      </w:r>
      <w:r w:rsidRPr="00D04F00">
        <w:rPr>
          <w:rFonts w:ascii="Arial" w:hAnsi="Arial" w:cs="Arial"/>
          <w:i/>
        </w:rPr>
        <w:t>31</w:t>
      </w:r>
      <w:r w:rsidRPr="00D04F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3406-3415.</w:t>
      </w:r>
    </w:p>
    <w:p w:rsidR="007A18E9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</w:p>
    <w:p w:rsidR="007A18E9" w:rsidRDefault="007A18E9" w:rsidP="007A18E9">
      <w:pPr>
        <w:wordWrap/>
        <w:spacing w:line="360" w:lineRule="auto"/>
        <w:rPr>
          <w:rFonts w:ascii="Arial" w:hAnsi="Arial" w:cs="Arial"/>
          <w:b/>
          <w:sz w:val="24"/>
          <w:szCs w:val="24"/>
        </w:rPr>
      </w:pPr>
      <w:r w:rsidRPr="00F76989">
        <w:rPr>
          <w:noProof/>
        </w:rPr>
        <w:lastRenderedPageBreak/>
        <w:drawing>
          <wp:inline distT="0" distB="0" distL="0" distR="0" wp14:anchorId="40D69E07" wp14:editId="04793A41">
            <wp:extent cx="5682287" cy="398738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93" cy="40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9" w:rsidRDefault="007A18E9" w:rsidP="007A18E9">
      <w:pPr>
        <w:wordWrap/>
        <w:spacing w:line="360" w:lineRule="auto"/>
        <w:rPr>
          <w:rFonts w:ascii="Arial" w:hAnsi="Arial" w:cs="Arial"/>
        </w:rPr>
      </w:pPr>
      <w:r w:rsidRPr="00423ACD">
        <w:rPr>
          <w:rFonts w:ascii="Arial" w:hAnsi="Arial" w:cs="Arial"/>
          <w:b/>
          <w:szCs w:val="24"/>
        </w:rPr>
        <w:t>Figure S</w:t>
      </w:r>
      <w:r>
        <w:rPr>
          <w:rFonts w:ascii="Arial" w:hAnsi="Arial" w:cs="Arial"/>
          <w:b/>
          <w:szCs w:val="24"/>
        </w:rPr>
        <w:t>2</w:t>
      </w:r>
      <w:r w:rsidRPr="00423ACD">
        <w:rPr>
          <w:rFonts w:ascii="Arial" w:hAnsi="Arial" w:cs="Arial"/>
          <w:b/>
          <w:szCs w:val="24"/>
        </w:rPr>
        <w:t>.</w:t>
      </w:r>
      <w:r w:rsidRPr="00423ACD">
        <w:rPr>
          <w:rFonts w:ascii="Arial" w:hAnsi="Arial" w:cs="Arial"/>
          <w:szCs w:val="24"/>
        </w:rPr>
        <w:t xml:space="preserve"> </w:t>
      </w:r>
      <w:r w:rsidRPr="00423ACD">
        <w:rPr>
          <w:rFonts w:ascii="Arial" w:hAnsi="Arial" w:cs="Arial"/>
        </w:rPr>
        <w:t>The fitting graph for obtaining</w:t>
      </w:r>
      <w:r>
        <w:rPr>
          <w:rFonts w:ascii="Arial" w:hAnsi="Arial" w:cs="Arial"/>
        </w:rPr>
        <w:t xml:space="preserve"> the</w:t>
      </w:r>
      <w:r w:rsidRPr="00423ACD">
        <w:rPr>
          <w:rFonts w:ascii="Arial" w:hAnsi="Arial" w:cs="Arial"/>
        </w:rPr>
        <w:t xml:space="preserve"> K</w:t>
      </w:r>
      <w:r w:rsidRPr="00423ACD">
        <w:rPr>
          <w:rFonts w:ascii="Arial" w:hAnsi="Arial" w:cs="Arial"/>
          <w:vertAlign w:val="subscript"/>
        </w:rPr>
        <w:t>d</w:t>
      </w:r>
      <w:r w:rsidRPr="00423ACD">
        <w:rPr>
          <w:rFonts w:ascii="Arial" w:hAnsi="Arial" w:cs="Arial"/>
        </w:rPr>
        <w:t xml:space="preserve"> of the ATP-binding aptamer</w:t>
      </w:r>
      <w:r>
        <w:rPr>
          <w:rFonts w:ascii="Arial" w:hAnsi="Arial" w:cs="Arial"/>
        </w:rPr>
        <w:t xml:space="preserve"> </w:t>
      </w:r>
      <w:r w:rsidRPr="00423ACD">
        <w:rPr>
          <w:rFonts w:ascii="Arial" w:hAnsi="Arial" w:cs="Arial"/>
        </w:rPr>
        <w:t>based on microscale thermophoresis. Regression, y: 1.10*</w:t>
      </w:r>
      <w:r w:rsidRPr="00423ACD">
        <w:rPr>
          <w:rFonts w:ascii="Arial" w:hAnsi="Arial" w:cs="Arial"/>
          <w:i/>
          <w:iCs/>
        </w:rPr>
        <w:t>x</w:t>
      </w:r>
      <w:r w:rsidRPr="00423ACD">
        <w:rPr>
          <w:rFonts w:ascii="Arial" w:hAnsi="Arial" w:cs="Arial"/>
        </w:rPr>
        <w:t xml:space="preserve">/(23.1 + </w:t>
      </w:r>
      <w:r w:rsidRPr="00423ACD">
        <w:rPr>
          <w:rFonts w:ascii="Arial" w:hAnsi="Arial" w:cs="Arial"/>
          <w:i/>
          <w:iCs/>
        </w:rPr>
        <w:t>x</w:t>
      </w:r>
      <w:r w:rsidRPr="00423ACD">
        <w:rPr>
          <w:rFonts w:ascii="Arial" w:hAnsi="Arial" w:cs="Arial"/>
        </w:rPr>
        <w:t>); r</w:t>
      </w:r>
      <w:r w:rsidRPr="00423AC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0.977.</w:t>
      </w:r>
    </w:p>
    <w:p w:rsidR="007A18E9" w:rsidRDefault="007A18E9" w:rsidP="007A18E9">
      <w:pPr>
        <w:wordWrap/>
        <w:spacing w:line="360" w:lineRule="auto"/>
        <w:rPr>
          <w:rFonts w:ascii="Arial" w:hAnsi="Arial" w:cs="Arial"/>
        </w:rPr>
      </w:pPr>
    </w:p>
    <w:p w:rsidR="007A18E9" w:rsidRDefault="007A18E9" w:rsidP="007A18E9">
      <w:pPr>
        <w:wordWrap/>
        <w:spacing w:line="360" w:lineRule="auto"/>
        <w:rPr>
          <w:rFonts w:ascii="Arial" w:hAnsi="Arial" w:cs="Arial"/>
        </w:rPr>
      </w:pPr>
      <w:r w:rsidRPr="006A7F27">
        <w:rPr>
          <w:noProof/>
        </w:rPr>
        <w:lastRenderedPageBreak/>
        <w:drawing>
          <wp:inline distT="0" distB="0" distL="0" distR="0" wp14:anchorId="39BC7C92" wp14:editId="0F03C648">
            <wp:extent cx="5583836" cy="3911064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10" cy="39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9" w:rsidRDefault="007A18E9" w:rsidP="007A18E9">
      <w:pPr>
        <w:wordWrap/>
        <w:spacing w:line="360" w:lineRule="auto"/>
        <w:rPr>
          <w:rFonts w:ascii="Arial" w:hAnsi="Arial" w:cs="Arial"/>
        </w:rPr>
      </w:pPr>
      <w:r w:rsidRPr="00FC4868">
        <w:rPr>
          <w:rFonts w:ascii="Arial" w:hAnsi="Arial" w:cs="Arial" w:hint="eastAsia"/>
          <w:b/>
        </w:rPr>
        <w:t>Figure S3.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Target specificity of the a</w:t>
      </w:r>
      <w:r w:rsidRPr="006A7F27">
        <w:rPr>
          <w:rFonts w:ascii="Arial" w:hAnsi="Arial" w:cs="Arial" w:hint="eastAsia"/>
        </w:rPr>
        <w:t xml:space="preserve">ntisense-free DDM. </w:t>
      </w:r>
      <w:r w:rsidRPr="006A7F27">
        <w:rPr>
          <w:rFonts w:ascii="Arial" w:hAnsi="Arial" w:cs="Arial"/>
        </w:rPr>
        <w:t>All ATP analogues</w:t>
      </w:r>
      <w:r>
        <w:rPr>
          <w:rFonts w:ascii="Arial" w:hAnsi="Arial" w:cs="Arial"/>
        </w:rPr>
        <w:t xml:space="preserve">, including adenosine (Ade), </w:t>
      </w:r>
      <w:r w:rsidRPr="006A7F27">
        <w:rPr>
          <w:rFonts w:ascii="Arial" w:hAnsi="Arial" w:cs="Arial"/>
        </w:rPr>
        <w:t xml:space="preserve">were present at 1 mM. </w:t>
      </w:r>
    </w:p>
    <w:p w:rsidR="007A18E9" w:rsidRPr="00423ACD" w:rsidRDefault="007A18E9" w:rsidP="007A18E9">
      <w:pPr>
        <w:wordWrap/>
        <w:spacing w:line="360" w:lineRule="auto"/>
        <w:rPr>
          <w:rFonts w:ascii="Arial" w:hAnsi="Arial" w:cs="Arial"/>
        </w:rPr>
      </w:pPr>
    </w:p>
    <w:p w:rsidR="007A18E9" w:rsidRDefault="007A18E9" w:rsidP="007A18E9">
      <w:pPr>
        <w:widowControl/>
        <w:wordWrap/>
        <w:autoSpaceDE/>
        <w:autoSpaceDN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A18E9" w:rsidRPr="009A3B43" w:rsidRDefault="007A18E9" w:rsidP="007A18E9">
      <w:pPr>
        <w:wordWrap/>
        <w:spacing w:line="360" w:lineRule="auto"/>
        <w:rPr>
          <w:rFonts w:ascii="Arial" w:hAnsi="Arial" w:cs="Arial"/>
          <w:szCs w:val="24"/>
        </w:rPr>
      </w:pPr>
      <w:r w:rsidRPr="009A3B43">
        <w:rPr>
          <w:rFonts w:ascii="Arial" w:hAnsi="Arial" w:cs="Arial"/>
          <w:b/>
          <w:szCs w:val="24"/>
        </w:rPr>
        <w:lastRenderedPageBreak/>
        <w:t>Table S</w:t>
      </w:r>
      <w:r>
        <w:rPr>
          <w:rFonts w:ascii="Arial" w:hAnsi="Arial" w:cs="Arial"/>
          <w:b/>
          <w:szCs w:val="24"/>
        </w:rPr>
        <w:t>4</w:t>
      </w:r>
      <w:r w:rsidRPr="009A3B43">
        <w:rPr>
          <w:rFonts w:ascii="Arial" w:hAnsi="Arial" w:cs="Arial"/>
          <w:b/>
          <w:szCs w:val="24"/>
        </w:rPr>
        <w:t>.</w:t>
      </w:r>
      <w:r w:rsidRPr="009A3B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ATP detection range</w:t>
      </w:r>
      <w:r w:rsidRPr="009A3B43">
        <w:rPr>
          <w:rFonts w:ascii="Arial" w:hAnsi="Arial" w:cs="Arial"/>
          <w:szCs w:val="24"/>
        </w:rPr>
        <w:t xml:space="preserve"> of the </w:t>
      </w:r>
      <w:r>
        <w:rPr>
          <w:rFonts w:ascii="Arial" w:hAnsi="Arial" w:cs="Arial"/>
          <w:szCs w:val="24"/>
        </w:rPr>
        <w:t>EDM</w:t>
      </w:r>
      <w:r w:rsidRPr="009A3B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at varying</w:t>
      </w:r>
      <w:r w:rsidRPr="009A3B43">
        <w:rPr>
          <w:rFonts w:ascii="Arial" w:hAnsi="Arial" w:cs="Arial"/>
          <w:szCs w:val="24"/>
        </w:rPr>
        <w:t xml:space="preserve"> Tris </w:t>
      </w:r>
      <w:r>
        <w:rPr>
          <w:rFonts w:ascii="Arial" w:hAnsi="Arial" w:cs="Arial"/>
          <w:szCs w:val="24"/>
        </w:rPr>
        <w:t>concentrations</w:t>
      </w:r>
      <w:r w:rsidRPr="009A3B43">
        <w:rPr>
          <w:rFonts w:ascii="Arial" w:hAnsi="Arial" w:cs="Arial"/>
          <w:szCs w:val="24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23"/>
      </w:tblGrid>
      <w:tr w:rsidR="007A18E9" w:rsidRPr="00951985" w:rsidTr="00CF00C7">
        <w:trPr>
          <w:trHeight w:val="20"/>
        </w:trPr>
        <w:tc>
          <w:tcPr>
            <w:tcW w:w="1885" w:type="pct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Tris concentration (mM)</w:t>
            </w:r>
          </w:p>
        </w:tc>
        <w:tc>
          <w:tcPr>
            <w:tcW w:w="3115" w:type="pct"/>
            <w:tcBorders>
              <w:top w:val="nil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b/>
                <w:bCs/>
                <w:sz w:val="24"/>
                <w:szCs w:val="24"/>
              </w:rPr>
              <w:t>Detection range (mM)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3115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1.36 ~ 4.19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15.0 ~ 32.9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18.0 ~ 37.3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51.5 ~ 114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88.6 ~ 198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126 ~ 273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213 ~ 443</w:t>
            </w:r>
          </w:p>
        </w:tc>
      </w:tr>
      <w:tr w:rsidR="007A18E9" w:rsidRPr="00951985" w:rsidTr="00CF00C7">
        <w:trPr>
          <w:trHeight w:val="20"/>
        </w:trPr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2100 </w:t>
            </w:r>
          </w:p>
        </w:tc>
        <w:tc>
          <w:tcPr>
            <w:tcW w:w="3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7A18E9" w:rsidRPr="00951985" w:rsidRDefault="007A18E9" w:rsidP="00CF00C7">
            <w:pPr>
              <w:wordWrap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51985">
              <w:rPr>
                <w:rFonts w:ascii="Arial" w:hAnsi="Arial" w:cs="Arial"/>
                <w:sz w:val="24"/>
                <w:szCs w:val="24"/>
              </w:rPr>
              <w:t>282 ~ 506</w:t>
            </w:r>
          </w:p>
        </w:tc>
      </w:tr>
    </w:tbl>
    <w:p w:rsidR="007A18E9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</w:p>
    <w:p w:rsidR="007A18E9" w:rsidRDefault="007A18E9" w:rsidP="007A18E9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18E9" w:rsidRPr="00951985" w:rsidRDefault="007A18E9" w:rsidP="007A18E9">
      <w:pPr>
        <w:wordWrap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1BB7">
        <w:rPr>
          <w:rFonts w:hint="eastAsia"/>
          <w:noProof/>
        </w:rPr>
        <w:lastRenderedPageBreak/>
        <w:drawing>
          <wp:inline distT="0" distB="0" distL="0" distR="0" wp14:anchorId="1EDA7872" wp14:editId="3E4B8169">
            <wp:extent cx="5478905" cy="3842606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95" cy="386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9" w:rsidRDefault="007A18E9" w:rsidP="007A18E9">
      <w:pPr>
        <w:widowControl/>
        <w:wordWrap/>
        <w:autoSpaceDE/>
        <w:autoSpaceDN/>
        <w:rPr>
          <w:rFonts w:ascii="Arial" w:hAnsi="Arial" w:cs="Arial"/>
          <w:szCs w:val="24"/>
        </w:rPr>
      </w:pPr>
      <w:r w:rsidRPr="00FC4868">
        <w:rPr>
          <w:rFonts w:ascii="Arial" w:hAnsi="Arial" w:cs="Arial" w:hint="eastAsia"/>
          <w:b/>
          <w:szCs w:val="24"/>
        </w:rPr>
        <w:t>Figure S4.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EDM specificity in the absence of </w:t>
      </w:r>
      <w:r w:rsidRPr="009B1BB7">
        <w:rPr>
          <w:rFonts w:ascii="Arial" w:hAnsi="Arial" w:cs="Arial"/>
          <w:szCs w:val="24"/>
        </w:rPr>
        <w:t xml:space="preserve">Tris. All ATP analogues were </w:t>
      </w:r>
      <w:r>
        <w:rPr>
          <w:rFonts w:ascii="Arial" w:hAnsi="Arial" w:cs="Arial"/>
          <w:szCs w:val="24"/>
        </w:rPr>
        <w:t>present at</w:t>
      </w:r>
      <w:r w:rsidRPr="009B1BB7">
        <w:rPr>
          <w:rFonts w:ascii="Arial" w:hAnsi="Arial" w:cs="Arial"/>
          <w:szCs w:val="24"/>
        </w:rPr>
        <w:t xml:space="preserve"> 3 mM, and the peroxidation </w:t>
      </w:r>
      <w:r>
        <w:rPr>
          <w:rFonts w:ascii="Arial" w:hAnsi="Arial" w:cs="Arial"/>
          <w:szCs w:val="24"/>
        </w:rPr>
        <w:t xml:space="preserve">reaction occurred </w:t>
      </w:r>
      <w:r w:rsidRPr="009B1BB7">
        <w:rPr>
          <w:rFonts w:ascii="Arial" w:hAnsi="Arial" w:cs="Arial"/>
          <w:szCs w:val="24"/>
        </w:rPr>
        <w:t xml:space="preserve">for 1 h. </w:t>
      </w:r>
    </w:p>
    <w:p w:rsidR="007A18E9" w:rsidRDefault="007A18E9"/>
    <w:p w:rsidR="007A3DA4" w:rsidRDefault="007A3DA4"/>
    <w:sectPr w:rsidR="007A3D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BA" w:rsidRDefault="00AA07BA" w:rsidP="001C16A5">
      <w:pPr>
        <w:spacing w:after="0" w:line="240" w:lineRule="auto"/>
      </w:pPr>
      <w:r>
        <w:separator/>
      </w:r>
    </w:p>
  </w:endnote>
  <w:endnote w:type="continuationSeparator" w:id="0">
    <w:p w:rsidR="00AA07BA" w:rsidRDefault="00AA07BA" w:rsidP="001C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BA" w:rsidRDefault="00AA07BA" w:rsidP="001C16A5">
      <w:pPr>
        <w:spacing w:after="0" w:line="240" w:lineRule="auto"/>
      </w:pPr>
      <w:r>
        <w:separator/>
      </w:r>
    </w:p>
  </w:footnote>
  <w:footnote w:type="continuationSeparator" w:id="0">
    <w:p w:rsidR="00AA07BA" w:rsidRDefault="00AA07BA" w:rsidP="001C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DE7"/>
    <w:multiLevelType w:val="multilevel"/>
    <w:tmpl w:val="BCDCC42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" w15:restartNumberingAfterBreak="0">
    <w:nsid w:val="28D70BF6"/>
    <w:multiLevelType w:val="hybridMultilevel"/>
    <w:tmpl w:val="54A2442C"/>
    <w:lvl w:ilvl="0" w:tplc="92A663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367BA6"/>
    <w:multiLevelType w:val="multilevel"/>
    <w:tmpl w:val="4100F1E8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8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3" w15:restartNumberingAfterBreak="0">
    <w:nsid w:val="72724C3D"/>
    <w:multiLevelType w:val="hybridMultilevel"/>
    <w:tmpl w:val="2070D576"/>
    <w:lvl w:ilvl="0" w:tplc="5B6CAAC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9"/>
    <w:rsid w:val="000A0B5C"/>
    <w:rsid w:val="000C1814"/>
    <w:rsid w:val="001C16A5"/>
    <w:rsid w:val="001E55D3"/>
    <w:rsid w:val="003B4AD1"/>
    <w:rsid w:val="004B4F4E"/>
    <w:rsid w:val="00506E4B"/>
    <w:rsid w:val="00680B72"/>
    <w:rsid w:val="00693576"/>
    <w:rsid w:val="006C5210"/>
    <w:rsid w:val="006D01DB"/>
    <w:rsid w:val="007A18E9"/>
    <w:rsid w:val="007A3DA4"/>
    <w:rsid w:val="00A05550"/>
    <w:rsid w:val="00AA07BA"/>
    <w:rsid w:val="00B56E7B"/>
    <w:rsid w:val="00BB4484"/>
    <w:rsid w:val="00D04F00"/>
    <w:rsid w:val="00D70A4F"/>
    <w:rsid w:val="00D826D4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D151-60A9-43AC-BB7C-63CB7D7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7A18E9"/>
  </w:style>
  <w:style w:type="paragraph" w:styleId="a3">
    <w:name w:val="List Paragraph"/>
    <w:basedOn w:val="a"/>
    <w:uiPriority w:val="34"/>
    <w:qFormat/>
    <w:rsid w:val="00D04F0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C16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16A5"/>
  </w:style>
  <w:style w:type="paragraph" w:styleId="a5">
    <w:name w:val="footer"/>
    <w:basedOn w:val="a"/>
    <w:link w:val="Char0"/>
    <w:uiPriority w:val="99"/>
    <w:unhideWhenUsed/>
    <w:rsid w:val="001C16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search?newwindow=1&amp;q=kremsmunster&amp;stick=H4sIAAAAAAAAAOPgE-LSz9U3SEvONjGuUgKzjUxLCouMtLSyk63084vSE_MyqxJLMvPzUDhWGamJKYWliUUlqUXFi1h5sotSc4tzS_OKgXwAmA4nBlUAAAA&amp;sa=X&amp;ved=2ahUKEwjx06Ow2ezhAhVxw4sBHauoCJoQmxMoATAOegQICx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kr/search?newwindow=1&amp;q=kremsmunster&amp;stick=H4sIAAAAAAAAAOPgE-LSz9U3SEvONjGuUgKzjUxLCouMtLSyk63084vSE_MyqxJLMvPzUDhWGamJKYWliUUlqUXFi1h5sotSc4tzS_OKgXwAmA4nBlUAAAA&amp;sa=X&amp;ved=2ahUKEwjx06Ow2ezhAhVxw4sBHauoCJoQmxMoATAOegQICxAE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16</cp:revision>
  <dcterms:created xsi:type="dcterms:W3CDTF">2019-08-03T08:52:00Z</dcterms:created>
  <dcterms:modified xsi:type="dcterms:W3CDTF">2019-08-03T09:19:00Z</dcterms:modified>
</cp:coreProperties>
</file>