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rPr>
          <w:b/>
          <w:b/>
          <w:bCs/>
        </w:rPr>
      </w:pPr>
      <w:r>
        <w:rPr>
          <w:b/>
          <w:bCs/>
        </w:rPr>
        <w:t>Supplementary information</w:t>
      </w:r>
    </w:p>
    <w:p>
      <w:pPr>
        <w:pStyle w:val="Normal"/>
        <w:spacing w:before="57" w:after="57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57" w:after="57"/>
        <w:rPr/>
      </w:pPr>
      <w:r>
        <w:rPr/>
        <w:drawing>
          <wp:inline distT="0" distB="0" distL="0" distR="0">
            <wp:extent cx="6120130" cy="4829810"/>
            <wp:effectExtent l="0" t="0" r="0" b="0"/>
            <wp:docPr id="1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7" w:after="57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57" w:after="57"/>
        <w:jc w:val="center"/>
        <w:rPr>
          <w:i/>
          <w:i/>
          <w:iCs/>
        </w:rPr>
      </w:pPr>
      <w:r>
        <w:rPr>
          <w:i/>
          <w:iCs/>
        </w:rPr>
        <w:t>Supplementary Figure 1: Statistical power of detecting above chance model performance. Y-axis shows the proportion of statistically significant results (p &lt; 0.05) obtain from 1000 random draws from each dataset. A: simulated predictions, the performance of the the model was fixed, but we manipulated the sample size. B: SVM fitted on simulated data, C: OASIS gray matter gender prediction, OASIS white matter gender predictions, E: OASIS gray matter diagnosis prediction, F: OASIS white matter diagnosis prediction, G: ABIDE cortical thickness gender prediction, H: Pima Indians diabetes benchmark dataset, I: Sonar benchmark dataset, J: Musk benchmark dataset K: Spam benchmark dataset.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102</Words>
  <Characters>613</Characters>
  <CharactersWithSpaces>713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2019-08-21T16:34:50Z</dcterms:created>
  <dc:creator>RD </dc:creator>
  <dc:description/>
  <dc:language>en-US</dc:language>
  <cp:lastModifiedBy>RD </cp:lastModifiedBy>
  <dcterms:modified xsi:type="dcterms:W3CDTF">2019-08-21T16:35:19Z</dcterms:modified>
  <cp:revision>1</cp:revision>
  <dc:subject/>
  <dc:title/>
</cp:coreProperties>
</file>