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51ADD" w14:textId="77777777" w:rsidR="0049512A" w:rsidRDefault="0049512A" w:rsidP="0049512A">
      <w:pPr>
        <w:pBdr>
          <w:top w:val="nil"/>
          <w:left w:val="nil"/>
          <w:bottom w:val="nil"/>
          <w:right w:val="nil"/>
          <w:between w:val="nil"/>
        </w:pBdr>
        <w:spacing w:after="96" w:line="360" w:lineRule="auto"/>
        <w:jc w:val="both"/>
        <w:rPr>
          <w:rFonts w:ascii="Arial" w:eastAsia="Arial" w:hAnsi="Arial" w:cs="Arial"/>
          <w:color w:val="000000"/>
        </w:rPr>
      </w:pPr>
      <w:r w:rsidRPr="00B62A23">
        <w:rPr>
          <w:rFonts w:ascii="Arial" w:eastAsia="Arial" w:hAnsi="Arial" w:cs="Arial"/>
          <w:noProof/>
          <w:color w:val="000000"/>
          <w:lang w:val="en-US" w:eastAsia="en-US"/>
        </w:rPr>
        <w:drawing>
          <wp:inline distT="0" distB="0" distL="0" distR="0" wp14:anchorId="45EEA06D" wp14:editId="6E8D5115">
            <wp:extent cx="5330978" cy="1945759"/>
            <wp:effectExtent l="0" t="0" r="3175" b="0"/>
            <wp:docPr id="12" name="Picture 12" descr="D:\intron_vaigistam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ron_vaigistamin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7781" cy="1948242"/>
                    </a:xfrm>
                    <a:prstGeom prst="rect">
                      <a:avLst/>
                    </a:prstGeom>
                    <a:noFill/>
                    <a:ln>
                      <a:noFill/>
                    </a:ln>
                  </pic:spPr>
                </pic:pic>
              </a:graphicData>
            </a:graphic>
          </wp:inline>
        </w:drawing>
      </w:r>
    </w:p>
    <w:p w14:paraId="191461F6" w14:textId="77777777" w:rsidR="0049512A" w:rsidRDefault="0049512A" w:rsidP="0049512A">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 xml:space="preserve">Supplementary figure 1. Silencing of </w:t>
      </w:r>
      <w:r>
        <w:rPr>
          <w:rFonts w:ascii="Arial" w:eastAsia="Arial" w:hAnsi="Arial" w:cs="Arial"/>
          <w:b/>
          <w:i/>
          <w:color w:val="000000"/>
        </w:rPr>
        <w:t>da</w:t>
      </w:r>
      <w:r>
        <w:rPr>
          <w:rFonts w:ascii="Arial" w:eastAsia="Arial" w:hAnsi="Arial" w:cs="Arial"/>
          <w:b/>
          <w:color w:val="000000"/>
        </w:rPr>
        <w:t xml:space="preserve"> in larval brain reduces Da levels</w:t>
      </w:r>
      <w:r>
        <w:rPr>
          <w:rFonts w:ascii="Arial" w:eastAsia="Arial" w:hAnsi="Arial" w:cs="Arial"/>
          <w:color w:val="000000"/>
        </w:rPr>
        <w:t xml:space="preserve">. A - Western blot analysis with anti-FLAG antibody of dissected third instar larval brains. Numbers on the right indicate molecular weight in kDa, 3xFLAG-da - larval brains where Da is tagged with 3xFLAG epitope, Control </w:t>
      </w:r>
      <w:r>
        <w:rPr>
          <w:rFonts w:ascii="Arial" w:eastAsia="Arial" w:hAnsi="Arial" w:cs="Arial"/>
          <w:i/>
          <w:color w:val="000000"/>
        </w:rPr>
        <w:t>– 3xFLAG</w:t>
      </w:r>
      <w:r>
        <w:rPr>
          <w:rFonts w:ascii="Arial" w:eastAsia="Arial" w:hAnsi="Arial" w:cs="Arial"/>
          <w:color w:val="000000"/>
        </w:rPr>
        <w:t>-</w:t>
      </w:r>
      <w:r>
        <w:rPr>
          <w:rFonts w:ascii="Arial" w:eastAsia="Arial" w:hAnsi="Arial" w:cs="Arial"/>
          <w:i/>
          <w:color w:val="000000"/>
        </w:rPr>
        <w:t>da</w:t>
      </w:r>
      <w:r>
        <w:rPr>
          <w:rFonts w:ascii="Arial" w:eastAsia="Arial" w:hAnsi="Arial" w:cs="Arial"/>
          <w:color w:val="000000"/>
        </w:rPr>
        <w:t>;GMR12B08&gt;</w:t>
      </w:r>
      <w:r>
        <w:rPr>
          <w:rFonts w:ascii="Arial" w:eastAsia="Arial" w:hAnsi="Arial" w:cs="Arial"/>
          <w:i/>
          <w:color w:val="000000"/>
        </w:rPr>
        <w:t>Dcr2</w:t>
      </w:r>
      <w:r>
        <w:rPr>
          <w:rFonts w:ascii="Arial" w:eastAsia="Arial" w:hAnsi="Arial" w:cs="Arial"/>
          <w:color w:val="000000"/>
        </w:rPr>
        <w:t xml:space="preserve"> larval brains, da</w:t>
      </w:r>
      <w:r>
        <w:rPr>
          <w:rFonts w:ascii="Arial" w:eastAsia="Arial" w:hAnsi="Arial" w:cs="Arial"/>
          <w:color w:val="000000"/>
          <w:vertAlign w:val="superscript"/>
        </w:rPr>
        <w:t>RNAi</w:t>
      </w:r>
      <w:r>
        <w:rPr>
          <w:rFonts w:ascii="Arial" w:eastAsia="Arial" w:hAnsi="Arial" w:cs="Arial"/>
          <w:color w:val="000000"/>
        </w:rPr>
        <w:t xml:space="preserve"> – </w:t>
      </w:r>
      <w:r>
        <w:rPr>
          <w:rFonts w:ascii="Arial" w:eastAsia="Arial" w:hAnsi="Arial" w:cs="Arial"/>
          <w:i/>
          <w:color w:val="000000"/>
        </w:rPr>
        <w:t>3xFLAG</w:t>
      </w:r>
      <w:r>
        <w:rPr>
          <w:rFonts w:ascii="Arial" w:eastAsia="Arial" w:hAnsi="Arial" w:cs="Arial"/>
          <w:color w:val="000000"/>
        </w:rPr>
        <w:t>-</w:t>
      </w:r>
      <w:r>
        <w:rPr>
          <w:rFonts w:ascii="Arial" w:eastAsia="Arial" w:hAnsi="Arial" w:cs="Arial"/>
          <w:i/>
          <w:color w:val="000000"/>
        </w:rPr>
        <w:t>da</w:t>
      </w:r>
      <w:r>
        <w:rPr>
          <w:rFonts w:ascii="Arial" w:eastAsia="Arial" w:hAnsi="Arial" w:cs="Arial"/>
          <w:color w:val="000000"/>
        </w:rPr>
        <w:t>;GMR12B08&gt;</w:t>
      </w:r>
      <w:r>
        <w:rPr>
          <w:rFonts w:ascii="Arial" w:eastAsia="Arial" w:hAnsi="Arial" w:cs="Arial"/>
          <w:i/>
          <w:color w:val="000000"/>
        </w:rPr>
        <w:t>Dcr2</w:t>
      </w:r>
      <w:r>
        <w:rPr>
          <w:rFonts w:ascii="Arial" w:eastAsia="Arial" w:hAnsi="Arial" w:cs="Arial"/>
          <w:color w:val="000000"/>
        </w:rPr>
        <w:t>,</w:t>
      </w:r>
      <w:r>
        <w:rPr>
          <w:rFonts w:ascii="Arial" w:eastAsia="Arial" w:hAnsi="Arial" w:cs="Arial"/>
          <w:i/>
          <w:color w:val="000000"/>
        </w:rPr>
        <w:t>da</w:t>
      </w:r>
      <w:r>
        <w:rPr>
          <w:rFonts w:ascii="Arial" w:eastAsia="Arial" w:hAnsi="Arial" w:cs="Arial"/>
          <w:i/>
          <w:color w:val="000000"/>
          <w:vertAlign w:val="superscript"/>
        </w:rPr>
        <w:t>RNAi</w:t>
      </w:r>
      <w:r>
        <w:rPr>
          <w:rFonts w:ascii="Arial" w:eastAsia="Arial" w:hAnsi="Arial" w:cs="Arial"/>
          <w:color w:val="000000"/>
        </w:rPr>
        <w:t xml:space="preserve"> larval brains, wt - </w:t>
      </w:r>
      <w:r>
        <w:rPr>
          <w:rFonts w:ascii="Arial" w:eastAsia="Arial" w:hAnsi="Arial" w:cs="Arial"/>
          <w:i/>
          <w:color w:val="000000"/>
        </w:rPr>
        <w:t>white</w:t>
      </w:r>
      <w:r>
        <w:rPr>
          <w:rFonts w:ascii="Arial" w:eastAsia="Arial" w:hAnsi="Arial" w:cs="Arial"/>
          <w:i/>
          <w:color w:val="000000"/>
          <w:vertAlign w:val="superscript"/>
        </w:rPr>
        <w:t xml:space="preserve">1118  </w:t>
      </w:r>
      <w:r>
        <w:rPr>
          <w:rFonts w:ascii="Arial" w:eastAsia="Arial" w:hAnsi="Arial" w:cs="Arial"/>
          <w:color w:val="000000"/>
        </w:rPr>
        <w:t xml:space="preserve">larval brains for control lacking the 3xFLAG tag. B - upon silencing of </w:t>
      </w:r>
      <w:r>
        <w:rPr>
          <w:rFonts w:ascii="Arial" w:eastAsia="Arial" w:hAnsi="Arial" w:cs="Arial"/>
          <w:i/>
          <w:color w:val="000000"/>
        </w:rPr>
        <w:t>da</w:t>
      </w:r>
      <w:r>
        <w:rPr>
          <w:rFonts w:ascii="Arial" w:eastAsia="Arial" w:hAnsi="Arial" w:cs="Arial"/>
          <w:color w:val="000000"/>
        </w:rPr>
        <w:t xml:space="preserve"> the Da expression levels were reduced about 35% compared to </w:t>
      </w:r>
      <w:r>
        <w:rPr>
          <w:rFonts w:ascii="Arial" w:eastAsia="Arial" w:hAnsi="Arial" w:cs="Arial"/>
          <w:i/>
          <w:color w:val="000000"/>
        </w:rPr>
        <w:t>3xFLAG</w:t>
      </w:r>
      <w:r>
        <w:rPr>
          <w:rFonts w:ascii="Arial" w:eastAsia="Arial" w:hAnsi="Arial" w:cs="Arial"/>
          <w:color w:val="000000"/>
        </w:rPr>
        <w:t>-</w:t>
      </w:r>
      <w:r>
        <w:rPr>
          <w:rFonts w:ascii="Arial" w:eastAsia="Arial" w:hAnsi="Arial" w:cs="Arial"/>
          <w:i/>
          <w:color w:val="000000"/>
        </w:rPr>
        <w:t>da</w:t>
      </w:r>
      <w:r>
        <w:rPr>
          <w:rFonts w:ascii="Arial" w:eastAsia="Arial" w:hAnsi="Arial" w:cs="Arial"/>
          <w:color w:val="000000"/>
        </w:rPr>
        <w:t xml:space="preserve"> and about 25% compared to </w:t>
      </w:r>
      <w:r>
        <w:rPr>
          <w:rFonts w:ascii="Arial" w:eastAsia="Arial" w:hAnsi="Arial" w:cs="Arial"/>
          <w:i/>
          <w:color w:val="000000"/>
        </w:rPr>
        <w:t>3xFLAG</w:t>
      </w:r>
      <w:r>
        <w:rPr>
          <w:rFonts w:ascii="Arial" w:eastAsia="Arial" w:hAnsi="Arial" w:cs="Arial"/>
          <w:color w:val="000000"/>
        </w:rPr>
        <w:t>-</w:t>
      </w:r>
      <w:r>
        <w:rPr>
          <w:rFonts w:ascii="Arial" w:eastAsia="Arial" w:hAnsi="Arial" w:cs="Arial"/>
          <w:i/>
          <w:color w:val="000000"/>
        </w:rPr>
        <w:t>da</w:t>
      </w:r>
      <w:r>
        <w:rPr>
          <w:rFonts w:ascii="Arial" w:eastAsia="Arial" w:hAnsi="Arial" w:cs="Arial"/>
          <w:color w:val="000000"/>
        </w:rPr>
        <w:t>;GMR12B08&gt;</w:t>
      </w:r>
      <w:r>
        <w:rPr>
          <w:rFonts w:ascii="Arial" w:eastAsia="Arial" w:hAnsi="Arial" w:cs="Arial"/>
          <w:i/>
          <w:color w:val="000000"/>
        </w:rPr>
        <w:t>Dcr2</w:t>
      </w:r>
      <w:r>
        <w:rPr>
          <w:rFonts w:ascii="Arial" w:eastAsia="Arial" w:hAnsi="Arial" w:cs="Arial"/>
          <w:color w:val="000000"/>
        </w:rPr>
        <w:t xml:space="preserve"> larval brains. Shown are the results of densitometric analysis of Western blot, 3xFLAG-Da signals were normalized using β-tubulin signals. The mean results from three independent Western blots are shown. Error bars show standard errors. Statistical significance is shown with asterisks between the groups connected with lines. *P&lt;0.05, **P&lt;0.01, ***P&lt;0.001.</w:t>
      </w:r>
    </w:p>
    <w:p w14:paraId="3DFECD65" w14:textId="77777777" w:rsidR="0049512A" w:rsidRDefault="0049512A" w:rsidP="0049512A">
      <w:pPr>
        <w:pBdr>
          <w:top w:val="nil"/>
          <w:left w:val="nil"/>
          <w:bottom w:val="nil"/>
          <w:right w:val="nil"/>
          <w:between w:val="nil"/>
        </w:pBdr>
        <w:spacing w:after="0" w:line="360" w:lineRule="auto"/>
        <w:jc w:val="both"/>
        <w:rPr>
          <w:rFonts w:ascii="Arial" w:eastAsia="Arial" w:hAnsi="Arial" w:cs="Arial"/>
          <w:color w:val="000000"/>
        </w:rPr>
      </w:pPr>
    </w:p>
    <w:p w14:paraId="731A69EA" w14:textId="77777777" w:rsidR="0049512A" w:rsidRDefault="0049512A" w:rsidP="0049512A">
      <w:pPr>
        <w:pBdr>
          <w:top w:val="nil"/>
          <w:left w:val="nil"/>
          <w:bottom w:val="nil"/>
          <w:right w:val="nil"/>
          <w:between w:val="nil"/>
        </w:pBdr>
        <w:spacing w:after="0" w:line="360" w:lineRule="auto"/>
        <w:jc w:val="both"/>
        <w:rPr>
          <w:rFonts w:ascii="Arial" w:eastAsia="Arial" w:hAnsi="Arial" w:cs="Arial"/>
          <w:color w:val="000000"/>
        </w:rPr>
      </w:pPr>
      <w:r w:rsidRPr="00B62A23">
        <w:rPr>
          <w:rFonts w:ascii="Arial" w:eastAsia="Arial" w:hAnsi="Arial" w:cs="Arial"/>
          <w:noProof/>
          <w:color w:val="000000"/>
          <w:lang w:val="en-US" w:eastAsia="en-US"/>
        </w:rPr>
        <w:drawing>
          <wp:inline distT="0" distB="0" distL="0" distR="0" wp14:anchorId="3E6C8A84" wp14:editId="650AB567">
            <wp:extent cx="5888739" cy="2020187"/>
            <wp:effectExtent l="0" t="0" r="0" b="0"/>
            <wp:docPr id="16" name="Picture 16" descr="D:\Lõhna ja maitse tundm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õhna ja maitse tundmin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435" cy="2023170"/>
                    </a:xfrm>
                    <a:prstGeom prst="rect">
                      <a:avLst/>
                    </a:prstGeom>
                    <a:noFill/>
                    <a:ln>
                      <a:noFill/>
                    </a:ln>
                  </pic:spPr>
                </pic:pic>
              </a:graphicData>
            </a:graphic>
          </wp:inline>
        </w:drawing>
      </w:r>
    </w:p>
    <w:p w14:paraId="575E281F" w14:textId="77777777" w:rsidR="00630BAB" w:rsidRDefault="0049512A" w:rsidP="00630BAB">
      <w:pPr>
        <w:pBdr>
          <w:top w:val="nil"/>
          <w:left w:val="nil"/>
          <w:bottom w:val="nil"/>
          <w:right w:val="nil"/>
          <w:between w:val="nil"/>
        </w:pBdr>
        <w:spacing w:after="96" w:line="360" w:lineRule="auto"/>
        <w:jc w:val="both"/>
        <w:rPr>
          <w:rFonts w:ascii="Arial" w:eastAsia="Arial" w:hAnsi="Arial" w:cs="Arial"/>
          <w:color w:val="000000"/>
        </w:rPr>
      </w:pPr>
      <w:r>
        <w:rPr>
          <w:rFonts w:ascii="Arial" w:eastAsia="Arial" w:hAnsi="Arial" w:cs="Arial"/>
          <w:b/>
          <w:color w:val="000000"/>
        </w:rPr>
        <w:t>Supplementary figure 2. Lowered levels of Da</w:t>
      </w:r>
      <w:r>
        <w:rPr>
          <w:rFonts w:ascii="Arial" w:eastAsia="Arial" w:hAnsi="Arial" w:cs="Arial"/>
          <w:b/>
          <w:i/>
          <w:color w:val="000000"/>
        </w:rPr>
        <w:t xml:space="preserve"> </w:t>
      </w:r>
      <w:r>
        <w:rPr>
          <w:rFonts w:ascii="Arial" w:eastAsia="Arial" w:hAnsi="Arial" w:cs="Arial"/>
          <w:b/>
          <w:color w:val="000000"/>
        </w:rPr>
        <w:t>in the nervous system</w:t>
      </w:r>
      <w:r>
        <w:rPr>
          <w:rFonts w:ascii="Arial" w:eastAsia="Arial" w:hAnsi="Arial" w:cs="Arial"/>
          <w:b/>
          <w:i/>
          <w:color w:val="000000"/>
        </w:rPr>
        <w:t xml:space="preserve"> </w:t>
      </w:r>
      <w:r>
        <w:rPr>
          <w:rFonts w:ascii="Arial" w:eastAsia="Arial" w:hAnsi="Arial" w:cs="Arial"/>
          <w:b/>
          <w:color w:val="000000"/>
        </w:rPr>
        <w:t xml:space="preserve">do not affect taste and smell sensing. </w:t>
      </w:r>
      <w:r>
        <w:rPr>
          <w:rFonts w:ascii="Arial" w:eastAsia="Arial" w:hAnsi="Arial" w:cs="Arial"/>
          <w:color w:val="000000"/>
        </w:rPr>
        <w:t xml:space="preserve">Larvae where </w:t>
      </w:r>
      <w:r>
        <w:rPr>
          <w:rFonts w:ascii="Arial" w:eastAsia="Arial" w:hAnsi="Arial" w:cs="Arial"/>
          <w:i/>
          <w:color w:val="000000"/>
        </w:rPr>
        <w:t xml:space="preserve">da </w:t>
      </w:r>
      <w:r>
        <w:rPr>
          <w:rFonts w:ascii="Arial" w:eastAsia="Arial" w:hAnsi="Arial" w:cs="Arial"/>
          <w:color w:val="000000"/>
        </w:rPr>
        <w:t>is silenced using GMR12B08-Gal4, 30Y-Gal4 or 201Y-Gal4 show preference towards fructose and amyl-acetate (AM) – A and B. Larvae do not move towards octanol (OCT) in the case of 30Y-Gal4 and 201Y-Gal4 (C). For statistical analysis one-sample sign test was used.</w:t>
      </w:r>
    </w:p>
    <w:p w14:paraId="52361FAD" w14:textId="77777777" w:rsidR="00630BAB" w:rsidRDefault="00630BAB">
      <w:pPr>
        <w:spacing w:after="0" w:line="240" w:lineRule="auto"/>
        <w:rPr>
          <w:rFonts w:ascii="Arial" w:eastAsia="Arial" w:hAnsi="Arial" w:cs="Arial"/>
          <w:color w:val="000000"/>
        </w:rPr>
      </w:pPr>
      <w:r>
        <w:rPr>
          <w:rFonts w:ascii="Arial" w:eastAsia="Arial" w:hAnsi="Arial" w:cs="Arial"/>
          <w:color w:val="000000"/>
        </w:rPr>
        <w:br w:type="page"/>
      </w:r>
    </w:p>
    <w:p w14:paraId="016A17B4" w14:textId="77777777" w:rsidR="0049512A" w:rsidRPr="00630BAB" w:rsidRDefault="0049512A" w:rsidP="00630BAB">
      <w:pPr>
        <w:pBdr>
          <w:top w:val="nil"/>
          <w:left w:val="nil"/>
          <w:bottom w:val="nil"/>
          <w:right w:val="nil"/>
          <w:between w:val="nil"/>
        </w:pBdr>
        <w:spacing w:after="96" w:line="360" w:lineRule="auto"/>
        <w:jc w:val="both"/>
        <w:rPr>
          <w:rFonts w:ascii="Arial" w:eastAsia="Arial" w:hAnsi="Arial" w:cs="Arial"/>
          <w:color w:val="000000"/>
        </w:rPr>
      </w:pPr>
      <w:r>
        <w:rPr>
          <w:rFonts w:ascii="Arial" w:eastAsia="Arial" w:hAnsi="Arial" w:cs="Arial"/>
          <w:b/>
        </w:rPr>
        <w:lastRenderedPageBreak/>
        <w:t>Supplementary table 1. Used qPCR primers</w:t>
      </w:r>
    </w:p>
    <w:tbl>
      <w:tblPr>
        <w:tblStyle w:val="PlainTable51"/>
        <w:tblW w:w="0" w:type="auto"/>
        <w:shd w:val="clear" w:color="auto" w:fill="FFFFFF" w:themeFill="background1"/>
        <w:tblLook w:val="04A0" w:firstRow="1" w:lastRow="0" w:firstColumn="1" w:lastColumn="0" w:noHBand="0" w:noVBand="1"/>
      </w:tblPr>
      <w:tblGrid>
        <w:gridCol w:w="3020"/>
        <w:gridCol w:w="3021"/>
        <w:gridCol w:w="3021"/>
      </w:tblGrid>
      <w:tr w:rsidR="0049512A" w:rsidRPr="002C2AE4" w14:paraId="59012599" w14:textId="77777777" w:rsidTr="00F10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5E1BFE6D" w14:textId="77777777" w:rsidR="0049512A" w:rsidRPr="002C2AE4" w:rsidRDefault="0049512A" w:rsidP="00F1047C">
            <w:pPr>
              <w:spacing w:line="360" w:lineRule="auto"/>
              <w:jc w:val="center"/>
              <w:rPr>
                <w:rFonts w:ascii="Arial" w:eastAsia="Arial" w:hAnsi="Arial" w:cs="Arial"/>
                <w:b/>
              </w:rPr>
            </w:pPr>
            <w:r w:rsidRPr="002C2AE4">
              <w:rPr>
                <w:rFonts w:ascii="Arial" w:eastAsia="Arial" w:hAnsi="Arial" w:cs="Arial"/>
                <w:b/>
              </w:rPr>
              <w:t>Primers</w:t>
            </w:r>
          </w:p>
        </w:tc>
        <w:tc>
          <w:tcPr>
            <w:tcW w:w="3021" w:type="dxa"/>
          </w:tcPr>
          <w:p w14:paraId="72FC719D" w14:textId="77777777" w:rsidR="0049512A" w:rsidRPr="002C2AE4" w:rsidRDefault="0049512A" w:rsidP="00F1047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b/>
              </w:rPr>
              <w:t>Forward</w:t>
            </w:r>
          </w:p>
        </w:tc>
        <w:tc>
          <w:tcPr>
            <w:tcW w:w="3021" w:type="dxa"/>
          </w:tcPr>
          <w:p w14:paraId="599F8D6B" w14:textId="77777777" w:rsidR="0049512A" w:rsidRPr="002C2AE4" w:rsidRDefault="0049512A" w:rsidP="00F1047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b/>
              </w:rPr>
              <w:t>Reverse</w:t>
            </w:r>
          </w:p>
        </w:tc>
      </w:tr>
      <w:tr w:rsidR="0049512A" w:rsidRPr="002C2AE4" w14:paraId="091134FF"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0C55B8"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 xml:space="preserve">Ac (ChIP) </w:t>
            </w:r>
            <w:r w:rsidRPr="002C2AE4">
              <w:rPr>
                <w:rFonts w:ascii="Arial" w:eastAsia="Arial" w:hAnsi="Arial" w:cs="Arial"/>
                <w:b/>
              </w:rPr>
              <w:fldChar w:fldCharType="begin"/>
            </w:r>
            <w:r w:rsidRPr="002C2AE4">
              <w:rPr>
                <w:rFonts w:ascii="Arial" w:eastAsia="Arial" w:hAnsi="Arial" w:cs="Arial"/>
                <w:b/>
                <w:i w:val="0"/>
              </w:rPr>
              <w:instrText xml:space="preserve"> ADDIN ZOTERO_ITEM CSL_CITATION {"citationID":"5NUFmHtN","properties":{"formattedCitation":"(Andrade-Zapata and Baonza, 2014)","plainCitation":"(Andrade-Zapata and Baonza, 2014)","noteIndex":0},"citationItems":[{"id":157,"uris":["http://zotero.org/users/local/dwOMI6ds/items/CTRMFHW6"],"uri":["http://zotero.org/users/local/dwOMI6ds/items/CTRMFHW6"],"itemData":{"id":157,"type":"article-journal","title":"The bHLH factors extramacrochaetae and daughterless control cell cycle in Drosophila imaginal discs through the transcriptional regulation of the Cdc25 phosphatase string","container-title":"PLoS genetics","page":"e1004233","volume":"10","issue":"3","source":"PubMed","abstract":"One of the major issues in developmental biology is about having a better understanding of the mechanisms that regulate organ growth. Identifying these mechanisms is essential to understand the development processes that occur both in physiological and pathological conditions, such as cancer. The E protein family of basic helix-loop helix (bHLH) transcription factors, and their inhibitors the Id proteins, regulate cell proliferation in metazoans. This notion is further supported because the activity of these factors is frequently deregulated in cancerous cells. The E protein orthologue Daughterless (Da) and the Id orthologue Extramacrochaetae (Emc) are the only members of these classes of bHLH proteins in Drosophila. Although these factors are involved in controlling proliferation, the mechanism underlying this regulatory activity is poorly understood. Through a genetic analysis, we show that during the development of epithelial cells in the imaginal discs, the G2/M transition, and hence cell proliferation, is controlled by Emc via Da. In eukaryotic cells, the main activator of this transition is the Cdc25 phosphatase, string. Our genetic analyses reveal that the ectopic expression of string in cells with reduced levels of Emc or high levels of Da is sufficient to rescue the proliferative defects seen in these mutant cells. Moreover, we present evidence demonstrating a role of Da as a transcriptional repressor of string. Taken together, these findings define a mechanism through which Emc controls cell proliferation by regulating the activity of Da, which transcriptionally represses string.","DOI":"10.1371/journal.pgen.1004233","ISSN":"1553-7404","note":"PMID: 24651265\nPMCID: PMC3961188","journalAbbreviation":"PLoS Genet.","language":"eng","author":[{"family":"Andrade-Zapata","given":"Irene"},{"family":"Baonza","given":"Antonio"}],"issued":{"date-parts":[["2014",3]]}}}],"schema":"https://github.com/citation-style-language/schema/raw/master/csl-citation.json"} </w:instrText>
            </w:r>
            <w:r w:rsidRPr="002C2AE4">
              <w:rPr>
                <w:rFonts w:ascii="Arial" w:eastAsia="Arial" w:hAnsi="Arial" w:cs="Arial"/>
                <w:b/>
              </w:rPr>
              <w:fldChar w:fldCharType="separate"/>
            </w:r>
            <w:r w:rsidRPr="002C2AE4">
              <w:rPr>
                <w:rFonts w:ascii="Arial" w:hAnsi="Arial" w:cs="Arial"/>
                <w:i w:val="0"/>
              </w:rPr>
              <w:t>(Andrade-Zapata and Baonza, 2014)</w:t>
            </w:r>
            <w:r w:rsidRPr="002C2AE4">
              <w:rPr>
                <w:rFonts w:ascii="Arial" w:eastAsia="Arial" w:hAnsi="Arial" w:cs="Arial"/>
                <w:b/>
              </w:rPr>
              <w:fldChar w:fldCharType="end"/>
            </w:r>
          </w:p>
        </w:tc>
        <w:tc>
          <w:tcPr>
            <w:tcW w:w="3021" w:type="dxa"/>
            <w:shd w:val="clear" w:color="auto" w:fill="FFFFFF" w:themeFill="background1"/>
            <w:vAlign w:val="center"/>
          </w:tcPr>
          <w:p w14:paraId="20414658"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ggtatcagggcctagggatcc</w:t>
            </w:r>
          </w:p>
        </w:tc>
        <w:tc>
          <w:tcPr>
            <w:tcW w:w="3021" w:type="dxa"/>
            <w:shd w:val="clear" w:color="auto" w:fill="FFFFFF" w:themeFill="background1"/>
            <w:vAlign w:val="center"/>
          </w:tcPr>
          <w:p w14:paraId="033450ED"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gatccttcagtgatgatgctgttg</w:t>
            </w:r>
          </w:p>
        </w:tc>
      </w:tr>
      <w:tr w:rsidR="0049512A" w:rsidRPr="002C2AE4" w14:paraId="43F81A30"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742AC425"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PHM (ChIP)</w:t>
            </w:r>
          </w:p>
        </w:tc>
        <w:tc>
          <w:tcPr>
            <w:tcW w:w="3021" w:type="dxa"/>
            <w:shd w:val="clear" w:color="auto" w:fill="FFFFFF" w:themeFill="background1"/>
          </w:tcPr>
          <w:p w14:paraId="27B3C867"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cagaccgtaagtccaggttcc</w:t>
            </w:r>
          </w:p>
        </w:tc>
        <w:tc>
          <w:tcPr>
            <w:tcW w:w="3021" w:type="dxa"/>
            <w:shd w:val="clear" w:color="auto" w:fill="FFFFFF" w:themeFill="background1"/>
          </w:tcPr>
          <w:p w14:paraId="371BE39F"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cgggaaaaaccagagcctat</w:t>
            </w:r>
          </w:p>
        </w:tc>
      </w:tr>
      <w:tr w:rsidR="0049512A" w:rsidRPr="002C2AE4" w14:paraId="2B8F3623"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116B99"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SynI (ChIP)</w:t>
            </w:r>
          </w:p>
        </w:tc>
        <w:tc>
          <w:tcPr>
            <w:tcW w:w="3021" w:type="dxa"/>
            <w:shd w:val="clear" w:color="auto" w:fill="FFFFFF" w:themeFill="background1"/>
          </w:tcPr>
          <w:p w14:paraId="57597CFC"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ttcgagtggaaatttgtgagc</w:t>
            </w:r>
          </w:p>
        </w:tc>
        <w:tc>
          <w:tcPr>
            <w:tcW w:w="3021" w:type="dxa"/>
            <w:shd w:val="clear" w:color="auto" w:fill="FFFFFF" w:themeFill="background1"/>
          </w:tcPr>
          <w:p w14:paraId="1F1CB66D"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gccgtgtttcgatttttggg</w:t>
            </w:r>
          </w:p>
        </w:tc>
      </w:tr>
      <w:tr w:rsidR="0049512A" w:rsidRPr="002C2AE4" w14:paraId="3114F361"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301C9B95"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SynII (ChIP)</w:t>
            </w:r>
          </w:p>
        </w:tc>
        <w:tc>
          <w:tcPr>
            <w:tcW w:w="3021" w:type="dxa"/>
            <w:shd w:val="clear" w:color="auto" w:fill="FFFFFF" w:themeFill="background1"/>
          </w:tcPr>
          <w:p w14:paraId="548965D0"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ccggctaatgacaccaggaa</w:t>
            </w:r>
          </w:p>
        </w:tc>
        <w:tc>
          <w:tcPr>
            <w:tcW w:w="3021" w:type="dxa"/>
            <w:shd w:val="clear" w:color="auto" w:fill="FFFFFF" w:themeFill="background1"/>
          </w:tcPr>
          <w:p w14:paraId="3613CFBA"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ggattggcaggtagacgagg</w:t>
            </w:r>
          </w:p>
        </w:tc>
      </w:tr>
      <w:tr w:rsidR="0049512A" w:rsidRPr="002C2AE4" w14:paraId="1F95CCBD"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C99DCB"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Dlg1I (ChIP)</w:t>
            </w:r>
          </w:p>
        </w:tc>
        <w:tc>
          <w:tcPr>
            <w:tcW w:w="3021" w:type="dxa"/>
            <w:shd w:val="clear" w:color="auto" w:fill="FFFFFF" w:themeFill="background1"/>
          </w:tcPr>
          <w:p w14:paraId="50B72825"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gctgcaattgcgaagctaca</w:t>
            </w:r>
          </w:p>
        </w:tc>
        <w:tc>
          <w:tcPr>
            <w:tcW w:w="3021" w:type="dxa"/>
            <w:shd w:val="clear" w:color="auto" w:fill="FFFFFF" w:themeFill="background1"/>
          </w:tcPr>
          <w:p w14:paraId="1D8C0483"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tggttcgcaaggtgcgatag</w:t>
            </w:r>
          </w:p>
        </w:tc>
      </w:tr>
      <w:tr w:rsidR="0049512A" w:rsidRPr="002C2AE4" w14:paraId="34EC85A9"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50DC3C83"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Dlg1II (ChIP)</w:t>
            </w:r>
          </w:p>
        </w:tc>
        <w:tc>
          <w:tcPr>
            <w:tcW w:w="3021" w:type="dxa"/>
            <w:shd w:val="clear" w:color="auto" w:fill="FFFFFF" w:themeFill="background1"/>
          </w:tcPr>
          <w:p w14:paraId="2C0A3CDE"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cgtcgccagatacacgagtt</w:t>
            </w:r>
          </w:p>
        </w:tc>
        <w:tc>
          <w:tcPr>
            <w:tcW w:w="3021" w:type="dxa"/>
            <w:shd w:val="clear" w:color="auto" w:fill="FFFFFF" w:themeFill="background1"/>
          </w:tcPr>
          <w:p w14:paraId="1FCDCADF"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cgtggtccagcttggtactc</w:t>
            </w:r>
          </w:p>
        </w:tc>
      </w:tr>
      <w:tr w:rsidR="0049512A" w:rsidRPr="002C2AE4" w14:paraId="4C9B4BF3"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D06428"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Dlg1III (ChIP)</w:t>
            </w:r>
          </w:p>
        </w:tc>
        <w:tc>
          <w:tcPr>
            <w:tcW w:w="3021" w:type="dxa"/>
            <w:shd w:val="clear" w:color="auto" w:fill="FFFFFF" w:themeFill="background1"/>
          </w:tcPr>
          <w:p w14:paraId="059F427A"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tcactgtattcggttcttgcct</w:t>
            </w:r>
          </w:p>
        </w:tc>
        <w:tc>
          <w:tcPr>
            <w:tcW w:w="3021" w:type="dxa"/>
            <w:shd w:val="clear" w:color="auto" w:fill="FFFFFF" w:themeFill="background1"/>
          </w:tcPr>
          <w:p w14:paraId="49C6042F"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ccagtctgtgtgagttggct</w:t>
            </w:r>
          </w:p>
        </w:tc>
      </w:tr>
      <w:tr w:rsidR="0049512A" w:rsidRPr="002C2AE4" w14:paraId="337C80E7"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7CBD910D"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Dlg1IV (ChIP)</w:t>
            </w:r>
          </w:p>
        </w:tc>
        <w:tc>
          <w:tcPr>
            <w:tcW w:w="3021" w:type="dxa"/>
            <w:shd w:val="clear" w:color="auto" w:fill="FFFFFF" w:themeFill="background1"/>
          </w:tcPr>
          <w:p w14:paraId="0F728F85"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gctgggcatctgcgttctat</w:t>
            </w:r>
          </w:p>
        </w:tc>
        <w:tc>
          <w:tcPr>
            <w:tcW w:w="3021" w:type="dxa"/>
            <w:shd w:val="clear" w:color="auto" w:fill="FFFFFF" w:themeFill="background1"/>
          </w:tcPr>
          <w:p w14:paraId="38F89518"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acttggctagtgatcctgctc</w:t>
            </w:r>
          </w:p>
        </w:tc>
      </w:tr>
      <w:tr w:rsidR="0049512A" w:rsidRPr="002C2AE4" w14:paraId="7755D490"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69E6D3"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DaQ</w:t>
            </w:r>
          </w:p>
        </w:tc>
        <w:tc>
          <w:tcPr>
            <w:tcW w:w="3021" w:type="dxa"/>
            <w:shd w:val="clear" w:color="auto" w:fill="FFFFFF" w:themeFill="background1"/>
          </w:tcPr>
          <w:p w14:paraId="5BC8FC60"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ggtggctcaacgtcaacact</w:t>
            </w:r>
          </w:p>
        </w:tc>
        <w:tc>
          <w:tcPr>
            <w:tcW w:w="3021" w:type="dxa"/>
            <w:shd w:val="clear" w:color="auto" w:fill="FFFFFF" w:themeFill="background1"/>
          </w:tcPr>
          <w:p w14:paraId="4886D2E7"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atcgtcactggtcgccattt</w:t>
            </w:r>
          </w:p>
        </w:tc>
      </w:tr>
      <w:tr w:rsidR="0049512A" w:rsidRPr="002C2AE4" w14:paraId="45861F97"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32C880B0"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AcQ</w:t>
            </w:r>
          </w:p>
        </w:tc>
        <w:tc>
          <w:tcPr>
            <w:tcW w:w="3021" w:type="dxa"/>
            <w:shd w:val="clear" w:color="auto" w:fill="FFFFFF" w:themeFill="background1"/>
          </w:tcPr>
          <w:p w14:paraId="50FDBAD3"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aagcaaggagcatcgtcaca</w:t>
            </w:r>
          </w:p>
        </w:tc>
        <w:tc>
          <w:tcPr>
            <w:tcW w:w="3021" w:type="dxa"/>
            <w:shd w:val="clear" w:color="auto" w:fill="FFFFFF" w:themeFill="background1"/>
          </w:tcPr>
          <w:p w14:paraId="30F51728"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agagtgattttcgctgccca</w:t>
            </w:r>
          </w:p>
        </w:tc>
      </w:tr>
      <w:tr w:rsidR="0049512A" w:rsidRPr="002C2AE4" w14:paraId="0F115ED8"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76B753"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PHMQ</w:t>
            </w:r>
          </w:p>
        </w:tc>
        <w:tc>
          <w:tcPr>
            <w:tcW w:w="3021" w:type="dxa"/>
            <w:shd w:val="clear" w:color="auto" w:fill="FFFFFF" w:themeFill="background1"/>
          </w:tcPr>
          <w:p w14:paraId="7663D253"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cgatctgtacttgtgcacgc</w:t>
            </w:r>
          </w:p>
        </w:tc>
        <w:tc>
          <w:tcPr>
            <w:tcW w:w="3021" w:type="dxa"/>
            <w:shd w:val="clear" w:color="auto" w:fill="FFFFFF" w:themeFill="background1"/>
          </w:tcPr>
          <w:p w14:paraId="6E88BEEC"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tatggtgggccgtgttcatc</w:t>
            </w:r>
          </w:p>
        </w:tc>
      </w:tr>
      <w:tr w:rsidR="0049512A" w:rsidRPr="002C2AE4" w14:paraId="234F90D3"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287048BB"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SynQ</w:t>
            </w:r>
          </w:p>
        </w:tc>
        <w:tc>
          <w:tcPr>
            <w:tcW w:w="3021" w:type="dxa"/>
            <w:shd w:val="clear" w:color="auto" w:fill="FFFFFF" w:themeFill="background1"/>
          </w:tcPr>
          <w:p w14:paraId="76A2F39D"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gcgagggtctgaacaatcca</w:t>
            </w:r>
          </w:p>
        </w:tc>
        <w:tc>
          <w:tcPr>
            <w:tcW w:w="3021" w:type="dxa"/>
            <w:shd w:val="clear" w:color="auto" w:fill="FFFFFF" w:themeFill="background1"/>
          </w:tcPr>
          <w:p w14:paraId="6468CB63"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gtggtcttgctgtctccgaa</w:t>
            </w:r>
          </w:p>
        </w:tc>
      </w:tr>
      <w:tr w:rsidR="0049512A" w:rsidRPr="002C2AE4" w14:paraId="3BC0988D" w14:textId="77777777" w:rsidTr="00F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73ABCB"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Dlg1Q1</w:t>
            </w:r>
          </w:p>
        </w:tc>
        <w:tc>
          <w:tcPr>
            <w:tcW w:w="3021" w:type="dxa"/>
            <w:shd w:val="clear" w:color="auto" w:fill="FFFFFF" w:themeFill="background1"/>
          </w:tcPr>
          <w:p w14:paraId="76926CF9"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ccaagttgatggacggcgga</w:t>
            </w:r>
          </w:p>
        </w:tc>
        <w:tc>
          <w:tcPr>
            <w:tcW w:w="3021" w:type="dxa"/>
            <w:shd w:val="clear" w:color="auto" w:fill="FFFFFF" w:themeFill="background1"/>
          </w:tcPr>
          <w:p w14:paraId="6A6B91AD" w14:textId="77777777" w:rsidR="0049512A" w:rsidRPr="002C2AE4" w:rsidRDefault="0049512A" w:rsidP="00F104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C2AE4">
              <w:rPr>
                <w:rFonts w:ascii="Arial" w:eastAsia="Arial" w:hAnsi="Arial" w:cs="Arial"/>
                <w:color w:val="000000"/>
              </w:rPr>
              <w:t>aggttcttctcgctcccgtt</w:t>
            </w:r>
          </w:p>
        </w:tc>
      </w:tr>
      <w:tr w:rsidR="0049512A" w:rsidRPr="002C2AE4" w14:paraId="621C7AEE" w14:textId="77777777" w:rsidTr="00F1047C">
        <w:tc>
          <w:tcPr>
            <w:cnfStyle w:val="001000000000" w:firstRow="0" w:lastRow="0" w:firstColumn="1" w:lastColumn="0" w:oddVBand="0" w:evenVBand="0" w:oddHBand="0" w:evenHBand="0" w:firstRowFirstColumn="0" w:firstRowLastColumn="0" w:lastRowFirstColumn="0" w:lastRowLastColumn="0"/>
            <w:tcW w:w="3020" w:type="dxa"/>
          </w:tcPr>
          <w:p w14:paraId="66A938FB" w14:textId="77777777" w:rsidR="0049512A" w:rsidRPr="002C2AE4" w:rsidRDefault="0049512A" w:rsidP="00F1047C">
            <w:pPr>
              <w:spacing w:line="360" w:lineRule="auto"/>
              <w:jc w:val="center"/>
              <w:rPr>
                <w:rFonts w:ascii="Arial" w:eastAsia="Arial" w:hAnsi="Arial" w:cs="Arial"/>
                <w:b/>
                <w:i w:val="0"/>
              </w:rPr>
            </w:pPr>
            <w:r w:rsidRPr="002C2AE4">
              <w:rPr>
                <w:rFonts w:ascii="Arial" w:eastAsia="Arial" w:hAnsi="Arial" w:cs="Arial"/>
                <w:b/>
                <w:i w:val="0"/>
              </w:rPr>
              <w:t>Dlg1Q2</w:t>
            </w:r>
          </w:p>
        </w:tc>
        <w:tc>
          <w:tcPr>
            <w:tcW w:w="3021" w:type="dxa"/>
            <w:shd w:val="clear" w:color="auto" w:fill="FFFFFF" w:themeFill="background1"/>
          </w:tcPr>
          <w:p w14:paraId="04FBD446"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gcttgtttcaagcgctgtt</w:t>
            </w:r>
          </w:p>
        </w:tc>
        <w:tc>
          <w:tcPr>
            <w:tcW w:w="3021" w:type="dxa"/>
            <w:shd w:val="clear" w:color="auto" w:fill="FFFFFF" w:themeFill="background1"/>
          </w:tcPr>
          <w:p w14:paraId="4C0B21CC" w14:textId="77777777" w:rsidR="0049512A" w:rsidRPr="002C2AE4" w:rsidRDefault="0049512A" w:rsidP="00F104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2C2AE4">
              <w:rPr>
                <w:rFonts w:ascii="Arial" w:eastAsia="Arial" w:hAnsi="Arial" w:cs="Arial"/>
                <w:color w:val="000000"/>
              </w:rPr>
              <w:t>atttgcaaggtctccgctgt</w:t>
            </w:r>
          </w:p>
        </w:tc>
      </w:tr>
    </w:tbl>
    <w:p w14:paraId="79A4E4E8" w14:textId="77777777" w:rsidR="00452DCB" w:rsidRDefault="00452DCB" w:rsidP="00630BAB">
      <w:bookmarkStart w:id="0" w:name="_GoBack"/>
      <w:bookmarkEnd w:id="0"/>
    </w:p>
    <w:sectPr w:rsidR="00452DCB" w:rsidSect="001B0482">
      <w:footerReference w:type="even" r:id="rId10"/>
      <w:footerReference w:type="default" r:id="rId11"/>
      <w:pgSz w:w="11906" w:h="16838"/>
      <w:pgMar w:top="1418" w:right="1418" w:bottom="1418" w:left="1418" w:header="709" w:footer="709" w:gutter="0"/>
      <w:lnNumType w:countBy="1" w:restart="continuous"/>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41DE7" w14:textId="77777777" w:rsidR="00000000" w:rsidRDefault="00630BAB">
      <w:pPr>
        <w:spacing w:after="0" w:line="240" w:lineRule="auto"/>
      </w:pPr>
      <w:r>
        <w:separator/>
      </w:r>
    </w:p>
  </w:endnote>
  <w:endnote w:type="continuationSeparator" w:id="0">
    <w:p w14:paraId="12FC30D3" w14:textId="77777777" w:rsidR="00000000" w:rsidRDefault="00630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01B84" w14:textId="77777777" w:rsidR="002E571D" w:rsidRDefault="0049512A" w:rsidP="008318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EC8911" w14:textId="77777777" w:rsidR="002E571D" w:rsidRDefault="00630B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4DFC8" w14:textId="77777777" w:rsidR="002E571D" w:rsidRDefault="0049512A" w:rsidP="008318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0BAB">
      <w:rPr>
        <w:rStyle w:val="PageNumber"/>
        <w:noProof/>
      </w:rPr>
      <w:t>1</w:t>
    </w:r>
    <w:r>
      <w:rPr>
        <w:rStyle w:val="PageNumber"/>
      </w:rPr>
      <w:fldChar w:fldCharType="end"/>
    </w:r>
  </w:p>
  <w:p w14:paraId="1519D307" w14:textId="77777777" w:rsidR="002E571D" w:rsidRDefault="00630B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E2D3F" w14:textId="77777777" w:rsidR="00000000" w:rsidRDefault="00630BAB">
      <w:pPr>
        <w:spacing w:after="0" w:line="240" w:lineRule="auto"/>
      </w:pPr>
      <w:r>
        <w:separator/>
      </w:r>
    </w:p>
  </w:footnote>
  <w:footnote w:type="continuationSeparator" w:id="0">
    <w:p w14:paraId="236E7FA3" w14:textId="77777777" w:rsidR="00000000" w:rsidRDefault="00630B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052F7"/>
    <w:multiLevelType w:val="multilevel"/>
    <w:tmpl w:val="901AAAA2"/>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12A"/>
    <w:rsid w:val="00024007"/>
    <w:rsid w:val="00452DCB"/>
    <w:rsid w:val="0049512A"/>
    <w:rsid w:val="00542983"/>
    <w:rsid w:val="00630BAB"/>
    <w:rsid w:val="00B65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F5F1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512A"/>
    <w:pPr>
      <w:spacing w:after="160" w:line="259" w:lineRule="auto"/>
    </w:pPr>
    <w:rPr>
      <w:rFonts w:ascii="Calibri" w:eastAsia="Calibri" w:hAnsi="Calibri" w:cs="Calibri"/>
      <w:sz w:val="22"/>
      <w:szCs w:val="22"/>
      <w:lang w:val="en-GB"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42983"/>
    <w:pPr>
      <w:numPr>
        <w:numId w:val="1"/>
      </w:numPr>
    </w:pPr>
  </w:style>
  <w:style w:type="paragraph" w:styleId="BalloonText">
    <w:name w:val="Balloon Text"/>
    <w:basedOn w:val="Normal"/>
    <w:link w:val="BalloonTextChar"/>
    <w:uiPriority w:val="99"/>
    <w:semiHidden/>
    <w:unhideWhenUsed/>
    <w:rsid w:val="00B65B2F"/>
    <w:pPr>
      <w:spacing w:after="0" w:line="240" w:lineRule="auto"/>
    </w:pPr>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B2F"/>
    <w:rPr>
      <w:rFonts w:ascii="Lucida Grande" w:hAnsi="Lucida Grande" w:cs="Lucida Grande"/>
      <w:sz w:val="18"/>
      <w:szCs w:val="18"/>
      <w:lang w:val="en-GB"/>
    </w:rPr>
  </w:style>
  <w:style w:type="table" w:customStyle="1" w:styleId="PlainTable51">
    <w:name w:val="Plain Table 51"/>
    <w:basedOn w:val="TableNormal"/>
    <w:uiPriority w:val="99"/>
    <w:rsid w:val="0049512A"/>
    <w:rPr>
      <w:rFonts w:ascii="Calibri" w:eastAsia="Calibri" w:hAnsi="Calibri" w:cs="Calibri"/>
      <w:sz w:val="22"/>
      <w:szCs w:val="22"/>
      <w:lang w:val="en-GB" w:eastAsia="et-E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4951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12A"/>
    <w:rPr>
      <w:rFonts w:ascii="Calibri" w:eastAsia="Calibri" w:hAnsi="Calibri" w:cs="Calibri"/>
      <w:sz w:val="22"/>
      <w:szCs w:val="22"/>
      <w:lang w:val="en-GB" w:eastAsia="et-EE"/>
    </w:rPr>
  </w:style>
  <w:style w:type="character" w:styleId="PageNumber">
    <w:name w:val="page number"/>
    <w:basedOn w:val="DefaultParagraphFont"/>
    <w:uiPriority w:val="99"/>
    <w:semiHidden/>
    <w:unhideWhenUsed/>
    <w:rsid w:val="0049512A"/>
  </w:style>
  <w:style w:type="character" w:styleId="LineNumber">
    <w:name w:val="line number"/>
    <w:basedOn w:val="DefaultParagraphFont"/>
    <w:uiPriority w:val="99"/>
    <w:semiHidden/>
    <w:unhideWhenUsed/>
    <w:rsid w:val="004951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512A"/>
    <w:pPr>
      <w:spacing w:after="160" w:line="259" w:lineRule="auto"/>
    </w:pPr>
    <w:rPr>
      <w:rFonts w:ascii="Calibri" w:eastAsia="Calibri" w:hAnsi="Calibri" w:cs="Calibri"/>
      <w:sz w:val="22"/>
      <w:szCs w:val="22"/>
      <w:lang w:val="en-GB"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42983"/>
    <w:pPr>
      <w:numPr>
        <w:numId w:val="1"/>
      </w:numPr>
    </w:pPr>
  </w:style>
  <w:style w:type="paragraph" w:styleId="BalloonText">
    <w:name w:val="Balloon Text"/>
    <w:basedOn w:val="Normal"/>
    <w:link w:val="BalloonTextChar"/>
    <w:uiPriority w:val="99"/>
    <w:semiHidden/>
    <w:unhideWhenUsed/>
    <w:rsid w:val="00B65B2F"/>
    <w:pPr>
      <w:spacing w:after="0" w:line="240" w:lineRule="auto"/>
    </w:pPr>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B2F"/>
    <w:rPr>
      <w:rFonts w:ascii="Lucida Grande" w:hAnsi="Lucida Grande" w:cs="Lucida Grande"/>
      <w:sz w:val="18"/>
      <w:szCs w:val="18"/>
      <w:lang w:val="en-GB"/>
    </w:rPr>
  </w:style>
  <w:style w:type="table" w:customStyle="1" w:styleId="PlainTable51">
    <w:name w:val="Plain Table 51"/>
    <w:basedOn w:val="TableNormal"/>
    <w:uiPriority w:val="99"/>
    <w:rsid w:val="0049512A"/>
    <w:rPr>
      <w:rFonts w:ascii="Calibri" w:eastAsia="Calibri" w:hAnsi="Calibri" w:cs="Calibri"/>
      <w:sz w:val="22"/>
      <w:szCs w:val="22"/>
      <w:lang w:val="en-GB" w:eastAsia="et-E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4951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12A"/>
    <w:rPr>
      <w:rFonts w:ascii="Calibri" w:eastAsia="Calibri" w:hAnsi="Calibri" w:cs="Calibri"/>
      <w:sz w:val="22"/>
      <w:szCs w:val="22"/>
      <w:lang w:val="en-GB" w:eastAsia="et-EE"/>
    </w:rPr>
  </w:style>
  <w:style w:type="character" w:styleId="PageNumber">
    <w:name w:val="page number"/>
    <w:basedOn w:val="DefaultParagraphFont"/>
    <w:uiPriority w:val="99"/>
    <w:semiHidden/>
    <w:unhideWhenUsed/>
    <w:rsid w:val="0049512A"/>
  </w:style>
  <w:style w:type="character" w:styleId="LineNumber">
    <w:name w:val="line number"/>
    <w:basedOn w:val="DefaultParagraphFont"/>
    <w:uiPriority w:val="99"/>
    <w:semiHidden/>
    <w:unhideWhenUsed/>
    <w:rsid w:val="00495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587</Words>
  <Characters>4291</Characters>
  <Application>Microsoft Macintosh Word</Application>
  <DocSecurity>0</DocSecurity>
  <Lines>158</Lines>
  <Paragraphs>121</Paragraphs>
  <ScaleCrop>false</ScaleCrop>
  <HeadingPairs>
    <vt:vector size="2" baseType="variant">
      <vt:variant>
        <vt:lpstr>Title</vt:lpstr>
      </vt:variant>
      <vt:variant>
        <vt:i4>1</vt:i4>
      </vt:variant>
    </vt:vector>
  </HeadingPairs>
  <TitlesOfParts>
    <vt:vector size="1" baseType="lpstr">
      <vt:lpstr/>
    </vt:vector>
  </TitlesOfParts>
  <Company>ttu</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Palgi</dc:creator>
  <cp:keywords/>
  <dc:description/>
  <cp:lastModifiedBy>Mari Palgi</cp:lastModifiedBy>
  <cp:revision>2</cp:revision>
  <dcterms:created xsi:type="dcterms:W3CDTF">2019-10-03T14:06:00Z</dcterms:created>
  <dcterms:modified xsi:type="dcterms:W3CDTF">2019-10-08T10:32:00Z</dcterms:modified>
</cp:coreProperties>
</file>