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ABBB37" w14:textId="77777777" w:rsidR="0039175D" w:rsidRDefault="0039175D" w:rsidP="0039175D">
      <w:pPr>
        <w:spacing w:line="480" w:lineRule="auto"/>
        <w:jc w:val="both"/>
        <w:rPr>
          <w:rFonts w:cs="Calibri"/>
          <w:b/>
          <w:sz w:val="40"/>
          <w:szCs w:val="40"/>
        </w:rPr>
      </w:pPr>
      <w:r w:rsidRPr="003D419E">
        <w:rPr>
          <w:rFonts w:cs="Calibri"/>
          <w:b/>
          <w:sz w:val="40"/>
          <w:szCs w:val="40"/>
        </w:rPr>
        <w:t xml:space="preserve">Supplementary </w:t>
      </w:r>
      <w:r>
        <w:rPr>
          <w:rFonts w:cs="Calibri"/>
          <w:b/>
          <w:sz w:val="40"/>
          <w:szCs w:val="40"/>
        </w:rPr>
        <w:t>Figures and Tables</w:t>
      </w:r>
    </w:p>
    <w:p w14:paraId="5F39E6E6" w14:textId="77777777" w:rsidR="0039175D" w:rsidRPr="003D419E" w:rsidRDefault="0039175D" w:rsidP="0039175D">
      <w:pPr>
        <w:spacing w:line="480" w:lineRule="auto"/>
        <w:jc w:val="both"/>
        <w:rPr>
          <w:rFonts w:cs="Calibri"/>
          <w:b/>
          <w:sz w:val="40"/>
          <w:szCs w:val="40"/>
        </w:rPr>
      </w:pPr>
    </w:p>
    <w:p w14:paraId="4B5BEF0E" w14:textId="77777777" w:rsidR="0039175D" w:rsidRPr="009C0D7C" w:rsidRDefault="0039175D" w:rsidP="0039175D">
      <w:pPr>
        <w:spacing w:line="480" w:lineRule="auto"/>
        <w:jc w:val="both"/>
        <w:rPr>
          <w:rFonts w:cs="Calibri"/>
        </w:rPr>
      </w:pPr>
      <w:r>
        <w:rPr>
          <w:rFonts w:cs="Calibri"/>
          <w:noProof/>
          <w:lang w:eastAsia="en-GB"/>
        </w:rPr>
        <w:drawing>
          <wp:inline distT="0" distB="0" distL="0" distR="0" wp14:anchorId="571AF679" wp14:editId="406E6290">
            <wp:extent cx="5554980" cy="15621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54980" cy="1562100"/>
                    </a:xfrm>
                    <a:prstGeom prst="rect">
                      <a:avLst/>
                    </a:prstGeom>
                    <a:noFill/>
                    <a:ln>
                      <a:noFill/>
                    </a:ln>
                  </pic:spPr>
                </pic:pic>
              </a:graphicData>
            </a:graphic>
          </wp:inline>
        </w:drawing>
      </w:r>
    </w:p>
    <w:p w14:paraId="20EEBC56" w14:textId="77777777" w:rsidR="0039175D" w:rsidRDefault="0039175D" w:rsidP="0039175D">
      <w:pPr>
        <w:spacing w:line="480" w:lineRule="auto"/>
        <w:jc w:val="both"/>
        <w:rPr>
          <w:rFonts w:cs="Calibri"/>
        </w:rPr>
      </w:pPr>
      <w:r>
        <w:rPr>
          <w:rFonts w:cs="Calibri"/>
          <w:b/>
        </w:rPr>
        <w:t>Figure S1</w:t>
      </w:r>
      <w:r w:rsidRPr="009C0D7C">
        <w:rPr>
          <w:rFonts w:cs="Calibri"/>
        </w:rPr>
        <w:t xml:space="preserve">. </w:t>
      </w:r>
      <w:r w:rsidRPr="00E645C5">
        <w:rPr>
          <w:rFonts w:cs="Calibri"/>
          <w:b/>
        </w:rPr>
        <w:t xml:space="preserve">Alignment of wild-type </w:t>
      </w:r>
      <w:r w:rsidRPr="00E645C5">
        <w:rPr>
          <w:rFonts w:cs="Calibri"/>
          <w:b/>
          <w:i/>
        </w:rPr>
        <w:t>fusA1</w:t>
      </w:r>
      <w:r w:rsidRPr="00E645C5">
        <w:rPr>
          <w:rFonts w:cs="Calibri"/>
          <w:b/>
        </w:rPr>
        <w:t xml:space="preserve"> from EMC0 with </w:t>
      </w:r>
      <w:r w:rsidRPr="00E645C5">
        <w:rPr>
          <w:rFonts w:cs="Calibri"/>
          <w:b/>
          <w:i/>
        </w:rPr>
        <w:t xml:space="preserve">fusA1 </w:t>
      </w:r>
      <w:r>
        <w:rPr>
          <w:rFonts w:cs="Calibri"/>
          <w:b/>
        </w:rPr>
        <w:t>from EMC</w:t>
      </w:r>
      <w:r w:rsidRPr="00E645C5">
        <w:rPr>
          <w:rFonts w:cs="Calibri"/>
          <w:b/>
        </w:rPr>
        <w:t>1</w:t>
      </w:r>
      <w:r>
        <w:rPr>
          <w:rFonts w:cs="Calibri"/>
        </w:rPr>
        <w:t>.</w:t>
      </w:r>
      <w:r w:rsidRPr="009C0D7C">
        <w:rPr>
          <w:rFonts w:cs="Calibri"/>
        </w:rPr>
        <w:t xml:space="preserve"> </w:t>
      </w:r>
      <w:r>
        <w:rPr>
          <w:rFonts w:cs="Calibri"/>
        </w:rPr>
        <w:t>The alignment shows the</w:t>
      </w:r>
      <w:r w:rsidRPr="009C0D7C">
        <w:rPr>
          <w:rFonts w:cs="Calibri"/>
        </w:rPr>
        <w:t xml:space="preserve"> cytosine to thymi</w:t>
      </w:r>
      <w:r>
        <w:rPr>
          <w:rFonts w:cs="Calibri"/>
        </w:rPr>
        <w:t>di</w:t>
      </w:r>
      <w:r w:rsidRPr="009C0D7C">
        <w:rPr>
          <w:rFonts w:cs="Calibri"/>
        </w:rPr>
        <w:t xml:space="preserve">ne </w:t>
      </w:r>
      <w:r>
        <w:rPr>
          <w:rFonts w:cs="Calibri"/>
        </w:rPr>
        <w:t>transition that leads to</w:t>
      </w:r>
      <w:r w:rsidRPr="009C0D7C">
        <w:rPr>
          <w:rFonts w:cs="Calibri"/>
        </w:rPr>
        <w:t xml:space="preserve"> </w:t>
      </w:r>
      <w:r>
        <w:rPr>
          <w:rFonts w:cs="Calibri"/>
        </w:rPr>
        <w:t>the P443L substitution in</w:t>
      </w:r>
      <w:r w:rsidRPr="009C0D7C">
        <w:rPr>
          <w:rFonts w:cs="Calibri"/>
        </w:rPr>
        <w:t xml:space="preserve"> the amino acid sequence. </w:t>
      </w:r>
    </w:p>
    <w:p w14:paraId="01BBF754" w14:textId="77777777" w:rsidR="0039175D" w:rsidRDefault="0039175D" w:rsidP="0039175D">
      <w:pPr>
        <w:spacing w:line="480" w:lineRule="auto"/>
        <w:jc w:val="both"/>
        <w:rPr>
          <w:rFonts w:cs="Calibri"/>
        </w:rPr>
      </w:pPr>
    </w:p>
    <w:p w14:paraId="230BFAF4" w14:textId="77777777" w:rsidR="0039175D" w:rsidRDefault="0039175D" w:rsidP="0039175D">
      <w:pPr>
        <w:spacing w:line="480" w:lineRule="auto"/>
        <w:jc w:val="both"/>
        <w:rPr>
          <w:rFonts w:cs="Calibri"/>
        </w:rPr>
      </w:pPr>
    </w:p>
    <w:p w14:paraId="1DA72748" w14:textId="77777777" w:rsidR="0039175D" w:rsidRDefault="0039175D" w:rsidP="0039175D">
      <w:pPr>
        <w:spacing w:line="480" w:lineRule="auto"/>
        <w:jc w:val="both"/>
        <w:rPr>
          <w:rFonts w:cs="Calibri"/>
        </w:rPr>
      </w:pPr>
    </w:p>
    <w:p w14:paraId="309AA7F5" w14:textId="77777777" w:rsidR="0039175D" w:rsidRDefault="0039175D" w:rsidP="0039175D">
      <w:pPr>
        <w:spacing w:line="480" w:lineRule="auto"/>
        <w:jc w:val="both"/>
        <w:rPr>
          <w:rFonts w:cs="Calibri"/>
        </w:rPr>
      </w:pPr>
    </w:p>
    <w:p w14:paraId="382A41B0" w14:textId="77777777" w:rsidR="0039175D" w:rsidRDefault="0039175D" w:rsidP="0039175D">
      <w:pPr>
        <w:spacing w:line="480" w:lineRule="auto"/>
        <w:jc w:val="both"/>
        <w:rPr>
          <w:rFonts w:cs="Calibri"/>
        </w:rPr>
      </w:pPr>
    </w:p>
    <w:p w14:paraId="4826D50E" w14:textId="77777777" w:rsidR="0039175D" w:rsidRDefault="0039175D" w:rsidP="0039175D">
      <w:pPr>
        <w:spacing w:line="480" w:lineRule="auto"/>
        <w:jc w:val="both"/>
        <w:rPr>
          <w:rFonts w:cs="Calibri"/>
        </w:rPr>
      </w:pPr>
    </w:p>
    <w:p w14:paraId="14C844F1" w14:textId="77777777" w:rsidR="0039175D" w:rsidRDefault="0039175D" w:rsidP="0039175D">
      <w:pPr>
        <w:spacing w:line="480" w:lineRule="auto"/>
        <w:jc w:val="both"/>
        <w:rPr>
          <w:rFonts w:cs="Calibri"/>
        </w:rPr>
      </w:pPr>
    </w:p>
    <w:p w14:paraId="620996A2" w14:textId="77777777" w:rsidR="0039175D" w:rsidRDefault="0039175D" w:rsidP="0039175D">
      <w:pPr>
        <w:spacing w:line="480" w:lineRule="auto"/>
        <w:jc w:val="both"/>
        <w:rPr>
          <w:rFonts w:cs="Calibri"/>
        </w:rPr>
      </w:pPr>
    </w:p>
    <w:p w14:paraId="24E4B0D3" w14:textId="77777777" w:rsidR="0039175D" w:rsidRDefault="0039175D" w:rsidP="0039175D">
      <w:pPr>
        <w:spacing w:line="480" w:lineRule="auto"/>
        <w:jc w:val="both"/>
        <w:rPr>
          <w:rFonts w:cs="Calibri"/>
        </w:rPr>
      </w:pPr>
    </w:p>
    <w:p w14:paraId="74605EAC" w14:textId="77777777" w:rsidR="0039175D" w:rsidRDefault="0039175D" w:rsidP="0039175D">
      <w:pPr>
        <w:spacing w:line="480" w:lineRule="auto"/>
        <w:jc w:val="both"/>
        <w:rPr>
          <w:rFonts w:cs="Calibri"/>
        </w:rPr>
      </w:pPr>
    </w:p>
    <w:p w14:paraId="301CEC63" w14:textId="77777777" w:rsidR="0039175D" w:rsidRDefault="0039175D" w:rsidP="0039175D">
      <w:pPr>
        <w:pStyle w:val="Default"/>
        <w:spacing w:line="480" w:lineRule="auto"/>
        <w:jc w:val="both"/>
        <w:rPr>
          <w:rFonts w:ascii="Calibri" w:hAnsi="Calibri"/>
          <w:sz w:val="22"/>
          <w:szCs w:val="22"/>
        </w:rPr>
      </w:pPr>
    </w:p>
    <w:p w14:paraId="60A56E33" w14:textId="77777777" w:rsidR="0039175D" w:rsidRDefault="0039175D" w:rsidP="0039175D">
      <w:pPr>
        <w:widowControl w:val="0"/>
        <w:autoSpaceDE w:val="0"/>
        <w:autoSpaceDN w:val="0"/>
        <w:adjustRightInd w:val="0"/>
        <w:spacing w:line="480" w:lineRule="auto"/>
        <w:ind w:left="480" w:hanging="480"/>
        <w:jc w:val="both"/>
        <w:rPr>
          <w:rFonts w:cs="Calibri"/>
        </w:rPr>
      </w:pPr>
      <w:r>
        <w:rPr>
          <w:rFonts w:cs="Calibri"/>
          <w:noProof/>
          <w:lang w:eastAsia="en-GB"/>
        </w:rPr>
        <w:lastRenderedPageBreak/>
        <w:drawing>
          <wp:inline distT="0" distB="0" distL="0" distR="0" wp14:anchorId="65C809A6" wp14:editId="46270F41">
            <wp:extent cx="5730240" cy="2407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t="12111" b="8112"/>
                    <a:stretch>
                      <a:fillRect/>
                    </a:stretch>
                  </pic:blipFill>
                  <pic:spPr bwMode="auto">
                    <a:xfrm>
                      <a:off x="0" y="0"/>
                      <a:ext cx="5730240" cy="2407920"/>
                    </a:xfrm>
                    <a:prstGeom prst="rect">
                      <a:avLst/>
                    </a:prstGeom>
                    <a:noFill/>
                    <a:ln>
                      <a:noFill/>
                    </a:ln>
                  </pic:spPr>
                </pic:pic>
              </a:graphicData>
            </a:graphic>
          </wp:inline>
        </w:drawing>
      </w:r>
    </w:p>
    <w:p w14:paraId="45818B5F" w14:textId="77777777" w:rsidR="0039175D" w:rsidRDefault="0039175D" w:rsidP="0039175D">
      <w:pPr>
        <w:spacing w:line="480" w:lineRule="auto"/>
        <w:jc w:val="both"/>
        <w:rPr>
          <w:rFonts w:cs="Calibri"/>
        </w:rPr>
      </w:pPr>
      <w:r>
        <w:rPr>
          <w:rFonts w:cs="Calibri"/>
          <w:b/>
        </w:rPr>
        <w:t>Figure S2</w:t>
      </w:r>
      <w:r>
        <w:rPr>
          <w:rFonts w:cs="Calibri"/>
        </w:rPr>
        <w:t xml:space="preserve">. </w:t>
      </w:r>
      <w:r w:rsidRPr="00E42FC3">
        <w:rPr>
          <w:rFonts w:cs="Calibri"/>
          <w:b/>
        </w:rPr>
        <w:t xml:space="preserve">The ECM1 growth defect in LB is complemented by expression of wild-type </w:t>
      </w:r>
      <w:r w:rsidRPr="00E42FC3">
        <w:rPr>
          <w:rFonts w:cs="Calibri"/>
          <w:b/>
          <w:i/>
        </w:rPr>
        <w:t>fusA1 in trans</w:t>
      </w:r>
      <w:r>
        <w:rPr>
          <w:rFonts w:cs="Calibri"/>
        </w:rPr>
        <w:t>. The figure shows growth curves (monitored as OD</w:t>
      </w:r>
      <w:r w:rsidRPr="00E42FC3">
        <w:rPr>
          <w:rFonts w:cs="Calibri"/>
          <w:vertAlign w:val="subscript"/>
        </w:rPr>
        <w:t>600</w:t>
      </w:r>
      <w:r>
        <w:rPr>
          <w:rFonts w:cs="Calibri"/>
        </w:rPr>
        <w:t xml:space="preserve">) of EMC0 (blue, purple) and EMC1 (green, red) containing pUCP20 (empty vector control plasmid) or pUCP20 with cloned wild-type </w:t>
      </w:r>
      <w:r w:rsidRPr="00BE187D">
        <w:rPr>
          <w:rFonts w:cs="Calibri"/>
          <w:i/>
        </w:rPr>
        <w:t>fusA1</w:t>
      </w:r>
      <w:r>
        <w:rPr>
          <w:rFonts w:cs="Calibri"/>
        </w:rPr>
        <w:t xml:space="preserve">. Transcription of the cloned wild-type gene was driven by the </w:t>
      </w:r>
      <w:r w:rsidRPr="00F349AB">
        <w:rPr>
          <w:rFonts w:cs="Calibri"/>
          <w:i/>
          <w:iCs/>
        </w:rPr>
        <w:t>lac</w:t>
      </w:r>
      <w:r>
        <w:rPr>
          <w:rFonts w:cs="Calibri"/>
        </w:rPr>
        <w:t xml:space="preserve"> promoter on pUCP20. The cloned ORF was engineered to contain an optimized ribosome binding site (AGGAGGT) 5 nucleotides upstream of the GTG start codon, thereby ensuring high-level expression.   </w:t>
      </w:r>
    </w:p>
    <w:p w14:paraId="15CC841F" w14:textId="77777777" w:rsidR="0039175D" w:rsidRDefault="0039175D" w:rsidP="0039175D">
      <w:pPr>
        <w:pStyle w:val="Default"/>
        <w:spacing w:line="480" w:lineRule="auto"/>
        <w:jc w:val="both"/>
        <w:rPr>
          <w:rFonts w:ascii="Calibri" w:hAnsi="Calibri"/>
          <w:sz w:val="22"/>
          <w:szCs w:val="22"/>
        </w:rPr>
      </w:pPr>
    </w:p>
    <w:p w14:paraId="61F54D1C" w14:textId="77777777" w:rsidR="0039175D" w:rsidRDefault="0039175D" w:rsidP="0039175D">
      <w:pPr>
        <w:pStyle w:val="Default"/>
        <w:spacing w:line="480" w:lineRule="auto"/>
        <w:jc w:val="both"/>
        <w:rPr>
          <w:rFonts w:ascii="Calibri" w:hAnsi="Calibri"/>
          <w:sz w:val="22"/>
          <w:szCs w:val="22"/>
        </w:rPr>
      </w:pPr>
    </w:p>
    <w:p w14:paraId="1A9C1FB0" w14:textId="77777777" w:rsidR="0039175D" w:rsidRDefault="0039175D" w:rsidP="0039175D">
      <w:pPr>
        <w:pStyle w:val="Default"/>
        <w:spacing w:line="480" w:lineRule="auto"/>
        <w:jc w:val="both"/>
        <w:rPr>
          <w:rFonts w:ascii="Calibri" w:hAnsi="Calibri"/>
          <w:sz w:val="22"/>
          <w:szCs w:val="22"/>
        </w:rPr>
      </w:pPr>
    </w:p>
    <w:p w14:paraId="727867B8" w14:textId="77777777" w:rsidR="0039175D" w:rsidRDefault="0039175D" w:rsidP="0039175D">
      <w:pPr>
        <w:pStyle w:val="Default"/>
        <w:spacing w:line="480" w:lineRule="auto"/>
        <w:jc w:val="both"/>
        <w:rPr>
          <w:rFonts w:ascii="Calibri" w:hAnsi="Calibri"/>
          <w:sz w:val="22"/>
          <w:szCs w:val="22"/>
        </w:rPr>
      </w:pPr>
    </w:p>
    <w:p w14:paraId="102FF44F" w14:textId="77777777" w:rsidR="0039175D" w:rsidRDefault="0039175D" w:rsidP="0039175D">
      <w:pPr>
        <w:pStyle w:val="Default"/>
        <w:spacing w:line="480" w:lineRule="auto"/>
        <w:jc w:val="both"/>
        <w:rPr>
          <w:rFonts w:ascii="Calibri" w:hAnsi="Calibri"/>
          <w:sz w:val="22"/>
          <w:szCs w:val="22"/>
        </w:rPr>
      </w:pPr>
    </w:p>
    <w:p w14:paraId="1ABC34EC" w14:textId="77777777" w:rsidR="0039175D" w:rsidRDefault="0039175D" w:rsidP="0039175D">
      <w:pPr>
        <w:pStyle w:val="Default"/>
        <w:spacing w:line="480" w:lineRule="auto"/>
        <w:jc w:val="both"/>
        <w:rPr>
          <w:rFonts w:ascii="Calibri" w:hAnsi="Calibri"/>
          <w:sz w:val="22"/>
          <w:szCs w:val="22"/>
        </w:rPr>
      </w:pPr>
    </w:p>
    <w:p w14:paraId="4146FA61" w14:textId="77777777" w:rsidR="0039175D" w:rsidRDefault="0039175D" w:rsidP="0039175D">
      <w:pPr>
        <w:pStyle w:val="Default"/>
        <w:spacing w:line="480" w:lineRule="auto"/>
        <w:jc w:val="both"/>
        <w:rPr>
          <w:rFonts w:ascii="Calibri" w:hAnsi="Calibri"/>
          <w:sz w:val="22"/>
          <w:szCs w:val="22"/>
        </w:rPr>
      </w:pPr>
    </w:p>
    <w:p w14:paraId="5B00415D" w14:textId="77777777" w:rsidR="0039175D" w:rsidRDefault="0039175D" w:rsidP="0039175D">
      <w:pPr>
        <w:pStyle w:val="Default"/>
        <w:spacing w:line="480" w:lineRule="auto"/>
        <w:jc w:val="both"/>
        <w:rPr>
          <w:rFonts w:ascii="Calibri" w:hAnsi="Calibri"/>
          <w:sz w:val="22"/>
          <w:szCs w:val="22"/>
        </w:rPr>
      </w:pPr>
    </w:p>
    <w:p w14:paraId="33D87CBB" w14:textId="77777777" w:rsidR="0039175D" w:rsidRDefault="0039175D" w:rsidP="0039175D">
      <w:pPr>
        <w:pStyle w:val="Default"/>
        <w:spacing w:line="480" w:lineRule="auto"/>
        <w:jc w:val="both"/>
        <w:rPr>
          <w:rFonts w:ascii="Calibri" w:hAnsi="Calibri"/>
          <w:sz w:val="22"/>
          <w:szCs w:val="22"/>
        </w:rPr>
      </w:pPr>
    </w:p>
    <w:p w14:paraId="1335D3A6" w14:textId="77777777" w:rsidR="0039175D" w:rsidRDefault="0039175D" w:rsidP="0039175D">
      <w:pPr>
        <w:pStyle w:val="Default"/>
        <w:spacing w:line="480" w:lineRule="auto"/>
        <w:jc w:val="both"/>
        <w:rPr>
          <w:rFonts w:ascii="Calibri" w:hAnsi="Calibri"/>
          <w:sz w:val="22"/>
          <w:szCs w:val="22"/>
        </w:rPr>
      </w:pPr>
    </w:p>
    <w:p w14:paraId="1305463F" w14:textId="77777777" w:rsidR="0039175D" w:rsidRDefault="0039175D" w:rsidP="0039175D">
      <w:pPr>
        <w:pStyle w:val="Default"/>
        <w:spacing w:line="480" w:lineRule="auto"/>
        <w:jc w:val="both"/>
        <w:rPr>
          <w:rFonts w:ascii="Calibri" w:hAnsi="Calibri"/>
          <w:sz w:val="22"/>
          <w:szCs w:val="22"/>
        </w:rPr>
      </w:pPr>
    </w:p>
    <w:p w14:paraId="4C64A88A" w14:textId="77777777" w:rsidR="0039175D" w:rsidRPr="002154C9" w:rsidRDefault="0039175D" w:rsidP="0039175D">
      <w:pPr>
        <w:pStyle w:val="Default"/>
        <w:spacing w:line="480" w:lineRule="auto"/>
        <w:jc w:val="both"/>
        <w:rPr>
          <w:rFonts w:ascii="Calibri" w:hAnsi="Calibri"/>
          <w:sz w:val="22"/>
          <w:szCs w:val="22"/>
        </w:rPr>
      </w:pPr>
    </w:p>
    <w:p w14:paraId="4CA2A52D" w14:textId="77777777" w:rsidR="0039175D" w:rsidRDefault="0039175D" w:rsidP="0039175D">
      <w:pPr>
        <w:spacing w:line="480" w:lineRule="auto"/>
        <w:jc w:val="both"/>
        <w:rPr>
          <w:rFonts w:cs="Calibri"/>
          <w:b/>
        </w:rPr>
      </w:pPr>
      <w:r>
        <w:rPr>
          <w:rFonts w:cs="Calibri"/>
          <w:b/>
          <w:noProof/>
          <w:lang w:eastAsia="en-GB"/>
        </w:rPr>
        <w:lastRenderedPageBreak/>
        <w:drawing>
          <wp:inline distT="0" distB="0" distL="0" distR="0" wp14:anchorId="6381044E" wp14:editId="678F206A">
            <wp:extent cx="5730240" cy="240792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t="13593" b="6639"/>
                    <a:stretch>
                      <a:fillRect/>
                    </a:stretch>
                  </pic:blipFill>
                  <pic:spPr bwMode="auto">
                    <a:xfrm>
                      <a:off x="0" y="0"/>
                      <a:ext cx="5730240" cy="2407920"/>
                    </a:xfrm>
                    <a:prstGeom prst="rect">
                      <a:avLst/>
                    </a:prstGeom>
                    <a:noFill/>
                    <a:ln>
                      <a:noFill/>
                    </a:ln>
                  </pic:spPr>
                </pic:pic>
              </a:graphicData>
            </a:graphic>
          </wp:inline>
        </w:drawing>
      </w:r>
    </w:p>
    <w:p w14:paraId="16A79088" w14:textId="77777777" w:rsidR="0039175D" w:rsidRDefault="0039175D" w:rsidP="0039175D">
      <w:pPr>
        <w:spacing w:line="480" w:lineRule="auto"/>
        <w:jc w:val="both"/>
        <w:rPr>
          <w:sz w:val="23"/>
          <w:szCs w:val="23"/>
        </w:rPr>
      </w:pPr>
      <w:r>
        <w:rPr>
          <w:rFonts w:cs="Calibri"/>
          <w:b/>
        </w:rPr>
        <w:t xml:space="preserve">Figure S3. </w:t>
      </w:r>
      <w:r w:rsidRPr="00A37A60">
        <w:rPr>
          <w:b/>
          <w:sz w:val="23"/>
          <w:szCs w:val="23"/>
        </w:rPr>
        <w:t>Quantitative Congo Red assay for the production of exopolysaccharides in planktonic culture</w:t>
      </w:r>
      <w:r>
        <w:rPr>
          <w:sz w:val="23"/>
          <w:szCs w:val="23"/>
        </w:rPr>
        <w:t>. To quantitatively assess exopolysaccharide production, overnight bacterial starter cultures were inoculated in fresh growth media supplemented with 10 μg/mL Congo Red. Cultures were grown with good aeration at 37</w:t>
      </w:r>
      <w:r>
        <w:rPr>
          <w:rFonts w:ascii="Arial" w:hAnsi="Arial" w:cs="Arial"/>
          <w:sz w:val="16"/>
          <w:szCs w:val="16"/>
        </w:rPr>
        <w:t>º</w:t>
      </w:r>
      <w:r>
        <w:rPr>
          <w:sz w:val="23"/>
          <w:szCs w:val="23"/>
        </w:rPr>
        <w:t>C for 24 h on a rotating drum. The OD</w:t>
      </w:r>
      <w:r>
        <w:rPr>
          <w:sz w:val="16"/>
          <w:szCs w:val="16"/>
        </w:rPr>
        <w:t xml:space="preserve">600 </w:t>
      </w:r>
      <w:r>
        <w:rPr>
          <w:sz w:val="23"/>
          <w:szCs w:val="23"/>
        </w:rPr>
        <w:t xml:space="preserve">was measured and the cells were pelleted at 3200 x </w:t>
      </w:r>
      <w:r>
        <w:rPr>
          <w:i/>
          <w:iCs/>
          <w:sz w:val="23"/>
          <w:szCs w:val="23"/>
        </w:rPr>
        <w:t xml:space="preserve">g </w:t>
      </w:r>
      <w:r>
        <w:rPr>
          <w:sz w:val="23"/>
          <w:szCs w:val="23"/>
        </w:rPr>
        <w:t>for 10 min at room temperature. The principle behind this is that any Congo Red bound to cell-associated polysaccharides becomes sedimented out of the solution. Unbound Congo Red in solution was determined by quantifying the optical density of the supernatant at 495 nm. The OD</w:t>
      </w:r>
      <w:r>
        <w:rPr>
          <w:sz w:val="16"/>
          <w:szCs w:val="16"/>
        </w:rPr>
        <w:t xml:space="preserve">495 </w:t>
      </w:r>
      <w:r>
        <w:rPr>
          <w:sz w:val="23"/>
          <w:szCs w:val="23"/>
        </w:rPr>
        <w:t>was normalised against the culture OD</w:t>
      </w:r>
      <w:r>
        <w:rPr>
          <w:sz w:val="16"/>
          <w:szCs w:val="16"/>
        </w:rPr>
        <w:t>600</w:t>
      </w:r>
      <w:r>
        <w:rPr>
          <w:sz w:val="23"/>
          <w:szCs w:val="23"/>
        </w:rPr>
        <w:t>. The greater the amount of polysaccharide produced, the lower the final A</w:t>
      </w:r>
      <w:r w:rsidRPr="000107B3">
        <w:rPr>
          <w:sz w:val="23"/>
          <w:szCs w:val="23"/>
          <w:vertAlign w:val="subscript"/>
        </w:rPr>
        <w:t>495</w:t>
      </w:r>
      <w:r>
        <w:rPr>
          <w:sz w:val="23"/>
          <w:szCs w:val="23"/>
        </w:rPr>
        <w:t xml:space="preserve"> of the culture supernatant. Statistical significance between groups was assessed by an unpaired </w:t>
      </w:r>
      <w:r>
        <w:rPr>
          <w:i/>
          <w:iCs/>
          <w:sz w:val="23"/>
          <w:szCs w:val="23"/>
        </w:rPr>
        <w:t>t</w:t>
      </w:r>
      <w:r>
        <w:rPr>
          <w:sz w:val="23"/>
          <w:szCs w:val="23"/>
        </w:rPr>
        <w:t xml:space="preserve">-test (n=3) (* = </w:t>
      </w:r>
      <w:r>
        <w:rPr>
          <w:i/>
          <w:iCs/>
          <w:sz w:val="23"/>
          <w:szCs w:val="23"/>
        </w:rPr>
        <w:t xml:space="preserve">p </w:t>
      </w:r>
      <w:r>
        <w:rPr>
          <w:sz w:val="23"/>
          <w:szCs w:val="23"/>
        </w:rPr>
        <w:t xml:space="preserve">&lt;0.05, ** = </w:t>
      </w:r>
      <w:r>
        <w:rPr>
          <w:i/>
          <w:iCs/>
          <w:sz w:val="23"/>
          <w:szCs w:val="23"/>
        </w:rPr>
        <w:t xml:space="preserve">p </w:t>
      </w:r>
      <w:r>
        <w:rPr>
          <w:sz w:val="23"/>
          <w:szCs w:val="23"/>
        </w:rPr>
        <w:t>&lt;0.01).</w:t>
      </w:r>
    </w:p>
    <w:p w14:paraId="35607B70" w14:textId="77777777" w:rsidR="0039175D" w:rsidRDefault="0039175D" w:rsidP="0039175D">
      <w:pPr>
        <w:spacing w:line="480" w:lineRule="auto"/>
        <w:jc w:val="both"/>
        <w:rPr>
          <w:sz w:val="23"/>
          <w:szCs w:val="23"/>
        </w:rPr>
      </w:pPr>
    </w:p>
    <w:p w14:paraId="516C3CD8" w14:textId="77777777" w:rsidR="0039175D" w:rsidRDefault="0039175D" w:rsidP="0039175D">
      <w:pPr>
        <w:spacing w:line="480" w:lineRule="auto"/>
        <w:jc w:val="both"/>
        <w:rPr>
          <w:sz w:val="23"/>
          <w:szCs w:val="23"/>
        </w:rPr>
      </w:pPr>
    </w:p>
    <w:p w14:paraId="40671D69" w14:textId="77777777" w:rsidR="0039175D" w:rsidRDefault="0039175D" w:rsidP="0039175D">
      <w:pPr>
        <w:spacing w:line="480" w:lineRule="auto"/>
        <w:jc w:val="both"/>
        <w:rPr>
          <w:sz w:val="23"/>
          <w:szCs w:val="23"/>
        </w:rPr>
      </w:pPr>
    </w:p>
    <w:p w14:paraId="4EE0110C" w14:textId="77777777" w:rsidR="0039175D" w:rsidRPr="00A37A60" w:rsidRDefault="0039175D" w:rsidP="0039175D">
      <w:pPr>
        <w:spacing w:line="480" w:lineRule="auto"/>
        <w:jc w:val="both"/>
        <w:rPr>
          <w:rFonts w:cs="Calibri"/>
        </w:rPr>
      </w:pPr>
    </w:p>
    <w:p w14:paraId="04FAD347" w14:textId="77777777" w:rsidR="0039175D" w:rsidRDefault="0039175D" w:rsidP="0039175D">
      <w:pPr>
        <w:spacing w:line="480" w:lineRule="auto"/>
        <w:jc w:val="both"/>
        <w:rPr>
          <w:rFonts w:cs="Calibri"/>
          <w:b/>
        </w:rPr>
      </w:pPr>
      <w:r>
        <w:rPr>
          <w:rFonts w:cs="Calibri"/>
          <w:b/>
          <w:noProof/>
          <w:lang w:eastAsia="en-GB"/>
        </w:rPr>
        <w:lastRenderedPageBreak/>
        <w:drawing>
          <wp:inline distT="0" distB="0" distL="0" distR="0" wp14:anchorId="6AA8F0C5" wp14:editId="6E29B2D8">
            <wp:extent cx="5730240" cy="2156460"/>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t="15657" b="14908"/>
                    <a:stretch>
                      <a:fillRect/>
                    </a:stretch>
                  </pic:blipFill>
                  <pic:spPr bwMode="auto">
                    <a:xfrm>
                      <a:off x="0" y="0"/>
                      <a:ext cx="5730240" cy="2156460"/>
                    </a:xfrm>
                    <a:prstGeom prst="rect">
                      <a:avLst/>
                    </a:prstGeom>
                    <a:noFill/>
                    <a:ln>
                      <a:noFill/>
                    </a:ln>
                  </pic:spPr>
                </pic:pic>
              </a:graphicData>
            </a:graphic>
          </wp:inline>
        </w:drawing>
      </w:r>
    </w:p>
    <w:p w14:paraId="2587FD12" w14:textId="77777777" w:rsidR="0039175D" w:rsidRDefault="0039175D" w:rsidP="0039175D">
      <w:pPr>
        <w:spacing w:line="480" w:lineRule="auto"/>
        <w:jc w:val="both"/>
        <w:rPr>
          <w:sz w:val="23"/>
          <w:szCs w:val="23"/>
        </w:rPr>
      </w:pPr>
      <w:r w:rsidRPr="00C10DDE">
        <w:rPr>
          <w:rFonts w:cs="Calibri"/>
          <w:b/>
        </w:rPr>
        <w:t>Fig</w:t>
      </w:r>
      <w:r>
        <w:rPr>
          <w:rFonts w:cs="Calibri"/>
          <w:b/>
        </w:rPr>
        <w:t>ure S4</w:t>
      </w:r>
      <w:r>
        <w:rPr>
          <w:rFonts w:cs="Calibri"/>
        </w:rPr>
        <w:t xml:space="preserve">. </w:t>
      </w:r>
      <w:r w:rsidRPr="00BF542A">
        <w:rPr>
          <w:rFonts w:cs="Calibri"/>
          <w:b/>
        </w:rPr>
        <w:t>Expression of the Type III Secretion machinery protein, PcrV, is stimulated in EMC1</w:t>
      </w:r>
      <w:r>
        <w:rPr>
          <w:rFonts w:cs="Calibri"/>
        </w:rPr>
        <w:t xml:space="preserve">. Upper panel; </w:t>
      </w:r>
      <w:r>
        <w:rPr>
          <w:sz w:val="23"/>
          <w:szCs w:val="23"/>
        </w:rPr>
        <w:t xml:space="preserve">RT-PCR amplification the </w:t>
      </w:r>
      <w:r w:rsidRPr="00066B4B">
        <w:rPr>
          <w:i/>
          <w:sz w:val="23"/>
          <w:szCs w:val="23"/>
        </w:rPr>
        <w:t>pcrV</w:t>
      </w:r>
      <w:r>
        <w:rPr>
          <w:sz w:val="23"/>
          <w:szCs w:val="23"/>
        </w:rPr>
        <w:t xml:space="preserve"> ORF (25 cycles of PCR amplification). Lower panel; western blot using α-PcrV antibodies on whole cell protein samples of each strain. Samples were taken for analysis from independent triplicate (RT-PCR) or quadruplicate (western) cultures. The EMC0 and EMC1 samples contained empty pUCP20 vector.  </w:t>
      </w:r>
    </w:p>
    <w:p w14:paraId="6D0470CE" w14:textId="77777777" w:rsidR="0039175D" w:rsidRDefault="0039175D" w:rsidP="0039175D">
      <w:pPr>
        <w:spacing w:line="480" w:lineRule="auto"/>
        <w:jc w:val="both"/>
        <w:rPr>
          <w:sz w:val="23"/>
          <w:szCs w:val="23"/>
        </w:rPr>
      </w:pPr>
    </w:p>
    <w:p w14:paraId="5E6883CC" w14:textId="77777777" w:rsidR="0039175D" w:rsidRDefault="0039175D" w:rsidP="0039175D">
      <w:pPr>
        <w:spacing w:line="480" w:lineRule="auto"/>
        <w:jc w:val="both"/>
        <w:rPr>
          <w:sz w:val="23"/>
          <w:szCs w:val="23"/>
        </w:rPr>
      </w:pPr>
    </w:p>
    <w:p w14:paraId="6A9517C7" w14:textId="77777777" w:rsidR="0039175D" w:rsidRDefault="0039175D" w:rsidP="0039175D">
      <w:pPr>
        <w:spacing w:line="480" w:lineRule="auto"/>
        <w:jc w:val="both"/>
        <w:rPr>
          <w:sz w:val="23"/>
          <w:szCs w:val="23"/>
        </w:rPr>
      </w:pPr>
    </w:p>
    <w:p w14:paraId="74BE11FE" w14:textId="77777777" w:rsidR="0039175D" w:rsidRDefault="0039175D" w:rsidP="0039175D">
      <w:pPr>
        <w:spacing w:line="480" w:lineRule="auto"/>
        <w:jc w:val="both"/>
        <w:rPr>
          <w:sz w:val="23"/>
          <w:szCs w:val="23"/>
        </w:rPr>
      </w:pPr>
    </w:p>
    <w:p w14:paraId="3AC54246" w14:textId="77777777" w:rsidR="0039175D" w:rsidRDefault="0039175D" w:rsidP="0039175D">
      <w:pPr>
        <w:spacing w:line="480" w:lineRule="auto"/>
        <w:jc w:val="both"/>
        <w:rPr>
          <w:sz w:val="23"/>
          <w:szCs w:val="23"/>
        </w:rPr>
      </w:pPr>
    </w:p>
    <w:p w14:paraId="3C8C3ACA" w14:textId="77777777" w:rsidR="0039175D" w:rsidRDefault="0039175D" w:rsidP="0039175D">
      <w:pPr>
        <w:spacing w:line="480" w:lineRule="auto"/>
        <w:jc w:val="both"/>
        <w:rPr>
          <w:sz w:val="23"/>
          <w:szCs w:val="23"/>
        </w:rPr>
      </w:pPr>
    </w:p>
    <w:p w14:paraId="6AB83C89" w14:textId="77777777" w:rsidR="0039175D" w:rsidRDefault="0039175D" w:rsidP="0039175D">
      <w:pPr>
        <w:spacing w:line="480" w:lineRule="auto"/>
        <w:jc w:val="both"/>
        <w:rPr>
          <w:sz w:val="23"/>
          <w:szCs w:val="23"/>
        </w:rPr>
      </w:pPr>
    </w:p>
    <w:p w14:paraId="38F735DA" w14:textId="77777777" w:rsidR="0039175D" w:rsidRDefault="0039175D" w:rsidP="0039175D">
      <w:pPr>
        <w:spacing w:line="480" w:lineRule="auto"/>
        <w:jc w:val="both"/>
        <w:rPr>
          <w:sz w:val="23"/>
          <w:szCs w:val="23"/>
        </w:rPr>
      </w:pPr>
    </w:p>
    <w:p w14:paraId="7ED9BD1D" w14:textId="77777777" w:rsidR="0039175D" w:rsidRDefault="0039175D" w:rsidP="0039175D">
      <w:pPr>
        <w:spacing w:line="480" w:lineRule="auto"/>
        <w:jc w:val="both"/>
        <w:rPr>
          <w:sz w:val="23"/>
          <w:szCs w:val="23"/>
        </w:rPr>
      </w:pPr>
    </w:p>
    <w:p w14:paraId="02390856" w14:textId="77777777" w:rsidR="0039175D" w:rsidRDefault="0039175D" w:rsidP="0039175D">
      <w:pPr>
        <w:spacing w:line="480" w:lineRule="auto"/>
        <w:jc w:val="both"/>
        <w:rPr>
          <w:sz w:val="23"/>
          <w:szCs w:val="23"/>
        </w:rPr>
      </w:pPr>
    </w:p>
    <w:p w14:paraId="61017606" w14:textId="77777777" w:rsidR="0039175D" w:rsidRDefault="0039175D" w:rsidP="0039175D">
      <w:pPr>
        <w:spacing w:line="480" w:lineRule="auto"/>
        <w:jc w:val="both"/>
        <w:rPr>
          <w:sz w:val="23"/>
          <w:szCs w:val="23"/>
        </w:rPr>
      </w:pPr>
      <w:r>
        <w:rPr>
          <w:noProof/>
          <w:sz w:val="23"/>
          <w:szCs w:val="23"/>
          <w:lang w:eastAsia="en-GB"/>
        </w:rPr>
        <w:lastRenderedPageBreak/>
        <w:drawing>
          <wp:inline distT="0" distB="0" distL="0" distR="0" wp14:anchorId="10DD874C" wp14:editId="1D9C23D0">
            <wp:extent cx="5844508" cy="4227466"/>
            <wp:effectExtent l="0" t="0" r="4445" b="1905"/>
            <wp:docPr id="32" name="Picture 3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oteomics appendix.png"/>
                    <pic:cNvPicPr/>
                  </pic:nvPicPr>
                  <pic:blipFill>
                    <a:blip r:embed="rId10"/>
                    <a:stretch>
                      <a:fillRect/>
                    </a:stretch>
                  </pic:blipFill>
                  <pic:spPr>
                    <a:xfrm>
                      <a:off x="0" y="0"/>
                      <a:ext cx="5857956" cy="4237194"/>
                    </a:xfrm>
                    <a:prstGeom prst="rect">
                      <a:avLst/>
                    </a:prstGeom>
                  </pic:spPr>
                </pic:pic>
              </a:graphicData>
            </a:graphic>
          </wp:inline>
        </w:drawing>
      </w:r>
    </w:p>
    <w:p w14:paraId="1019B986" w14:textId="77777777" w:rsidR="0039175D" w:rsidRDefault="0039175D" w:rsidP="0039175D">
      <w:pPr>
        <w:spacing w:line="480" w:lineRule="auto"/>
        <w:jc w:val="both"/>
        <w:rPr>
          <w:sz w:val="23"/>
          <w:szCs w:val="23"/>
        </w:rPr>
      </w:pPr>
      <w:r>
        <w:rPr>
          <w:b/>
          <w:sz w:val="23"/>
          <w:szCs w:val="23"/>
        </w:rPr>
        <w:t>Figure S5</w:t>
      </w:r>
      <w:r w:rsidRPr="00D8736B">
        <w:rPr>
          <w:b/>
          <w:sz w:val="23"/>
          <w:szCs w:val="23"/>
        </w:rPr>
        <w:t xml:space="preserve">. The </w:t>
      </w:r>
      <w:r w:rsidRPr="00D8736B">
        <w:rPr>
          <w:b/>
          <w:i/>
          <w:sz w:val="23"/>
          <w:szCs w:val="23"/>
        </w:rPr>
        <w:t>fusA1</w:t>
      </w:r>
      <w:r w:rsidRPr="00D8736B">
        <w:rPr>
          <w:b/>
          <w:i/>
          <w:sz w:val="23"/>
          <w:szCs w:val="23"/>
          <w:vertAlign w:val="superscript"/>
        </w:rPr>
        <w:t>P443L</w:t>
      </w:r>
      <w:r w:rsidRPr="00D8736B">
        <w:rPr>
          <w:b/>
          <w:sz w:val="23"/>
          <w:szCs w:val="23"/>
        </w:rPr>
        <w:t xml:space="preserve"> mutation leads to global proteomic changes in EMC1</w:t>
      </w:r>
      <w:r>
        <w:rPr>
          <w:sz w:val="23"/>
          <w:szCs w:val="23"/>
        </w:rPr>
        <w:t xml:space="preserve">. </w:t>
      </w:r>
      <w:r w:rsidRPr="00D8736B">
        <w:rPr>
          <w:b/>
          <w:sz w:val="23"/>
          <w:szCs w:val="23"/>
        </w:rPr>
        <w:t>(A)</w:t>
      </w:r>
      <w:r>
        <w:rPr>
          <w:sz w:val="23"/>
          <w:szCs w:val="23"/>
        </w:rPr>
        <w:t xml:space="preserve"> Principal Components Analysis (PCA) scores plot showing the global trends observed in EMC0 blue circles), EMC1 (red circles) and EMC1* (green circles). </w:t>
      </w:r>
      <w:r w:rsidRPr="00D8736B">
        <w:rPr>
          <w:b/>
          <w:sz w:val="23"/>
          <w:szCs w:val="23"/>
        </w:rPr>
        <w:t>(B)</w:t>
      </w:r>
      <w:r>
        <w:rPr>
          <w:sz w:val="23"/>
          <w:szCs w:val="23"/>
        </w:rPr>
        <w:t xml:space="preserve"> “Volcano plot” showing log</w:t>
      </w:r>
      <w:r w:rsidRPr="00F46415">
        <w:rPr>
          <w:sz w:val="23"/>
          <w:szCs w:val="23"/>
          <w:vertAlign w:val="subscript"/>
        </w:rPr>
        <w:t>2</w:t>
      </w:r>
      <w:r>
        <w:rPr>
          <w:sz w:val="23"/>
          <w:szCs w:val="23"/>
        </w:rPr>
        <w:t xml:space="preserve">FC of each identified protein </w:t>
      </w:r>
      <w:r w:rsidRPr="00F46415">
        <w:rPr>
          <w:i/>
          <w:sz w:val="23"/>
          <w:szCs w:val="23"/>
        </w:rPr>
        <w:t>vs</w:t>
      </w:r>
      <w:r>
        <w:rPr>
          <w:sz w:val="23"/>
          <w:szCs w:val="23"/>
        </w:rPr>
        <w:t xml:space="preserve"> P-value for the comparison of proteins in EMC1 and EMC0. (C) Volcano plot showing log</w:t>
      </w:r>
      <w:r w:rsidRPr="00F46415">
        <w:rPr>
          <w:sz w:val="23"/>
          <w:szCs w:val="23"/>
          <w:vertAlign w:val="subscript"/>
        </w:rPr>
        <w:t>2</w:t>
      </w:r>
      <w:r>
        <w:rPr>
          <w:sz w:val="23"/>
          <w:szCs w:val="23"/>
        </w:rPr>
        <w:t xml:space="preserve">FC of each identified protein </w:t>
      </w:r>
      <w:r w:rsidRPr="00F46415">
        <w:rPr>
          <w:i/>
          <w:sz w:val="23"/>
          <w:szCs w:val="23"/>
        </w:rPr>
        <w:t>vs</w:t>
      </w:r>
      <w:r>
        <w:rPr>
          <w:sz w:val="23"/>
          <w:szCs w:val="23"/>
        </w:rPr>
        <w:t xml:space="preserve"> P-value for the comparison of proteins in EMC1* and EMC0. In (B) and (C) a selection of the identified proteins are indicated on each plot. Note that in (C), FusA1 (EF-G) is the most highly-modulated protein. This is because FusA1 has been over-expressed from the pUCP20 </w:t>
      </w:r>
      <w:r w:rsidRPr="00184497">
        <w:rPr>
          <w:i/>
          <w:sz w:val="23"/>
          <w:szCs w:val="23"/>
        </w:rPr>
        <w:t>fusA1</w:t>
      </w:r>
      <w:r>
        <w:rPr>
          <w:sz w:val="23"/>
          <w:szCs w:val="23"/>
        </w:rPr>
        <w:t xml:space="preserve"> used to complement the </w:t>
      </w:r>
      <w:r w:rsidRPr="00184497">
        <w:rPr>
          <w:i/>
          <w:sz w:val="23"/>
          <w:szCs w:val="23"/>
        </w:rPr>
        <w:t>fusA1</w:t>
      </w:r>
      <w:r w:rsidRPr="00184497">
        <w:rPr>
          <w:i/>
          <w:sz w:val="23"/>
          <w:szCs w:val="23"/>
          <w:vertAlign w:val="superscript"/>
        </w:rPr>
        <w:t>P443L</w:t>
      </w:r>
      <w:r>
        <w:rPr>
          <w:sz w:val="23"/>
          <w:szCs w:val="23"/>
        </w:rPr>
        <w:t xml:space="preserve"> mutation in EMC1. The over-expressed FusA1 protein band can be clearly seen in the 1D SDS-PAGE profile of the EMC1* in panel </w:t>
      </w:r>
      <w:r w:rsidRPr="00184497">
        <w:rPr>
          <w:b/>
          <w:sz w:val="23"/>
          <w:szCs w:val="23"/>
        </w:rPr>
        <w:t>(D)</w:t>
      </w:r>
      <w:r>
        <w:rPr>
          <w:sz w:val="23"/>
          <w:szCs w:val="23"/>
        </w:rPr>
        <w:t xml:space="preserve">.   </w:t>
      </w:r>
    </w:p>
    <w:p w14:paraId="45EEFF07" w14:textId="77777777" w:rsidR="0039175D" w:rsidRDefault="0039175D" w:rsidP="0039175D">
      <w:pPr>
        <w:spacing w:line="480" w:lineRule="auto"/>
        <w:jc w:val="both"/>
        <w:rPr>
          <w:sz w:val="23"/>
          <w:szCs w:val="23"/>
        </w:rPr>
      </w:pPr>
    </w:p>
    <w:p w14:paraId="7CBA95F7" w14:textId="77777777" w:rsidR="0039175D" w:rsidRDefault="0039175D" w:rsidP="0039175D">
      <w:pPr>
        <w:spacing w:line="480" w:lineRule="auto"/>
        <w:jc w:val="both"/>
        <w:rPr>
          <w:sz w:val="23"/>
          <w:szCs w:val="23"/>
        </w:rPr>
      </w:pPr>
    </w:p>
    <w:p w14:paraId="1D18308D" w14:textId="77777777" w:rsidR="0039175D" w:rsidRDefault="0039175D" w:rsidP="0039175D">
      <w:pPr>
        <w:spacing w:line="480" w:lineRule="auto"/>
        <w:jc w:val="center"/>
        <w:rPr>
          <w:sz w:val="23"/>
          <w:szCs w:val="23"/>
        </w:rPr>
      </w:pPr>
      <w:r>
        <w:rPr>
          <w:noProof/>
          <w:sz w:val="23"/>
          <w:szCs w:val="23"/>
          <w:lang w:eastAsia="en-GB"/>
        </w:rPr>
        <w:lastRenderedPageBreak/>
        <w:drawing>
          <wp:inline distT="0" distB="0" distL="0" distR="0" wp14:anchorId="0A1694B1" wp14:editId="1F5311A3">
            <wp:extent cx="3206503" cy="326746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ron homeostasis.svg.png"/>
                    <pic:cNvPicPr/>
                  </pic:nvPicPr>
                  <pic:blipFill>
                    <a:blip r:embed="rId11"/>
                    <a:stretch>
                      <a:fillRect/>
                    </a:stretch>
                  </pic:blipFill>
                  <pic:spPr>
                    <a:xfrm>
                      <a:off x="0" y="0"/>
                      <a:ext cx="3206503" cy="3267463"/>
                    </a:xfrm>
                    <a:prstGeom prst="rect">
                      <a:avLst/>
                    </a:prstGeom>
                  </pic:spPr>
                </pic:pic>
              </a:graphicData>
            </a:graphic>
          </wp:inline>
        </w:drawing>
      </w:r>
    </w:p>
    <w:p w14:paraId="440B429A" w14:textId="77777777" w:rsidR="0039175D" w:rsidRPr="00872428" w:rsidRDefault="0039175D" w:rsidP="0039175D">
      <w:pPr>
        <w:spacing w:line="480" w:lineRule="auto"/>
        <w:jc w:val="both"/>
        <w:rPr>
          <w:sz w:val="23"/>
          <w:szCs w:val="23"/>
        </w:rPr>
      </w:pPr>
      <w:r>
        <w:rPr>
          <w:b/>
          <w:sz w:val="23"/>
          <w:szCs w:val="23"/>
        </w:rPr>
        <w:t>Figure S6</w:t>
      </w:r>
      <w:r w:rsidRPr="00BD0EDB">
        <w:rPr>
          <w:b/>
          <w:sz w:val="23"/>
          <w:szCs w:val="23"/>
        </w:rPr>
        <w:t>. Siderophore production by EMC0, EMC1 and EMC1*</w:t>
      </w:r>
      <w:r>
        <w:rPr>
          <w:sz w:val="23"/>
          <w:szCs w:val="23"/>
        </w:rPr>
        <w:t xml:space="preserve">. </w:t>
      </w:r>
      <w:r>
        <w:rPr>
          <w:b/>
          <w:bCs/>
          <w:sz w:val="23"/>
          <w:szCs w:val="23"/>
        </w:rPr>
        <w:t xml:space="preserve">(A) </w:t>
      </w:r>
      <w:r>
        <w:rPr>
          <w:sz w:val="23"/>
          <w:szCs w:val="23"/>
        </w:rPr>
        <w:t xml:space="preserve">Siderotech assay was used for the detection of siderophores in the culture supernatants of EMC0, EMC1 and EMC1*. The supernatant from two biological replicates (1 and 2) were tested twice for each indicated strain. The solution turns from blue to red upon the detection of siderophores in the culture supernatant. </w:t>
      </w:r>
      <w:r w:rsidRPr="002F052B">
        <w:rPr>
          <w:b/>
          <w:bCs/>
          <w:sz w:val="23"/>
          <w:szCs w:val="23"/>
        </w:rPr>
        <w:t xml:space="preserve">(B) </w:t>
      </w:r>
      <w:r w:rsidRPr="002F052B">
        <w:rPr>
          <w:sz w:val="23"/>
          <w:szCs w:val="23"/>
        </w:rPr>
        <w:t xml:space="preserve">Western blot showing whole cell lysates probed with α-PcrV antibodies. The indicated strains were grown in M9 minimal media </w:t>
      </w:r>
      <w:r w:rsidRPr="002F052B">
        <w:rPr>
          <w:rFonts w:ascii="Times New Roman" w:hAnsi="Times New Roman"/>
          <w:sz w:val="23"/>
          <w:szCs w:val="23"/>
        </w:rPr>
        <w:t>±</w:t>
      </w:r>
      <w:r w:rsidRPr="002F052B">
        <w:rPr>
          <w:sz w:val="23"/>
          <w:szCs w:val="23"/>
        </w:rPr>
        <w:t xml:space="preserve"> 100 </w:t>
      </w:r>
      <w:r w:rsidRPr="002F052B">
        <w:rPr>
          <w:rFonts w:cs="Calibri"/>
          <w:sz w:val="23"/>
          <w:szCs w:val="23"/>
        </w:rPr>
        <w:t>μ</w:t>
      </w:r>
      <w:r w:rsidRPr="002F052B">
        <w:rPr>
          <w:sz w:val="23"/>
          <w:szCs w:val="23"/>
        </w:rPr>
        <w:t>M FeCl</w:t>
      </w:r>
      <w:r w:rsidRPr="002F052B">
        <w:rPr>
          <w:sz w:val="23"/>
          <w:szCs w:val="23"/>
          <w:vertAlign w:val="subscript"/>
        </w:rPr>
        <w:t>3</w:t>
      </w:r>
      <w:r w:rsidRPr="002F052B">
        <w:rPr>
          <w:sz w:val="23"/>
          <w:szCs w:val="23"/>
        </w:rPr>
        <w:t>.</w:t>
      </w:r>
    </w:p>
    <w:p w14:paraId="7F06DC51" w14:textId="77777777" w:rsidR="0039175D" w:rsidRDefault="0039175D" w:rsidP="0039175D">
      <w:pPr>
        <w:widowControl w:val="0"/>
        <w:autoSpaceDE w:val="0"/>
        <w:autoSpaceDN w:val="0"/>
        <w:adjustRightInd w:val="0"/>
        <w:spacing w:line="480" w:lineRule="auto"/>
        <w:ind w:left="480" w:hanging="480"/>
        <w:jc w:val="both"/>
        <w:rPr>
          <w:rFonts w:cs="Calibri"/>
        </w:rPr>
      </w:pPr>
    </w:p>
    <w:p w14:paraId="453F0F7A" w14:textId="77777777" w:rsidR="0039175D" w:rsidRDefault="0039175D" w:rsidP="0039175D">
      <w:pPr>
        <w:widowControl w:val="0"/>
        <w:autoSpaceDE w:val="0"/>
        <w:autoSpaceDN w:val="0"/>
        <w:adjustRightInd w:val="0"/>
        <w:spacing w:line="480" w:lineRule="auto"/>
        <w:ind w:left="480" w:hanging="480"/>
        <w:jc w:val="both"/>
        <w:rPr>
          <w:rFonts w:cs="Calibri"/>
        </w:rPr>
      </w:pPr>
      <w:bookmarkStart w:id="0" w:name="_GoBack"/>
      <w:bookmarkEnd w:id="0"/>
      <w:r>
        <w:rPr>
          <w:rFonts w:cs="Calibri"/>
          <w:noProof/>
          <w:lang w:eastAsia="en-GB"/>
        </w:rPr>
        <w:lastRenderedPageBreak/>
        <w:drawing>
          <wp:inline distT="0" distB="0" distL="0" distR="0" wp14:anchorId="50D84AB1" wp14:editId="14B65626">
            <wp:extent cx="5657850" cy="628315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ot down small.png"/>
                    <pic:cNvPicPr/>
                  </pic:nvPicPr>
                  <pic:blipFill>
                    <a:blip r:embed="rId12"/>
                    <a:stretch>
                      <a:fillRect/>
                    </a:stretch>
                  </pic:blipFill>
                  <pic:spPr>
                    <a:xfrm>
                      <a:off x="0" y="0"/>
                      <a:ext cx="5662723" cy="6288563"/>
                    </a:xfrm>
                    <a:prstGeom prst="rect">
                      <a:avLst/>
                    </a:prstGeom>
                  </pic:spPr>
                </pic:pic>
              </a:graphicData>
            </a:graphic>
          </wp:inline>
        </w:drawing>
      </w:r>
    </w:p>
    <w:p w14:paraId="1F41A57F" w14:textId="77777777" w:rsidR="0039175D" w:rsidRDefault="0039175D" w:rsidP="0039175D">
      <w:pPr>
        <w:widowControl w:val="0"/>
        <w:autoSpaceDE w:val="0"/>
        <w:autoSpaceDN w:val="0"/>
        <w:adjustRightInd w:val="0"/>
        <w:spacing w:line="480" w:lineRule="auto"/>
        <w:jc w:val="both"/>
        <w:rPr>
          <w:rFonts w:cs="Calibri"/>
        </w:rPr>
      </w:pPr>
      <w:r>
        <w:rPr>
          <w:rFonts w:cs="Calibri"/>
          <w:b/>
        </w:rPr>
        <w:t>Figure S7</w:t>
      </w:r>
      <w:r w:rsidRPr="004A158A">
        <w:rPr>
          <w:rFonts w:cs="Calibri"/>
          <w:b/>
        </w:rPr>
        <w:t>. STRING analysis of proteins that were down-regulated in EMC1 compared with EMC0</w:t>
      </w:r>
      <w:r>
        <w:rPr>
          <w:rFonts w:cs="Calibri"/>
        </w:rPr>
        <w:t>. A selection of the more highly-interconnected clusters of proteins are discussed in the main body text.</w:t>
      </w:r>
    </w:p>
    <w:p w14:paraId="3476BB60" w14:textId="77777777" w:rsidR="0039175D" w:rsidRDefault="0039175D" w:rsidP="0039175D">
      <w:pPr>
        <w:widowControl w:val="0"/>
        <w:autoSpaceDE w:val="0"/>
        <w:autoSpaceDN w:val="0"/>
        <w:adjustRightInd w:val="0"/>
        <w:spacing w:line="480" w:lineRule="auto"/>
        <w:jc w:val="both"/>
        <w:rPr>
          <w:rFonts w:cs="Calibri"/>
        </w:rPr>
      </w:pPr>
      <w:r>
        <w:rPr>
          <w:rFonts w:cs="Calibri"/>
          <w:noProof/>
          <w:lang w:eastAsia="en-GB"/>
        </w:rPr>
        <w:lastRenderedPageBreak/>
        <w:drawing>
          <wp:inline distT="0" distB="0" distL="0" distR="0" wp14:anchorId="3213AE39" wp14:editId="380F7FF3">
            <wp:extent cx="5730240" cy="3154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3154680"/>
                    </a:xfrm>
                    <a:prstGeom prst="rect">
                      <a:avLst/>
                    </a:prstGeom>
                    <a:noFill/>
                    <a:ln>
                      <a:noFill/>
                    </a:ln>
                  </pic:spPr>
                </pic:pic>
              </a:graphicData>
            </a:graphic>
          </wp:inline>
        </w:drawing>
      </w:r>
    </w:p>
    <w:p w14:paraId="49FF1B3B" w14:textId="77777777" w:rsidR="0039175D" w:rsidRDefault="0039175D" w:rsidP="0039175D">
      <w:pPr>
        <w:widowControl w:val="0"/>
        <w:autoSpaceDE w:val="0"/>
        <w:autoSpaceDN w:val="0"/>
        <w:adjustRightInd w:val="0"/>
        <w:spacing w:line="480" w:lineRule="auto"/>
        <w:jc w:val="both"/>
        <w:rPr>
          <w:sz w:val="23"/>
          <w:szCs w:val="23"/>
        </w:rPr>
      </w:pPr>
      <w:r>
        <w:rPr>
          <w:rFonts w:cs="Calibri"/>
          <w:b/>
        </w:rPr>
        <w:t>Figure S8</w:t>
      </w:r>
      <w:r w:rsidRPr="0044232B">
        <w:rPr>
          <w:rFonts w:cs="Calibri"/>
          <w:b/>
        </w:rPr>
        <w:t xml:space="preserve">. </w:t>
      </w:r>
      <w:r w:rsidRPr="0044232B">
        <w:rPr>
          <w:b/>
          <w:sz w:val="23"/>
          <w:szCs w:val="23"/>
        </w:rPr>
        <w:t>Volcano plot representing the log</w:t>
      </w:r>
      <w:r w:rsidRPr="0044232B">
        <w:rPr>
          <w:b/>
          <w:sz w:val="16"/>
          <w:szCs w:val="16"/>
        </w:rPr>
        <w:t xml:space="preserve">2 </w:t>
      </w:r>
      <w:r w:rsidRPr="0044232B">
        <w:rPr>
          <w:b/>
          <w:sz w:val="23"/>
          <w:szCs w:val="23"/>
        </w:rPr>
        <w:t xml:space="preserve">fold change (FC) of RNA transcript abundance against statistical significance for </w:t>
      </w:r>
      <w:r w:rsidRPr="0044232B">
        <w:rPr>
          <w:b/>
          <w:bCs/>
          <w:sz w:val="23"/>
          <w:szCs w:val="23"/>
        </w:rPr>
        <w:t xml:space="preserve">(A) </w:t>
      </w:r>
      <w:r w:rsidRPr="0044232B">
        <w:rPr>
          <w:b/>
          <w:sz w:val="23"/>
          <w:szCs w:val="23"/>
        </w:rPr>
        <w:t xml:space="preserve">EMC1, and </w:t>
      </w:r>
      <w:r w:rsidRPr="0044232B">
        <w:rPr>
          <w:b/>
          <w:bCs/>
          <w:sz w:val="23"/>
          <w:szCs w:val="23"/>
        </w:rPr>
        <w:t xml:space="preserve">(B) </w:t>
      </w:r>
      <w:r w:rsidRPr="0044232B">
        <w:rPr>
          <w:b/>
          <w:sz w:val="23"/>
          <w:szCs w:val="23"/>
        </w:rPr>
        <w:t>the EMC1* in relation to the progenitor strain, EMC0.</w:t>
      </w:r>
      <w:r>
        <w:rPr>
          <w:sz w:val="23"/>
          <w:szCs w:val="23"/>
        </w:rPr>
        <w:t xml:space="preserve"> Significantly (P &lt; 0.01) modified transcripts are highlighted in red. Note that far fewer proteins are modulated in (B) compared with (A). An FPKM (fragments per kilobase, per million) scatter plot comparing the log</w:t>
      </w:r>
      <w:r>
        <w:rPr>
          <w:sz w:val="16"/>
          <w:szCs w:val="16"/>
        </w:rPr>
        <w:t xml:space="preserve">10 </w:t>
      </w:r>
      <w:r>
        <w:rPr>
          <w:sz w:val="23"/>
          <w:szCs w:val="23"/>
        </w:rPr>
        <w:t xml:space="preserve">ratios of FPKM expression values for the progenitor strain with </w:t>
      </w:r>
      <w:r>
        <w:rPr>
          <w:b/>
          <w:bCs/>
          <w:sz w:val="23"/>
          <w:szCs w:val="23"/>
        </w:rPr>
        <w:t xml:space="preserve">(C) </w:t>
      </w:r>
      <w:r>
        <w:rPr>
          <w:sz w:val="23"/>
          <w:szCs w:val="23"/>
        </w:rPr>
        <w:t xml:space="preserve">EMC1, and </w:t>
      </w:r>
      <w:r>
        <w:rPr>
          <w:b/>
          <w:bCs/>
          <w:sz w:val="23"/>
          <w:szCs w:val="23"/>
        </w:rPr>
        <w:t xml:space="preserve">(D) </w:t>
      </w:r>
      <w:r>
        <w:rPr>
          <w:sz w:val="23"/>
          <w:szCs w:val="23"/>
        </w:rPr>
        <w:t>EMC1*.</w:t>
      </w:r>
    </w:p>
    <w:p w14:paraId="5AC4799A" w14:textId="77777777" w:rsidR="0039175D" w:rsidRDefault="0039175D" w:rsidP="0039175D">
      <w:pPr>
        <w:widowControl w:val="0"/>
        <w:autoSpaceDE w:val="0"/>
        <w:autoSpaceDN w:val="0"/>
        <w:adjustRightInd w:val="0"/>
        <w:spacing w:line="480" w:lineRule="auto"/>
        <w:jc w:val="both"/>
        <w:rPr>
          <w:sz w:val="23"/>
          <w:szCs w:val="23"/>
        </w:rPr>
      </w:pPr>
    </w:p>
    <w:p w14:paraId="3E79FA9D" w14:textId="77777777" w:rsidR="0039175D" w:rsidRDefault="0039175D" w:rsidP="0039175D">
      <w:pPr>
        <w:widowControl w:val="0"/>
        <w:autoSpaceDE w:val="0"/>
        <w:autoSpaceDN w:val="0"/>
        <w:adjustRightInd w:val="0"/>
        <w:spacing w:line="480" w:lineRule="auto"/>
        <w:jc w:val="both"/>
        <w:rPr>
          <w:sz w:val="23"/>
          <w:szCs w:val="23"/>
        </w:rPr>
      </w:pPr>
      <w:r>
        <w:rPr>
          <w:noProof/>
          <w:sz w:val="23"/>
          <w:szCs w:val="23"/>
          <w:lang w:eastAsia="en-GB"/>
        </w:rPr>
        <w:lastRenderedPageBreak/>
        <w:drawing>
          <wp:inline distT="0" distB="0" distL="0" distR="0" wp14:anchorId="45AC4C71" wp14:editId="7DFD699B">
            <wp:extent cx="5695950" cy="7126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ans down small.png"/>
                    <pic:cNvPicPr/>
                  </pic:nvPicPr>
                  <pic:blipFill>
                    <a:blip r:embed="rId14"/>
                    <a:stretch>
                      <a:fillRect/>
                    </a:stretch>
                  </pic:blipFill>
                  <pic:spPr>
                    <a:xfrm>
                      <a:off x="0" y="0"/>
                      <a:ext cx="5706351" cy="7139833"/>
                    </a:xfrm>
                    <a:prstGeom prst="rect">
                      <a:avLst/>
                    </a:prstGeom>
                  </pic:spPr>
                </pic:pic>
              </a:graphicData>
            </a:graphic>
          </wp:inline>
        </w:drawing>
      </w:r>
    </w:p>
    <w:p w14:paraId="68902190" w14:textId="77777777" w:rsidR="0039175D" w:rsidRDefault="0039175D" w:rsidP="0039175D">
      <w:pPr>
        <w:widowControl w:val="0"/>
        <w:autoSpaceDE w:val="0"/>
        <w:autoSpaceDN w:val="0"/>
        <w:adjustRightInd w:val="0"/>
        <w:spacing w:line="480" w:lineRule="auto"/>
        <w:jc w:val="both"/>
        <w:rPr>
          <w:rFonts w:cs="Calibri"/>
        </w:rPr>
      </w:pPr>
      <w:r>
        <w:rPr>
          <w:b/>
          <w:sz w:val="23"/>
          <w:szCs w:val="23"/>
        </w:rPr>
        <w:t>Figure S9</w:t>
      </w:r>
      <w:r w:rsidRPr="008800AF">
        <w:rPr>
          <w:b/>
          <w:sz w:val="23"/>
          <w:szCs w:val="23"/>
        </w:rPr>
        <w:t xml:space="preserve">. </w:t>
      </w:r>
      <w:r w:rsidRPr="008800AF">
        <w:rPr>
          <w:rFonts w:cs="Calibri"/>
          <w:b/>
        </w:rPr>
        <w:t>STRING</w:t>
      </w:r>
      <w:r w:rsidRPr="004A158A">
        <w:rPr>
          <w:rFonts w:cs="Calibri"/>
          <w:b/>
        </w:rPr>
        <w:t xml:space="preserve"> analysis of </w:t>
      </w:r>
      <w:r>
        <w:rPr>
          <w:rFonts w:cs="Calibri"/>
          <w:b/>
        </w:rPr>
        <w:t>transcripts</w:t>
      </w:r>
      <w:r w:rsidRPr="004A158A">
        <w:rPr>
          <w:rFonts w:cs="Calibri"/>
          <w:b/>
        </w:rPr>
        <w:t xml:space="preserve"> that were down-regulated in EMC1 compared with EMC0</w:t>
      </w:r>
      <w:r>
        <w:rPr>
          <w:rFonts w:cs="Calibri"/>
        </w:rPr>
        <w:t>. A selection of the more highly-interconnected clusters are discussed in the main body text.</w:t>
      </w:r>
    </w:p>
    <w:p w14:paraId="7C648AEB" w14:textId="77777777" w:rsidR="0039175D" w:rsidRDefault="0039175D" w:rsidP="0039175D">
      <w:pPr>
        <w:widowControl w:val="0"/>
        <w:autoSpaceDE w:val="0"/>
        <w:autoSpaceDN w:val="0"/>
        <w:adjustRightInd w:val="0"/>
        <w:spacing w:line="480" w:lineRule="auto"/>
        <w:jc w:val="both"/>
        <w:rPr>
          <w:sz w:val="23"/>
          <w:szCs w:val="23"/>
        </w:rPr>
      </w:pPr>
    </w:p>
    <w:p w14:paraId="38325202" w14:textId="77777777" w:rsidR="0039175D" w:rsidRDefault="0039175D" w:rsidP="0039175D">
      <w:pPr>
        <w:widowControl w:val="0"/>
        <w:autoSpaceDE w:val="0"/>
        <w:autoSpaceDN w:val="0"/>
        <w:adjustRightInd w:val="0"/>
        <w:spacing w:line="480" w:lineRule="auto"/>
        <w:jc w:val="both"/>
        <w:rPr>
          <w:sz w:val="23"/>
          <w:szCs w:val="23"/>
        </w:rPr>
      </w:pPr>
      <w:r>
        <w:rPr>
          <w:noProof/>
          <w:sz w:val="23"/>
          <w:szCs w:val="23"/>
          <w:lang w:eastAsia="en-GB"/>
        </w:rPr>
        <w:lastRenderedPageBreak/>
        <w:drawing>
          <wp:inline distT="0" distB="0" distL="0" distR="0" wp14:anchorId="7DC96859" wp14:editId="32B52714">
            <wp:extent cx="5731510" cy="4262120"/>
            <wp:effectExtent l="0" t="0" r="2540" b="5080"/>
            <wp:docPr id="36" name="Picture 3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op 20 genes with comp.png"/>
                    <pic:cNvPicPr/>
                  </pic:nvPicPr>
                  <pic:blipFill>
                    <a:blip r:embed="rId15"/>
                    <a:stretch>
                      <a:fillRect/>
                    </a:stretch>
                  </pic:blipFill>
                  <pic:spPr>
                    <a:xfrm>
                      <a:off x="0" y="0"/>
                      <a:ext cx="5731510" cy="4262120"/>
                    </a:xfrm>
                    <a:prstGeom prst="rect">
                      <a:avLst/>
                    </a:prstGeom>
                  </pic:spPr>
                </pic:pic>
              </a:graphicData>
            </a:graphic>
          </wp:inline>
        </w:drawing>
      </w:r>
    </w:p>
    <w:p w14:paraId="7D80DB48" w14:textId="77777777" w:rsidR="0039175D" w:rsidRDefault="0039175D" w:rsidP="0039175D">
      <w:pPr>
        <w:widowControl w:val="0"/>
        <w:autoSpaceDE w:val="0"/>
        <w:autoSpaceDN w:val="0"/>
        <w:adjustRightInd w:val="0"/>
        <w:spacing w:line="480" w:lineRule="auto"/>
        <w:jc w:val="both"/>
        <w:rPr>
          <w:sz w:val="23"/>
          <w:szCs w:val="23"/>
        </w:rPr>
      </w:pPr>
      <w:r w:rsidRPr="00476D72">
        <w:rPr>
          <w:b/>
          <w:sz w:val="23"/>
          <w:szCs w:val="23"/>
        </w:rPr>
        <w:t xml:space="preserve">Table S1. Expression of the 20 </w:t>
      </w:r>
      <w:r>
        <w:rPr>
          <w:b/>
          <w:sz w:val="23"/>
          <w:szCs w:val="23"/>
        </w:rPr>
        <w:t xml:space="preserve">mostly highly </w:t>
      </w:r>
      <w:r w:rsidRPr="00476D72">
        <w:rPr>
          <w:b/>
          <w:sz w:val="23"/>
          <w:szCs w:val="23"/>
        </w:rPr>
        <w:t xml:space="preserve">up-regulated transcripts in EMC1 is reversed by expression of wild-type </w:t>
      </w:r>
      <w:r w:rsidRPr="00476D72">
        <w:rPr>
          <w:b/>
          <w:i/>
          <w:sz w:val="23"/>
          <w:szCs w:val="23"/>
        </w:rPr>
        <w:t>fusA1 in trans</w:t>
      </w:r>
      <w:r w:rsidRPr="00476D72">
        <w:rPr>
          <w:b/>
          <w:sz w:val="23"/>
          <w:szCs w:val="23"/>
        </w:rPr>
        <w:t xml:space="preserve"> in EMC1*</w:t>
      </w:r>
      <w:r>
        <w:rPr>
          <w:sz w:val="23"/>
          <w:szCs w:val="23"/>
        </w:rPr>
        <w:t>. Proteins involved in T3S are shaded.</w:t>
      </w:r>
    </w:p>
    <w:p w14:paraId="53696113" w14:textId="77777777" w:rsidR="0039175D" w:rsidRPr="00BE0B2F" w:rsidRDefault="0039175D" w:rsidP="0039175D">
      <w:pPr>
        <w:widowControl w:val="0"/>
        <w:autoSpaceDE w:val="0"/>
        <w:autoSpaceDN w:val="0"/>
        <w:adjustRightInd w:val="0"/>
        <w:spacing w:line="480" w:lineRule="auto"/>
        <w:jc w:val="both"/>
        <w:rPr>
          <w:rFonts w:cs="Calibri"/>
        </w:rPr>
      </w:pPr>
    </w:p>
    <w:p w14:paraId="0CBE02ED" w14:textId="77777777" w:rsidR="00B06C73" w:rsidRDefault="00B06C73"/>
    <w:sectPr w:rsidR="00B06C73" w:rsidSect="002106BD">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641CB" w14:textId="77777777" w:rsidR="00440CC9" w:rsidRDefault="00440CC9">
      <w:pPr>
        <w:spacing w:after="0" w:line="240" w:lineRule="auto"/>
      </w:pPr>
      <w:r>
        <w:separator/>
      </w:r>
    </w:p>
  </w:endnote>
  <w:endnote w:type="continuationSeparator" w:id="0">
    <w:p w14:paraId="30E4378D" w14:textId="77777777" w:rsidR="00440CC9" w:rsidRDefault="00440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849164"/>
      <w:docPartObj>
        <w:docPartGallery w:val="Page Numbers (Bottom of Page)"/>
        <w:docPartUnique/>
      </w:docPartObj>
    </w:sdtPr>
    <w:sdtEndPr>
      <w:rPr>
        <w:noProof/>
      </w:rPr>
    </w:sdtEndPr>
    <w:sdtContent>
      <w:p w14:paraId="1FC1586A" w14:textId="77777777" w:rsidR="00851929" w:rsidRDefault="0039175D">
        <w:pPr>
          <w:pStyle w:val="Footer"/>
          <w:jc w:val="center"/>
        </w:pPr>
        <w:r>
          <w:fldChar w:fldCharType="begin"/>
        </w:r>
        <w:r>
          <w:instrText xml:space="preserve"> PAGE   \* MERGEFORMAT </w:instrText>
        </w:r>
        <w:r>
          <w:fldChar w:fldCharType="separate"/>
        </w:r>
        <w:r w:rsidR="005D7F69">
          <w:rPr>
            <w:noProof/>
          </w:rPr>
          <w:t>9</w:t>
        </w:r>
        <w:r>
          <w:rPr>
            <w:noProof/>
          </w:rPr>
          <w:fldChar w:fldCharType="end"/>
        </w:r>
      </w:p>
    </w:sdtContent>
  </w:sdt>
  <w:p w14:paraId="57699207" w14:textId="77777777" w:rsidR="00851929" w:rsidRDefault="00440C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90DDA" w14:textId="77777777" w:rsidR="00440CC9" w:rsidRDefault="00440CC9">
      <w:pPr>
        <w:spacing w:after="0" w:line="240" w:lineRule="auto"/>
      </w:pPr>
      <w:r>
        <w:separator/>
      </w:r>
    </w:p>
  </w:footnote>
  <w:footnote w:type="continuationSeparator" w:id="0">
    <w:p w14:paraId="0EFD3EDB" w14:textId="77777777" w:rsidR="00440CC9" w:rsidRDefault="00440C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75D"/>
    <w:rsid w:val="0039175D"/>
    <w:rsid w:val="00440CC9"/>
    <w:rsid w:val="005D7F69"/>
    <w:rsid w:val="00B06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6716D"/>
  <w15:chartTrackingRefBased/>
  <w15:docId w15:val="{EBD5303D-BCA8-407E-B356-4AAF07308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75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39175D"/>
    <w:rPr>
      <w:rFonts w:cs="Times New Roman"/>
      <w:sz w:val="16"/>
      <w:szCs w:val="16"/>
    </w:rPr>
  </w:style>
  <w:style w:type="paragraph" w:styleId="CommentText">
    <w:name w:val="annotation text"/>
    <w:basedOn w:val="Normal"/>
    <w:link w:val="CommentTextChar"/>
    <w:uiPriority w:val="99"/>
    <w:semiHidden/>
    <w:rsid w:val="0039175D"/>
    <w:pPr>
      <w:spacing w:line="240" w:lineRule="auto"/>
    </w:pPr>
    <w:rPr>
      <w:sz w:val="20"/>
      <w:szCs w:val="20"/>
    </w:rPr>
  </w:style>
  <w:style w:type="character" w:customStyle="1" w:styleId="CommentTextChar">
    <w:name w:val="Comment Text Char"/>
    <w:basedOn w:val="DefaultParagraphFont"/>
    <w:link w:val="CommentText"/>
    <w:uiPriority w:val="99"/>
    <w:semiHidden/>
    <w:rsid w:val="0039175D"/>
    <w:rPr>
      <w:rFonts w:ascii="Calibri" w:eastAsia="Calibri" w:hAnsi="Calibri" w:cs="Times New Roman"/>
      <w:sz w:val="20"/>
      <w:szCs w:val="20"/>
    </w:rPr>
  </w:style>
  <w:style w:type="paragraph" w:customStyle="1" w:styleId="Default">
    <w:name w:val="Default"/>
    <w:uiPriority w:val="99"/>
    <w:rsid w:val="0039175D"/>
    <w:pPr>
      <w:autoSpaceDE w:val="0"/>
      <w:autoSpaceDN w:val="0"/>
      <w:adjustRightInd w:val="0"/>
      <w:spacing w:after="0" w:line="240" w:lineRule="auto"/>
    </w:pPr>
    <w:rPr>
      <w:rFonts w:ascii="Cambria" w:eastAsia="Calibri" w:hAnsi="Cambria" w:cs="Cambria"/>
      <w:color w:val="000000"/>
      <w:sz w:val="24"/>
      <w:szCs w:val="24"/>
    </w:rPr>
  </w:style>
  <w:style w:type="paragraph" w:styleId="Footer">
    <w:name w:val="footer"/>
    <w:basedOn w:val="Normal"/>
    <w:link w:val="FooterChar"/>
    <w:uiPriority w:val="99"/>
    <w:unhideWhenUsed/>
    <w:rsid w:val="00391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75D"/>
    <w:rPr>
      <w:rFonts w:ascii="Calibri" w:eastAsia="Calibri" w:hAnsi="Calibri" w:cs="Times New Roman"/>
    </w:rPr>
  </w:style>
  <w:style w:type="paragraph" w:styleId="BalloonText">
    <w:name w:val="Balloon Text"/>
    <w:basedOn w:val="Normal"/>
    <w:link w:val="BalloonTextChar"/>
    <w:uiPriority w:val="99"/>
    <w:semiHidden/>
    <w:unhideWhenUsed/>
    <w:rsid w:val="003917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75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4666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Biochemistry</dc:creator>
  <cp:keywords/>
  <dc:description/>
  <cp:lastModifiedBy>Department of Biochemistry</cp:lastModifiedBy>
  <cp:revision>2</cp:revision>
  <dcterms:created xsi:type="dcterms:W3CDTF">2019-11-14T14:27:00Z</dcterms:created>
  <dcterms:modified xsi:type="dcterms:W3CDTF">2019-11-14T14:46:00Z</dcterms:modified>
</cp:coreProperties>
</file>