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3654" w14:textId="50C8A2B1" w:rsidR="005C49CD" w:rsidRDefault="005C49CD" w:rsidP="00137016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C164621" wp14:editId="0B669EC0">
            <wp:extent cx="5943600" cy="6393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_S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09E6" w14:textId="62BC619A" w:rsidR="000D399A" w:rsidRDefault="005C49CD" w:rsidP="00137016">
      <w:pPr>
        <w:rPr>
          <w:rFonts w:ascii="Times New Roman" w:hAnsi="Times New Roman" w:cs="Times New Roman"/>
          <w:bCs/>
        </w:rPr>
        <w:sectPr w:rsidR="000D399A" w:rsidSect="000071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t xml:space="preserve">Figure S1. </w:t>
      </w:r>
      <w:r>
        <w:rPr>
          <w:rFonts w:ascii="Times New Roman" w:hAnsi="Times New Roman" w:cs="Times New Roman"/>
          <w:bCs/>
        </w:rPr>
        <w:t xml:space="preserve">The site frequency spectrum for both synonymous (orange) and nonsynonymous (blue) variants </w:t>
      </w:r>
      <w:r w:rsidR="000D399A">
        <w:rPr>
          <w:rFonts w:ascii="Times New Roman" w:hAnsi="Times New Roman" w:cs="Times New Roman"/>
          <w:bCs/>
        </w:rPr>
        <w:t>for each PNW population. Syno</w:t>
      </w:r>
      <w:r w:rsidR="00F574A0">
        <w:rPr>
          <w:rFonts w:ascii="Times New Roman" w:hAnsi="Times New Roman" w:cs="Times New Roman"/>
          <w:bCs/>
        </w:rPr>
        <w:t>n</w:t>
      </w:r>
      <w:r w:rsidR="000D399A">
        <w:rPr>
          <w:rFonts w:ascii="Times New Roman" w:hAnsi="Times New Roman" w:cs="Times New Roman"/>
          <w:bCs/>
        </w:rPr>
        <w:t>y</w:t>
      </w:r>
      <w:r w:rsidR="00F574A0">
        <w:rPr>
          <w:rFonts w:ascii="Times New Roman" w:hAnsi="Times New Roman" w:cs="Times New Roman"/>
          <w:bCs/>
        </w:rPr>
        <w:t>m</w:t>
      </w:r>
      <w:r w:rsidR="000D399A">
        <w:rPr>
          <w:rFonts w:ascii="Times New Roman" w:hAnsi="Times New Roman" w:cs="Times New Roman"/>
          <w:bCs/>
        </w:rPr>
        <w:t>ous variants were used to infer null demographic models while nonsynonymous variants were used to infer the distribution of fitness effects.</w:t>
      </w:r>
    </w:p>
    <w:p w14:paraId="6887DE42" w14:textId="220C6680" w:rsidR="005C49CD" w:rsidRPr="000D399A" w:rsidRDefault="005C49CD" w:rsidP="00137016">
      <w:pPr>
        <w:rPr>
          <w:rFonts w:ascii="Times New Roman" w:hAnsi="Times New Roman" w:cs="Times New Roman"/>
          <w:bCs/>
        </w:rPr>
      </w:pPr>
    </w:p>
    <w:p w14:paraId="79557C8A" w14:textId="56E63440" w:rsidR="005C49CD" w:rsidRDefault="005C49CD" w:rsidP="001370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86F7289" wp14:editId="2BCFA627">
            <wp:extent cx="5882103" cy="4768770"/>
            <wp:effectExtent l="0" t="0" r="0" b="0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_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108" cy="478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33F98" w14:textId="67DB88ED" w:rsidR="005C49CD" w:rsidRDefault="005C49CD" w:rsidP="00137016">
      <w:pPr>
        <w:rPr>
          <w:rFonts w:ascii="Times New Roman" w:hAnsi="Times New Roman" w:cs="Times New Roman"/>
          <w:b/>
        </w:rPr>
      </w:pPr>
    </w:p>
    <w:p w14:paraId="6C20DCB6" w14:textId="787306D0" w:rsidR="005C49CD" w:rsidRPr="000D399A" w:rsidRDefault="005C49CD" w:rsidP="0013701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Figure S2.</w:t>
      </w:r>
      <w:r w:rsidR="000D399A">
        <w:rPr>
          <w:rFonts w:ascii="Times New Roman" w:hAnsi="Times New Roman" w:cs="Times New Roman"/>
          <w:b/>
        </w:rPr>
        <w:t xml:space="preserve"> </w:t>
      </w:r>
      <w:r w:rsidR="000D399A">
        <w:rPr>
          <w:rFonts w:ascii="Times New Roman" w:hAnsi="Times New Roman" w:cs="Times New Roman"/>
          <w:bCs/>
        </w:rPr>
        <w:t xml:space="preserve">The fit of maximum likelihood demographic models to the empirical </w:t>
      </w:r>
      <w:r w:rsidR="00C1701B">
        <w:rPr>
          <w:rFonts w:ascii="Times New Roman" w:hAnsi="Times New Roman" w:cs="Times New Roman"/>
          <w:bCs/>
        </w:rPr>
        <w:t xml:space="preserve">folded </w:t>
      </w:r>
      <w:r w:rsidR="000D399A">
        <w:rPr>
          <w:rFonts w:ascii="Times New Roman" w:hAnsi="Times New Roman" w:cs="Times New Roman"/>
          <w:bCs/>
        </w:rPr>
        <w:t>site frequency spectrum (SFS) for each population</w:t>
      </w:r>
      <w:r w:rsidR="00C1701B">
        <w:rPr>
          <w:rFonts w:ascii="Times New Roman" w:hAnsi="Times New Roman" w:cs="Times New Roman"/>
          <w:bCs/>
        </w:rPr>
        <w:t xml:space="preserve"> using synonymous SNPs</w:t>
      </w:r>
      <w:r w:rsidR="000D399A">
        <w:rPr>
          <w:rFonts w:ascii="Times New Roman" w:hAnsi="Times New Roman" w:cs="Times New Roman"/>
          <w:bCs/>
        </w:rPr>
        <w:t>. The predicted SFS under the demographic model is show</w:t>
      </w:r>
      <w:r w:rsidR="00F574A0">
        <w:rPr>
          <w:rFonts w:ascii="Times New Roman" w:hAnsi="Times New Roman" w:cs="Times New Roman"/>
          <w:bCs/>
        </w:rPr>
        <w:t>n</w:t>
      </w:r>
      <w:r w:rsidR="000D399A">
        <w:rPr>
          <w:rFonts w:ascii="Times New Roman" w:hAnsi="Times New Roman" w:cs="Times New Roman"/>
          <w:bCs/>
        </w:rPr>
        <w:t xml:space="preserve"> in red while the empirical SFS is shown in blue. Green points in plots below show the residuals.</w:t>
      </w:r>
    </w:p>
    <w:p w14:paraId="4DF59AEC" w14:textId="243D634F" w:rsidR="005C49CD" w:rsidRDefault="005C49CD" w:rsidP="00137016">
      <w:pPr>
        <w:rPr>
          <w:rFonts w:ascii="Times New Roman" w:hAnsi="Times New Roman" w:cs="Times New Roman"/>
          <w:b/>
        </w:rPr>
      </w:pPr>
    </w:p>
    <w:p w14:paraId="5DD4B2C6" w14:textId="4B9920AB" w:rsidR="005C49CD" w:rsidRDefault="005C49CD" w:rsidP="001370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4C871B75" wp14:editId="10D1318A">
            <wp:extent cx="5943600" cy="6393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_S3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52010" w14:textId="2B829EB4" w:rsidR="001273B6" w:rsidRPr="001273B6" w:rsidRDefault="005C49CD" w:rsidP="0013701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Figure S</w:t>
      </w:r>
      <w:r w:rsidR="00E534D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0D399A">
        <w:rPr>
          <w:rFonts w:ascii="Times New Roman" w:hAnsi="Times New Roman" w:cs="Times New Roman"/>
          <w:b/>
        </w:rPr>
        <w:t xml:space="preserve"> </w:t>
      </w:r>
      <w:r w:rsidR="001273B6">
        <w:rPr>
          <w:rFonts w:ascii="Times New Roman" w:hAnsi="Times New Roman" w:cs="Times New Roman"/>
          <w:bCs/>
        </w:rPr>
        <w:t>The estimated shape (</w:t>
      </w:r>
      <w:r w:rsidR="001273B6">
        <w:rPr>
          <w:rFonts w:ascii="Times New Roman" w:hAnsi="Times New Roman" w:cs="Times New Roman"/>
          <w:bCs/>
        </w:rPr>
        <w:sym w:font="Symbol" w:char="F061"/>
      </w:r>
      <w:r w:rsidR="001273B6">
        <w:rPr>
          <w:rFonts w:ascii="Times New Roman" w:hAnsi="Times New Roman" w:cs="Times New Roman"/>
          <w:bCs/>
        </w:rPr>
        <w:t xml:space="preserve">) and scale </w:t>
      </w:r>
      <w:r w:rsidR="001273B6">
        <w:rPr>
          <w:rFonts w:ascii="Times New Roman" w:hAnsi="Times New Roman" w:cs="Times New Roman"/>
          <w:b/>
        </w:rPr>
        <w:t>(</w:t>
      </w:r>
      <w:r w:rsidR="001273B6">
        <w:rPr>
          <w:rFonts w:ascii="Times New Roman" w:hAnsi="Times New Roman" w:cs="Times New Roman"/>
          <w:bCs/>
        </w:rPr>
        <w:sym w:font="Symbol" w:char="F062"/>
      </w:r>
      <w:r w:rsidR="001273B6">
        <w:rPr>
          <w:rFonts w:ascii="Times New Roman" w:hAnsi="Times New Roman" w:cs="Times New Roman"/>
          <w:bCs/>
        </w:rPr>
        <w:t>) parameters for gamma distributions describing the distribution of fitness effects for each population. Each point (100 per plot) shows a single estimate using a bootstrap data set of nonsynonymous variants.</w:t>
      </w:r>
    </w:p>
    <w:p w14:paraId="5ABF48C0" w14:textId="77777777" w:rsidR="00A04B9C" w:rsidRDefault="00A04B9C" w:rsidP="00137016">
      <w:pPr>
        <w:rPr>
          <w:rFonts w:ascii="Times New Roman" w:hAnsi="Times New Roman" w:cs="Times New Roman"/>
          <w:b/>
        </w:rPr>
        <w:sectPr w:rsidR="00A04B9C" w:rsidSect="000071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5FE539" w14:textId="7A01EDA0" w:rsidR="005C49CD" w:rsidRDefault="00731A80" w:rsidP="001370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37061DD1" wp14:editId="5B8AC441">
            <wp:extent cx="5943600" cy="5943600"/>
            <wp:effectExtent l="0" t="0" r="0" b="0"/>
            <wp:docPr id="8" name="Picture 8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_S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60B98" w14:textId="02378829" w:rsidR="005C49CD" w:rsidRDefault="005C49CD" w:rsidP="00137016">
      <w:pPr>
        <w:rPr>
          <w:rFonts w:ascii="Times New Roman" w:hAnsi="Times New Roman" w:cs="Times New Roman"/>
          <w:b/>
        </w:rPr>
      </w:pPr>
    </w:p>
    <w:p w14:paraId="276F3A61" w14:textId="5AA64E87" w:rsidR="005C49CD" w:rsidRPr="00E5796D" w:rsidRDefault="00A04B9C" w:rsidP="0013701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Figure S</w:t>
      </w:r>
      <w:r w:rsidR="00E534D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E5796D">
        <w:rPr>
          <w:rFonts w:ascii="Times New Roman" w:hAnsi="Times New Roman" w:cs="Times New Roman"/>
          <w:b/>
        </w:rPr>
        <w:t xml:space="preserve"> </w:t>
      </w:r>
      <w:r w:rsidR="00410B55" w:rsidRPr="00410B55">
        <w:rPr>
          <w:rFonts w:ascii="Times New Roman" w:hAnsi="Times New Roman" w:cs="Times New Roman"/>
          <w:bCs/>
        </w:rPr>
        <w:t>Introgression tract length</w:t>
      </w:r>
      <w:r w:rsidR="00410B55">
        <w:rPr>
          <w:rFonts w:ascii="Times New Roman" w:hAnsi="Times New Roman" w:cs="Times New Roman"/>
          <w:b/>
        </w:rPr>
        <w:t xml:space="preserve"> </w:t>
      </w:r>
      <w:r w:rsidR="00410B55">
        <w:rPr>
          <w:rFonts w:ascii="Times New Roman" w:hAnsi="Times New Roman" w:cs="Times New Roman"/>
          <w:bCs/>
        </w:rPr>
        <w:t>m</w:t>
      </w:r>
      <w:r w:rsidR="00E5796D">
        <w:rPr>
          <w:rFonts w:ascii="Times New Roman" w:hAnsi="Times New Roman" w:cs="Times New Roman"/>
          <w:bCs/>
        </w:rPr>
        <w:t xml:space="preserve">odel fits </w:t>
      </w:r>
      <w:r w:rsidR="00410B55">
        <w:rPr>
          <w:rFonts w:ascii="Times New Roman" w:hAnsi="Times New Roman" w:cs="Times New Roman"/>
          <w:bCs/>
        </w:rPr>
        <w:t xml:space="preserve">under </w:t>
      </w:r>
      <w:r w:rsidR="00C1701B">
        <w:rPr>
          <w:rFonts w:ascii="Times New Roman" w:hAnsi="Times New Roman" w:cs="Times New Roman"/>
          <w:bCs/>
        </w:rPr>
        <w:t>either 0.01%, 0.1% or 1% hybridization rate lasting for 1 or 100 generations. Yellow dots indicate the optimal hybridization time in years</w:t>
      </w:r>
      <w:r w:rsidR="004B13DC">
        <w:rPr>
          <w:rFonts w:ascii="Times New Roman" w:hAnsi="Times New Roman" w:cs="Times New Roman"/>
          <w:bCs/>
        </w:rPr>
        <w:t xml:space="preserve"> (95% confidence intervals in parentheses</w:t>
      </w:r>
      <w:r w:rsidR="00C1701B">
        <w:rPr>
          <w:rFonts w:ascii="Times New Roman" w:hAnsi="Times New Roman" w:cs="Times New Roman"/>
          <w:bCs/>
        </w:rPr>
        <w:t xml:space="preserve">) for each model, which is labelled in each figure along with the corresponding </w:t>
      </w:r>
      <w:r w:rsidR="00C1701B" w:rsidRPr="00C1701B">
        <w:rPr>
          <w:rFonts w:ascii="Times New Roman" w:hAnsi="Times New Roman" w:cs="Times New Roman"/>
          <w:bCs/>
          <w:i/>
          <w:iCs/>
        </w:rPr>
        <w:t>D</w:t>
      </w:r>
      <w:r w:rsidR="00C1701B">
        <w:rPr>
          <w:rFonts w:ascii="Times New Roman" w:hAnsi="Times New Roman" w:cs="Times New Roman"/>
          <w:bCs/>
        </w:rPr>
        <w:t xml:space="preserve">-statistic from the Kolmogorov-Smirnov test. Lower values of </w:t>
      </w:r>
      <w:r w:rsidR="00C1701B" w:rsidRPr="00C1701B">
        <w:rPr>
          <w:rFonts w:ascii="Times New Roman" w:hAnsi="Times New Roman" w:cs="Times New Roman"/>
          <w:bCs/>
          <w:i/>
          <w:iCs/>
        </w:rPr>
        <w:t>D</w:t>
      </w:r>
      <w:r w:rsidR="00C1701B">
        <w:rPr>
          <w:rFonts w:ascii="Times New Roman" w:hAnsi="Times New Roman" w:cs="Times New Roman"/>
          <w:bCs/>
        </w:rPr>
        <w:t xml:space="preserve"> indicate better model fit.</w:t>
      </w:r>
    </w:p>
    <w:p w14:paraId="5A943A36" w14:textId="038A1D89" w:rsidR="005C49CD" w:rsidRDefault="005C49CD" w:rsidP="00137016">
      <w:pPr>
        <w:rPr>
          <w:rFonts w:ascii="Times New Roman" w:hAnsi="Times New Roman" w:cs="Times New Roman"/>
          <w:b/>
        </w:rPr>
      </w:pPr>
    </w:p>
    <w:p w14:paraId="1EFA29A4" w14:textId="77777777" w:rsidR="005C49CD" w:rsidRDefault="005C49CD" w:rsidP="00137016">
      <w:pPr>
        <w:rPr>
          <w:rFonts w:ascii="Times New Roman" w:hAnsi="Times New Roman" w:cs="Times New Roman"/>
          <w:b/>
        </w:rPr>
      </w:pPr>
    </w:p>
    <w:p w14:paraId="1A2EE29F" w14:textId="77777777" w:rsidR="005C49CD" w:rsidRDefault="005C49CD" w:rsidP="00137016">
      <w:pPr>
        <w:rPr>
          <w:rFonts w:ascii="Times New Roman" w:hAnsi="Times New Roman" w:cs="Times New Roman"/>
          <w:b/>
        </w:rPr>
      </w:pPr>
    </w:p>
    <w:p w14:paraId="303ECE1B" w14:textId="77777777" w:rsidR="005C49CD" w:rsidRDefault="005C49CD" w:rsidP="00137016">
      <w:pPr>
        <w:rPr>
          <w:rFonts w:ascii="Times New Roman" w:hAnsi="Times New Roman" w:cs="Times New Roman"/>
          <w:b/>
        </w:rPr>
      </w:pPr>
    </w:p>
    <w:p w14:paraId="60B00360" w14:textId="77777777" w:rsidR="005C49CD" w:rsidRDefault="005C49CD" w:rsidP="00137016">
      <w:pPr>
        <w:rPr>
          <w:rFonts w:ascii="Times New Roman" w:hAnsi="Times New Roman" w:cs="Times New Roman"/>
          <w:b/>
        </w:rPr>
      </w:pPr>
    </w:p>
    <w:p w14:paraId="48AA55B0" w14:textId="77777777" w:rsidR="00994BF9" w:rsidRDefault="00994BF9" w:rsidP="00137016">
      <w:pPr>
        <w:rPr>
          <w:rFonts w:ascii="Times New Roman" w:hAnsi="Times New Roman" w:cs="Times New Roman"/>
          <w:b/>
        </w:rPr>
        <w:sectPr w:rsidR="00994BF9" w:rsidSect="000071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F1CB7D" w14:textId="23568147" w:rsidR="00137016" w:rsidRDefault="00137016" w:rsidP="00137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</w:t>
      </w:r>
      <w:r w:rsidR="001273B6">
        <w:rPr>
          <w:rFonts w:ascii="Times New Roman" w:hAnsi="Times New Roman" w:cs="Times New Roman"/>
          <w:b/>
        </w:rPr>
        <w:t xml:space="preserve"> S1</w:t>
      </w:r>
      <w:r>
        <w:rPr>
          <w:rFonts w:ascii="Times New Roman" w:hAnsi="Times New Roman" w:cs="Times New Roman"/>
        </w:rPr>
        <w:t xml:space="preserve">. </w:t>
      </w:r>
      <w:r w:rsidRPr="00137016">
        <w:rPr>
          <w:rFonts w:ascii="Times New Roman" w:hAnsi="Times New Roman" w:cs="Times New Roman"/>
          <w:b/>
        </w:rPr>
        <w:t xml:space="preserve">Corrected maximum likelihood demographic model parameter estimates from Jones et al. (2018). </w:t>
      </w:r>
      <w:r>
        <w:rPr>
          <w:rFonts w:ascii="Times New Roman" w:hAnsi="Times New Roman" w:cs="Times New Roman"/>
        </w:rPr>
        <w:t xml:space="preserve">Values in parentheses represent 95% confidence intervals. </w:t>
      </w:r>
      <w:proofErr w:type="spellStart"/>
      <w:r w:rsidRPr="00816B60">
        <w:rPr>
          <w:rFonts w:ascii="Times New Roman" w:hAnsi="Times New Roman" w:cs="Times New Roman"/>
          <w:i/>
        </w:rPr>
        <w:t>N</w:t>
      </w:r>
      <w:r w:rsidRPr="00816B60">
        <w:rPr>
          <w:rFonts w:ascii="Times New Roman" w:hAnsi="Times New Roman" w:cs="Times New Roman"/>
          <w:i/>
          <w:sz w:val="16"/>
          <w:szCs w:val="16"/>
        </w:rPr>
        <w:t>anc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= effective population size of common ancestor; </w:t>
      </w:r>
      <w:r w:rsidRPr="00816B60">
        <w:rPr>
          <w:rFonts w:ascii="Times New Roman" w:hAnsi="Times New Roman" w:cs="Times New Roman"/>
          <w:i/>
        </w:rPr>
        <w:t>u</w:t>
      </w:r>
      <w:r w:rsidRPr="00816B60">
        <w:rPr>
          <w:rFonts w:ascii="Times New Roman" w:hAnsi="Times New Roman" w:cs="Times New Roman"/>
          <w:i/>
          <w:sz w:val="16"/>
          <w:szCs w:val="16"/>
          <w:vertAlign w:val="subscript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= relative change in </w:t>
      </w:r>
      <w:r w:rsidRPr="00816B60">
        <w:rPr>
          <w:rFonts w:ascii="Times New Roman" w:hAnsi="Times New Roman" w:cs="Times New Roman"/>
          <w:i/>
        </w:rPr>
        <w:t>N</w:t>
      </w:r>
      <w:r w:rsidRPr="00816B60">
        <w:rPr>
          <w:rFonts w:ascii="Times New Roman" w:hAnsi="Times New Roman" w:cs="Times New Roman"/>
          <w:i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of population 1 following split; </w:t>
      </w:r>
      <w:r w:rsidRPr="00816B60">
        <w:rPr>
          <w:rFonts w:ascii="Times New Roman" w:hAnsi="Times New Roman" w:cs="Times New Roman"/>
          <w:i/>
        </w:rPr>
        <w:t>u</w:t>
      </w:r>
      <w:r w:rsidRPr="00816B60">
        <w:rPr>
          <w:rFonts w:ascii="Times New Roman" w:hAnsi="Times New Roman" w:cs="Times New Roman"/>
          <w:i/>
          <w:sz w:val="16"/>
          <w:szCs w:val="16"/>
          <w:vertAlign w:val="sub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= relative change in </w:t>
      </w:r>
      <w:r w:rsidRPr="00816B60">
        <w:rPr>
          <w:rFonts w:ascii="Times New Roman" w:hAnsi="Times New Roman" w:cs="Times New Roman"/>
          <w:i/>
        </w:rPr>
        <w:t>N</w:t>
      </w:r>
      <w:r w:rsidRPr="00816B60">
        <w:rPr>
          <w:rFonts w:ascii="Times New Roman" w:hAnsi="Times New Roman" w:cs="Times New Roman"/>
          <w:i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of population 2 following split; </w:t>
      </w:r>
      <w:r w:rsidRPr="00816B60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= divergence time in thousands of generations; </w:t>
      </w:r>
      <w:r w:rsidRPr="00816B60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= the effective number of migrants per generation between populations. 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080"/>
        <w:gridCol w:w="2070"/>
        <w:gridCol w:w="1530"/>
        <w:gridCol w:w="1440"/>
        <w:gridCol w:w="1800"/>
        <w:gridCol w:w="1440"/>
      </w:tblGrid>
      <w:tr w:rsidR="00137016" w:rsidRPr="00B35426" w14:paraId="2C828703" w14:textId="77777777" w:rsidTr="004A6EBF">
        <w:trPr>
          <w:trHeight w:val="364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2724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59E">
              <w:rPr>
                <w:rFonts w:ascii="Times New Roman" w:hAnsi="Times New Roman" w:cs="Times New Roman"/>
                <w:b/>
                <w:bCs/>
                <w:color w:val="000000"/>
              </w:rPr>
              <w:t>P1-P2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27AC7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275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N</w:t>
            </w:r>
            <w:r w:rsidRPr="0082759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anc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FC68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5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u</w:t>
            </w:r>
            <w:r w:rsidRPr="0082759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1300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5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u</w:t>
            </w:r>
            <w:r w:rsidRPr="0082759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1AC28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275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66D79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275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</w:t>
            </w:r>
          </w:p>
        </w:tc>
      </w:tr>
      <w:tr w:rsidR="00137016" w:rsidRPr="00B35426" w14:paraId="2CD826D7" w14:textId="77777777" w:rsidTr="004A6EBF">
        <w:trPr>
          <w:trHeight w:val="324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3F94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OR-WA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E129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304531</w:t>
            </w:r>
          </w:p>
          <w:p w14:paraId="0E43DE47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(301136-307925)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1159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0.23</w:t>
            </w:r>
          </w:p>
          <w:p w14:paraId="5CAD6F14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(0.09-0.37)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33C0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0.26</w:t>
            </w:r>
          </w:p>
          <w:p w14:paraId="6B4D0C49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(0.11-0.40)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4DED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30.89</w:t>
            </w:r>
          </w:p>
          <w:p w14:paraId="160324E3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(20.38-41.62)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DD41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2.63</w:t>
            </w:r>
          </w:p>
          <w:p w14:paraId="62F6B059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(0.33-4.94)</w:t>
            </w:r>
          </w:p>
        </w:tc>
      </w:tr>
      <w:tr w:rsidR="00137016" w:rsidRPr="00B35426" w14:paraId="2C177EE2" w14:textId="77777777" w:rsidTr="004A6EBF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DE25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BC-WA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1BB0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288431</w:t>
            </w:r>
          </w:p>
          <w:p w14:paraId="49541EA8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(284249-292613)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E634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0.10</w:t>
            </w:r>
          </w:p>
          <w:p w14:paraId="2B142432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(0-0.25)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5AB2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0.23</w:t>
            </w:r>
          </w:p>
          <w:p w14:paraId="014D31EA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(0-0.63)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89EB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15.26</w:t>
            </w:r>
          </w:p>
          <w:p w14:paraId="2337C0C9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(0-32.86)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97C7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1.95</w:t>
            </w:r>
          </w:p>
          <w:p w14:paraId="652A8AB0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(0-8.12)</w:t>
            </w:r>
          </w:p>
        </w:tc>
      </w:tr>
      <w:tr w:rsidR="00137016" w:rsidRPr="00B35426" w14:paraId="7B7DB82A" w14:textId="77777777" w:rsidTr="004A6EBF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6657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MT-WA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E0F5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339690</w:t>
            </w:r>
          </w:p>
          <w:p w14:paraId="7D601089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(337262-342119)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496F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0.52</w:t>
            </w:r>
          </w:p>
          <w:p w14:paraId="3A79164B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(0.33-0.70)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1575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0.25</w:t>
            </w:r>
          </w:p>
          <w:p w14:paraId="3E991E05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(0.10-0.41)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6A9B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54.56</w:t>
            </w:r>
          </w:p>
          <w:p w14:paraId="0403660C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(0.67-109.22)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9482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1.01</w:t>
            </w:r>
          </w:p>
          <w:p w14:paraId="5A43F0E7" w14:textId="77777777" w:rsidR="00137016" w:rsidRPr="0082759E" w:rsidRDefault="00137016" w:rsidP="004A6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59E">
              <w:rPr>
                <w:rFonts w:ascii="Times New Roman" w:hAnsi="Times New Roman" w:cs="Times New Roman"/>
                <w:color w:val="000000"/>
              </w:rPr>
              <w:t>(0.39-1.63)</w:t>
            </w:r>
          </w:p>
        </w:tc>
      </w:tr>
    </w:tbl>
    <w:p w14:paraId="6FE87BDD" w14:textId="77F0BCEE" w:rsidR="00FC7BDE" w:rsidRDefault="00FC7BDE"/>
    <w:p w14:paraId="698CDE9C" w14:textId="5C44F317" w:rsidR="00137016" w:rsidRDefault="00137016"/>
    <w:p w14:paraId="5C2EB330" w14:textId="069D1F9E" w:rsidR="00137016" w:rsidRDefault="00137016"/>
    <w:p w14:paraId="54D2A872" w14:textId="3094F229" w:rsidR="00137016" w:rsidRDefault="00137016"/>
    <w:p w14:paraId="5D1AD314" w14:textId="69208B57" w:rsidR="00137016" w:rsidRDefault="00137016"/>
    <w:p w14:paraId="208E8A15" w14:textId="17541CAD" w:rsidR="00137016" w:rsidRDefault="00137016"/>
    <w:p w14:paraId="10DCD28C" w14:textId="0285F318" w:rsidR="00137016" w:rsidRDefault="00137016"/>
    <w:p w14:paraId="67CB95F7" w14:textId="0845120F" w:rsidR="00137016" w:rsidRDefault="00137016"/>
    <w:p w14:paraId="5CD26E16" w14:textId="0FD63B61" w:rsidR="00137016" w:rsidRDefault="00137016"/>
    <w:p w14:paraId="28B0B59B" w14:textId="1E33CC15" w:rsidR="00137016" w:rsidRDefault="00137016"/>
    <w:p w14:paraId="44291420" w14:textId="76F5E8F0" w:rsidR="00137016" w:rsidRDefault="00137016"/>
    <w:p w14:paraId="52F62CCF" w14:textId="4921D126" w:rsidR="00137016" w:rsidRDefault="00137016"/>
    <w:p w14:paraId="31617160" w14:textId="02475029" w:rsidR="00137016" w:rsidRDefault="00137016"/>
    <w:p w14:paraId="04DAF809" w14:textId="5F6A1B28" w:rsidR="00137016" w:rsidRDefault="00137016"/>
    <w:p w14:paraId="04A0AC9C" w14:textId="230A941F" w:rsidR="00137016" w:rsidRDefault="00137016"/>
    <w:p w14:paraId="67E12C9F" w14:textId="4479B4EA" w:rsidR="00137016" w:rsidRDefault="00137016"/>
    <w:p w14:paraId="0C1E5718" w14:textId="02FFDE48" w:rsidR="00137016" w:rsidRDefault="00137016"/>
    <w:p w14:paraId="2CFF2A3A" w14:textId="5403C425" w:rsidR="00137016" w:rsidRDefault="00137016"/>
    <w:p w14:paraId="2F889E74" w14:textId="273387E8" w:rsidR="00137016" w:rsidRDefault="00137016"/>
    <w:p w14:paraId="7EF198DB" w14:textId="15821800" w:rsidR="00137016" w:rsidRDefault="00137016"/>
    <w:p w14:paraId="3ADF7704" w14:textId="29E5A514" w:rsidR="00137016" w:rsidRDefault="00137016"/>
    <w:p w14:paraId="69FAB4D3" w14:textId="51F7E435" w:rsidR="00137016" w:rsidRDefault="00137016"/>
    <w:p w14:paraId="2DFAB220" w14:textId="05904C8C" w:rsidR="00137016" w:rsidRDefault="00137016"/>
    <w:p w14:paraId="0BD53EF3" w14:textId="0EDCAA93" w:rsidR="00137016" w:rsidRDefault="00137016"/>
    <w:p w14:paraId="42888904" w14:textId="0AFD4077" w:rsidR="00137016" w:rsidRDefault="00137016"/>
    <w:p w14:paraId="309EB8D3" w14:textId="542534D8" w:rsidR="00137016" w:rsidRDefault="00137016"/>
    <w:p w14:paraId="3269132B" w14:textId="04112427" w:rsidR="00137016" w:rsidRDefault="00137016"/>
    <w:p w14:paraId="20A4A33E" w14:textId="67174867" w:rsidR="00137016" w:rsidRDefault="00137016"/>
    <w:p w14:paraId="0341912E" w14:textId="056B4B8F" w:rsidR="00137016" w:rsidRDefault="00137016"/>
    <w:p w14:paraId="003E6920" w14:textId="75538F42" w:rsidR="00137016" w:rsidRDefault="00137016"/>
    <w:p w14:paraId="21ABD317" w14:textId="57CDDAEB" w:rsidR="00137016" w:rsidRDefault="00137016"/>
    <w:p w14:paraId="0F5440BE" w14:textId="2E44648F" w:rsidR="00137016" w:rsidRDefault="00137016"/>
    <w:p w14:paraId="61338E9A" w14:textId="64BA4526" w:rsidR="001825F0" w:rsidRPr="001273B6" w:rsidRDefault="001825F0" w:rsidP="001825F0">
      <w:pPr>
        <w:rPr>
          <w:rFonts w:ascii="Times New Roman" w:hAnsi="Times New Roman" w:cs="Times New Roman"/>
        </w:rPr>
      </w:pPr>
      <w:r w:rsidRPr="009037F8">
        <w:rPr>
          <w:rFonts w:ascii="Times New Roman" w:hAnsi="Times New Roman" w:cs="Times New Roman"/>
          <w:b/>
        </w:rPr>
        <w:lastRenderedPageBreak/>
        <w:t>Table</w:t>
      </w:r>
      <w:r w:rsidR="001273B6">
        <w:rPr>
          <w:rFonts w:ascii="Times New Roman" w:hAnsi="Times New Roman" w:cs="Times New Roman"/>
          <w:b/>
        </w:rPr>
        <w:t xml:space="preserve"> S2</w:t>
      </w:r>
      <w:r w:rsidRPr="009037F8">
        <w:rPr>
          <w:rFonts w:ascii="Times New Roman" w:hAnsi="Times New Roman" w:cs="Times New Roman"/>
          <w:b/>
        </w:rPr>
        <w:t>.</w:t>
      </w:r>
      <w:r w:rsidRPr="009037F8">
        <w:rPr>
          <w:rFonts w:ascii="Times New Roman" w:hAnsi="Times New Roman" w:cs="Times New Roman"/>
        </w:rPr>
        <w:t xml:space="preserve"> </w:t>
      </w:r>
      <w:r w:rsidR="001273B6" w:rsidRPr="001273B6">
        <w:rPr>
          <w:rFonts w:ascii="Times New Roman" w:hAnsi="Times New Roman" w:cs="Times New Roman"/>
          <w:b/>
          <w:bCs/>
        </w:rPr>
        <w:t>P</w:t>
      </w:r>
      <w:r w:rsidR="001273B6">
        <w:rPr>
          <w:rFonts w:ascii="Times New Roman" w:hAnsi="Times New Roman" w:cs="Times New Roman"/>
          <w:b/>
          <w:bCs/>
        </w:rPr>
        <w:t>arameter</w:t>
      </w:r>
      <w:r w:rsidR="001273B6" w:rsidRPr="001273B6">
        <w:rPr>
          <w:rFonts w:ascii="Times New Roman" w:hAnsi="Times New Roman" w:cs="Times New Roman"/>
          <w:b/>
          <w:bCs/>
        </w:rPr>
        <w:t xml:space="preserve"> estimates </w:t>
      </w:r>
      <w:r w:rsidR="001273B6">
        <w:rPr>
          <w:rFonts w:ascii="Times New Roman" w:hAnsi="Times New Roman" w:cs="Times New Roman"/>
          <w:b/>
          <w:bCs/>
        </w:rPr>
        <w:t>for</w:t>
      </w:r>
      <w:r w:rsidR="001273B6" w:rsidRPr="001273B6">
        <w:rPr>
          <w:rFonts w:ascii="Times New Roman" w:hAnsi="Times New Roman" w:cs="Times New Roman"/>
          <w:b/>
          <w:bCs/>
        </w:rPr>
        <w:t xml:space="preserve"> the distribution of fitness effects.</w:t>
      </w:r>
      <w:r w:rsidR="001273B6">
        <w:rPr>
          <w:rFonts w:ascii="Times New Roman" w:hAnsi="Times New Roman" w:cs="Times New Roman"/>
        </w:rPr>
        <w:t xml:space="preserve"> The mean</w:t>
      </w:r>
      <w:r w:rsidRPr="001273B6">
        <w:rPr>
          <w:rFonts w:ascii="Times New Roman" w:hAnsi="Times New Roman" w:cs="Times New Roman"/>
        </w:rPr>
        <w:t xml:space="preserve"> </w:t>
      </w:r>
      <w:r w:rsidR="001273B6">
        <w:rPr>
          <w:rFonts w:ascii="Times New Roman" w:hAnsi="Times New Roman" w:cs="Times New Roman"/>
        </w:rPr>
        <w:t xml:space="preserve">and 95% quantiles (in parentheses) are shown for the </w:t>
      </w:r>
      <w:r w:rsidRPr="001273B6">
        <w:rPr>
          <w:rFonts w:ascii="Times New Roman" w:hAnsi="Times New Roman" w:cs="Times New Roman"/>
        </w:rPr>
        <w:sym w:font="Symbol" w:char="F061"/>
      </w:r>
      <w:r w:rsidRPr="001273B6">
        <w:rPr>
          <w:rFonts w:ascii="Times New Roman" w:hAnsi="Times New Roman" w:cs="Times New Roman"/>
        </w:rPr>
        <w:t xml:space="preserve"> and </w:t>
      </w:r>
      <w:r w:rsidRPr="001273B6">
        <w:rPr>
          <w:rFonts w:ascii="Times New Roman" w:hAnsi="Times New Roman" w:cs="Times New Roman"/>
        </w:rPr>
        <w:sym w:font="Symbol" w:char="F062"/>
      </w:r>
      <w:r w:rsidRPr="001273B6">
        <w:rPr>
          <w:rFonts w:ascii="Times New Roman" w:hAnsi="Times New Roman" w:cs="Times New Roman"/>
          <w:sz w:val="20"/>
          <w:szCs w:val="20"/>
        </w:rPr>
        <w:t xml:space="preserve"> </w:t>
      </w:r>
      <w:r w:rsidR="001273B6">
        <w:rPr>
          <w:rFonts w:ascii="Times New Roman" w:hAnsi="Times New Roman" w:cs="Times New Roman"/>
        </w:rPr>
        <w:t>parameters of the</w:t>
      </w:r>
      <w:r w:rsidRPr="001273B6">
        <w:rPr>
          <w:rFonts w:ascii="Times New Roman" w:hAnsi="Times New Roman" w:cs="Times New Roman"/>
        </w:rPr>
        <w:t xml:space="preserve"> gamma distribution and the proportion of segregating variation binned by </w:t>
      </w:r>
      <w:r w:rsidR="001273B6">
        <w:rPr>
          <w:rFonts w:ascii="Times New Roman" w:hAnsi="Times New Roman" w:cs="Times New Roman"/>
        </w:rPr>
        <w:t xml:space="preserve">the absolute </w:t>
      </w:r>
      <w:r w:rsidRPr="001273B6">
        <w:rPr>
          <w:rFonts w:ascii="Times New Roman" w:hAnsi="Times New Roman" w:cs="Times New Roman"/>
        </w:rPr>
        <w:t>strength</w:t>
      </w:r>
      <w:r w:rsidR="001273B6">
        <w:rPr>
          <w:rFonts w:ascii="Times New Roman" w:hAnsi="Times New Roman" w:cs="Times New Roman"/>
        </w:rPr>
        <w:t xml:space="preserve"> of </w:t>
      </w:r>
      <w:r w:rsidR="001273B6" w:rsidRPr="001273B6">
        <w:rPr>
          <w:rFonts w:ascii="Times New Roman" w:hAnsi="Times New Roman" w:cs="Times New Roman"/>
        </w:rPr>
        <w:t xml:space="preserve">selection </w:t>
      </w:r>
      <w:r w:rsidR="001273B6">
        <w:rPr>
          <w:rFonts w:ascii="Times New Roman" w:hAnsi="Times New Roman" w:cs="Times New Roman"/>
        </w:rPr>
        <w:t>(</w:t>
      </w:r>
      <w:r w:rsidR="001273B6" w:rsidRPr="001273B6">
        <w:rPr>
          <w:rFonts w:ascii="Times New Roman" w:hAnsi="Times New Roman" w:cs="Times New Roman"/>
          <w:i/>
          <w:iCs/>
        </w:rPr>
        <w:t>s</w:t>
      </w:r>
      <w:r w:rsidR="001273B6">
        <w:rPr>
          <w:rFonts w:ascii="Times New Roman" w:hAnsi="Times New Roman" w:cs="Times New Roman"/>
        </w:rPr>
        <w:t>)</w:t>
      </w:r>
      <w:r w:rsidRPr="001273B6">
        <w:rPr>
          <w:rFonts w:ascii="Times New Roman" w:hAnsi="Times New Roman" w:cs="Times New Roman"/>
        </w:rPr>
        <w:t>.</w:t>
      </w:r>
    </w:p>
    <w:tbl>
      <w:tblPr>
        <w:tblStyle w:val="TableGrid"/>
        <w:tblW w:w="10890" w:type="dxa"/>
        <w:tblInd w:w="-68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339"/>
        <w:gridCol w:w="1530"/>
        <w:gridCol w:w="1343"/>
        <w:gridCol w:w="1350"/>
        <w:gridCol w:w="1350"/>
        <w:gridCol w:w="1350"/>
        <w:gridCol w:w="1458"/>
      </w:tblGrid>
      <w:tr w:rsidR="001825F0" w:rsidRPr="009037F8" w14:paraId="75AFE43D" w14:textId="77777777" w:rsidTr="005425E3"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1F2886F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068BFAD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 xml:space="preserve"> (shape)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D8E0FE9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 xml:space="preserve"> (scale)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054318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9037F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AEBEDD3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9037F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80F861A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9037F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698741A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9037F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AAEF6C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9037F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|</w:t>
            </w:r>
          </w:p>
        </w:tc>
      </w:tr>
      <w:tr w:rsidR="001825F0" w:rsidRPr="009037F8" w14:paraId="605B454F" w14:textId="77777777" w:rsidTr="005425E3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14:paraId="77D3E879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74F4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14:paraId="35B56605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209-0.239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79C32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14:paraId="23CFDD7E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0.004-0.012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EE81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  <w:p w14:paraId="1F7AD2DC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0.203-0.301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0F79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14:paraId="58766EB8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0.051-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.283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279E9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14:paraId="728BBD27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0.115-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47561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  <w:p w14:paraId="5877FFF3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0.157-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  <w:vAlign w:val="center"/>
          </w:tcPr>
          <w:p w14:paraId="0EA2F4E8" w14:textId="77777777" w:rsidR="001825F0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  <w:p w14:paraId="1C9A23C7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(0.012-0.081)</w:t>
            </w:r>
          </w:p>
        </w:tc>
      </w:tr>
      <w:tr w:rsidR="001825F0" w:rsidRPr="009037F8" w14:paraId="60F5E3BC" w14:textId="77777777" w:rsidTr="005425E3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14:paraId="287ED47F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ADC16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14:paraId="49CA0A90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153-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1698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14:paraId="22E3AEB8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042-0.149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29918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14:paraId="45A7F5CD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200-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D8945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14:paraId="6BD80710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3D956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14:paraId="1805A112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0E770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14:paraId="5CBB7A7E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  <w:vAlign w:val="center"/>
          </w:tcPr>
          <w:p w14:paraId="1F572691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0.277</w:t>
            </w:r>
          </w:p>
          <w:p w14:paraId="6D6F46A4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0.164-0.334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5F0" w:rsidRPr="009037F8" w14:paraId="0E0223F6" w14:textId="77777777" w:rsidTr="005425E3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14:paraId="542E7B56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E7C7E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0.225</w:t>
            </w:r>
          </w:p>
          <w:p w14:paraId="763AB6FA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214-0.236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A806B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14:paraId="6D6D5C6A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004 - 0.008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F3CA8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  <w:p w14:paraId="0746AD1C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BC7DD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  <w:p w14:paraId="6ADF4811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.087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ABC4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0.277</w:t>
            </w:r>
          </w:p>
          <w:p w14:paraId="36B62DC9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7389D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  <w:p w14:paraId="5E13822D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  <w:vAlign w:val="center"/>
          </w:tcPr>
          <w:p w14:paraId="2D75D975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  <w:p w14:paraId="1D242091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043)</w:t>
            </w:r>
          </w:p>
        </w:tc>
      </w:tr>
      <w:tr w:rsidR="001825F0" w:rsidRPr="009037F8" w14:paraId="1CB15799" w14:textId="77777777" w:rsidTr="005425E3">
        <w:tc>
          <w:tcPr>
            <w:tcW w:w="1170" w:type="dxa"/>
            <w:tcBorders>
              <w:top w:val="nil"/>
              <w:right w:val="nil"/>
            </w:tcBorders>
            <w:vAlign w:val="center"/>
          </w:tcPr>
          <w:p w14:paraId="032A3A36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vAlign w:val="center"/>
          </w:tcPr>
          <w:p w14:paraId="0607D2AF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14:paraId="752A255E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.224-0.249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14:paraId="6CE874E8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14:paraId="2CD9DD3F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3-0.005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3D098231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14:paraId="30D47681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.231-0.311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61D3117F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14:paraId="79531EC8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.097-0.286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04D0E335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  <w:p w14:paraId="5CA9282B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.183-0.411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6076D123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  <w:p w14:paraId="49420B8C" w14:textId="77777777" w:rsidR="001825F0" w:rsidRPr="009037F8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.160-0.298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</w:tcBorders>
            <w:vAlign w:val="center"/>
          </w:tcPr>
          <w:p w14:paraId="05C1DFEA" w14:textId="77777777" w:rsidR="001825F0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  <w:p w14:paraId="79B7D69E" w14:textId="77777777" w:rsidR="001825F0" w:rsidRPr="00163C70" w:rsidRDefault="001825F0" w:rsidP="005425E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(0.002-0.021)</w:t>
            </w:r>
          </w:p>
        </w:tc>
      </w:tr>
    </w:tbl>
    <w:p w14:paraId="5A7A4725" w14:textId="77777777" w:rsidR="001825F0" w:rsidRPr="00AE000C" w:rsidRDefault="001825F0" w:rsidP="001825F0">
      <w:pPr>
        <w:rPr>
          <w:rFonts w:ascii="Times New Roman" w:hAnsi="Times New Roman" w:cs="Times New Roman"/>
          <w:i/>
        </w:rPr>
      </w:pPr>
      <w:r w:rsidRPr="009037F8">
        <w:rPr>
          <w:rFonts w:ascii="Times New Roman" w:hAnsi="Times New Roman" w:cs="Times New Roman"/>
        </w:rPr>
        <w:br w:type="page"/>
      </w:r>
    </w:p>
    <w:p w14:paraId="227E4541" w14:textId="77777777" w:rsidR="001825F0" w:rsidRDefault="001825F0" w:rsidP="00137016">
      <w:pPr>
        <w:rPr>
          <w:rFonts w:ascii="Times New Roman" w:hAnsi="Times New Roman" w:cs="Times New Roman"/>
          <w:b/>
        </w:rPr>
      </w:pPr>
    </w:p>
    <w:p w14:paraId="780064F6" w14:textId="323D8BF7" w:rsidR="00137016" w:rsidRPr="009037F8" w:rsidRDefault="00137016" w:rsidP="00137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</w:t>
      </w:r>
      <w:r w:rsidR="001273B6">
        <w:rPr>
          <w:rFonts w:ascii="Times New Roman" w:hAnsi="Times New Roman" w:cs="Times New Roman"/>
          <w:b/>
        </w:rPr>
        <w:t xml:space="preserve"> S3</w:t>
      </w:r>
      <w:r w:rsidRPr="009037F8">
        <w:rPr>
          <w:rFonts w:ascii="Times New Roman" w:hAnsi="Times New Roman" w:cs="Times New Roman"/>
          <w:b/>
        </w:rPr>
        <w:t>.</w:t>
      </w:r>
      <w:r w:rsidRPr="00903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Median </w:t>
      </w:r>
      <w:r w:rsidRPr="009037F8">
        <w:rPr>
          <w:rFonts w:ascii="Times New Roman" w:hAnsi="Times New Roman" w:cs="Times New Roman"/>
        </w:rPr>
        <w:t xml:space="preserve">TMRCA estimates </w:t>
      </w:r>
      <w:r>
        <w:rPr>
          <w:rFonts w:ascii="Times New Roman" w:hAnsi="Times New Roman" w:cs="Times New Roman"/>
        </w:rPr>
        <w:t xml:space="preserve">for the winter-brown allele </w:t>
      </w:r>
      <w:r w:rsidRPr="009037F8">
        <w:rPr>
          <w:rFonts w:ascii="Times New Roman" w:hAnsi="Times New Roman" w:cs="Times New Roman"/>
        </w:rPr>
        <w:t>and 95% credible intervals</w:t>
      </w:r>
      <w:r>
        <w:rPr>
          <w:rFonts w:ascii="Times New Roman" w:hAnsi="Times New Roman" w:cs="Times New Roman"/>
        </w:rPr>
        <w:t xml:space="preserve"> using different mutation rates</w:t>
      </w:r>
      <w:r w:rsidR="0052376B">
        <w:rPr>
          <w:rFonts w:ascii="Times New Roman" w:hAnsi="Times New Roman" w:cs="Times New Roman"/>
        </w:rPr>
        <w:t xml:space="preserve"> </w:t>
      </w:r>
      <w:r w:rsidR="0052376B" w:rsidRPr="0052376B">
        <w:rPr>
          <w:rFonts w:ascii="Times New Roman" w:hAnsi="Times New Roman" w:cs="Times New Roman"/>
        </w:rPr>
        <w:t>(2.02x10</w:t>
      </w:r>
      <w:r w:rsidR="0052376B" w:rsidRPr="0052376B">
        <w:rPr>
          <w:rFonts w:ascii="Times New Roman" w:hAnsi="Times New Roman" w:cs="Times New Roman"/>
          <w:vertAlign w:val="superscript"/>
        </w:rPr>
        <w:t xml:space="preserve">-9 </w:t>
      </w:r>
      <w:r w:rsidR="0052376B" w:rsidRPr="0052376B">
        <w:rPr>
          <w:rFonts w:ascii="Times New Roman" w:hAnsi="Times New Roman" w:cs="Times New Roman"/>
        </w:rPr>
        <w:t>or 2.35x10</w:t>
      </w:r>
      <w:r w:rsidR="0052376B" w:rsidRPr="0052376B">
        <w:rPr>
          <w:rFonts w:ascii="Times New Roman" w:hAnsi="Times New Roman" w:cs="Times New Roman"/>
          <w:vertAlign w:val="superscript"/>
        </w:rPr>
        <w:t>-9</w:t>
      </w:r>
      <w:r w:rsidR="0052376B">
        <w:rPr>
          <w:rFonts w:ascii="Times New Roman" w:hAnsi="Times New Roman" w:cs="Times New Roman"/>
          <w:vertAlign w:val="superscript"/>
        </w:rPr>
        <w:t xml:space="preserve"> </w:t>
      </w:r>
      <w:r w:rsidR="0052376B">
        <w:rPr>
          <w:rFonts w:ascii="Times New Roman" w:hAnsi="Times New Roman" w:cs="Times New Roman"/>
        </w:rPr>
        <w:t>mutations/base/generation</w:t>
      </w:r>
      <w:r w:rsidR="0052376B" w:rsidRPr="005237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</w:t>
      </w:r>
      <w:r w:rsidR="0052376B">
        <w:rPr>
          <w:rFonts w:ascii="Times New Roman" w:hAnsi="Times New Roman" w:cs="Times New Roman"/>
        </w:rPr>
        <w:t xml:space="preserve">homozygous winter-white samples to represent the </w:t>
      </w:r>
      <w:r>
        <w:rPr>
          <w:rFonts w:ascii="Times New Roman" w:hAnsi="Times New Roman" w:cs="Times New Roman"/>
        </w:rPr>
        <w:t xml:space="preserve">ancestral reference </w:t>
      </w:r>
      <w:r w:rsidR="0052376B">
        <w:rPr>
          <w:rFonts w:ascii="Times New Roman" w:hAnsi="Times New Roman" w:cs="Times New Roman"/>
        </w:rPr>
        <w:t>(OR-WA as a ‘local’ reference and MT as a ‘divergent’ reference)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603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1440"/>
        <w:gridCol w:w="2070"/>
      </w:tblGrid>
      <w:tr w:rsidR="00137016" w:rsidRPr="009037F8" w14:paraId="75295A33" w14:textId="77777777" w:rsidTr="00EB7B1F"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14:paraId="422E249B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3F363B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10732A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 xml:space="preserve">Mutation rate 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1EE44F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TMRCA</w:t>
            </w:r>
          </w:p>
        </w:tc>
      </w:tr>
      <w:tr w:rsidR="00137016" w:rsidRPr="009037F8" w14:paraId="0E1AB9B2" w14:textId="77777777" w:rsidTr="00EB7B1F">
        <w:tc>
          <w:tcPr>
            <w:tcW w:w="117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765CE0" w14:textId="77777777" w:rsidR="00137016" w:rsidRPr="009037F8" w:rsidRDefault="00137016" w:rsidP="004A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D5CB14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OR-WA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DC7F9A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2.02x10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87A6E7" w14:textId="69102F73" w:rsidR="00137016" w:rsidRPr="009037F8" w:rsidRDefault="00137016" w:rsidP="00EB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  <w:r w:rsidR="00EB7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(920-1169)</w:t>
            </w:r>
          </w:p>
        </w:tc>
      </w:tr>
      <w:tr w:rsidR="00137016" w:rsidRPr="009037F8" w14:paraId="3ADB1F53" w14:textId="77777777" w:rsidTr="00EB7B1F">
        <w:tc>
          <w:tcPr>
            <w:tcW w:w="1170" w:type="dxa"/>
            <w:vMerge/>
            <w:tcBorders>
              <w:right w:val="nil"/>
            </w:tcBorders>
            <w:vAlign w:val="center"/>
          </w:tcPr>
          <w:p w14:paraId="3252A9F9" w14:textId="77777777" w:rsidR="00137016" w:rsidRPr="009037F8" w:rsidRDefault="00137016" w:rsidP="004A6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F73CD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OR-W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A37BF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2.35x10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B6DAC" w14:textId="7380030B" w:rsidR="00137016" w:rsidRPr="009037F8" w:rsidRDefault="00137016" w:rsidP="00EB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  <w:r w:rsidR="00EB7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(909-1176)</w:t>
            </w:r>
          </w:p>
        </w:tc>
      </w:tr>
      <w:tr w:rsidR="00137016" w:rsidRPr="009037F8" w14:paraId="5F41780F" w14:textId="77777777" w:rsidTr="00EB7B1F">
        <w:tc>
          <w:tcPr>
            <w:tcW w:w="1170" w:type="dxa"/>
            <w:vMerge/>
            <w:tcBorders>
              <w:right w:val="nil"/>
            </w:tcBorders>
            <w:vAlign w:val="center"/>
          </w:tcPr>
          <w:p w14:paraId="034D83B4" w14:textId="77777777" w:rsidR="00137016" w:rsidRPr="009037F8" w:rsidRDefault="00137016" w:rsidP="004A6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24DFB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7BDC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2.02x10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8C2AE" w14:textId="07CD416B" w:rsidR="00137016" w:rsidRPr="009037F8" w:rsidRDefault="00137016" w:rsidP="00EB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EB7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(785-1012)</w:t>
            </w:r>
          </w:p>
        </w:tc>
      </w:tr>
      <w:tr w:rsidR="00137016" w:rsidRPr="009037F8" w14:paraId="6E825876" w14:textId="77777777" w:rsidTr="00EB7B1F">
        <w:tc>
          <w:tcPr>
            <w:tcW w:w="117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DA7BD80" w14:textId="77777777" w:rsidR="00137016" w:rsidRPr="009037F8" w:rsidRDefault="00137016" w:rsidP="004A6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DC079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DCE3B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2.35x10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05D27" w14:textId="63A279F4" w:rsidR="00137016" w:rsidRPr="009037F8" w:rsidRDefault="00137016" w:rsidP="00EB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  <w:r w:rsidR="00EB7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(958-1209)</w:t>
            </w:r>
          </w:p>
        </w:tc>
      </w:tr>
      <w:tr w:rsidR="00137016" w:rsidRPr="009037F8" w14:paraId="5CD25B79" w14:textId="77777777" w:rsidTr="00EB7B1F">
        <w:tc>
          <w:tcPr>
            <w:tcW w:w="117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88A905" w14:textId="77777777" w:rsidR="00137016" w:rsidRPr="009037F8" w:rsidRDefault="00137016" w:rsidP="004A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8EBED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OR-WA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FA508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2.02x10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F2244" w14:textId="048484E1" w:rsidR="00137016" w:rsidRPr="009037F8" w:rsidRDefault="00137016" w:rsidP="00EB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EB7B1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945-1315)</w:t>
            </w:r>
          </w:p>
        </w:tc>
      </w:tr>
      <w:tr w:rsidR="00137016" w:rsidRPr="009037F8" w14:paraId="0177F722" w14:textId="77777777" w:rsidTr="00EB7B1F">
        <w:tc>
          <w:tcPr>
            <w:tcW w:w="1170" w:type="dxa"/>
            <w:vMerge/>
            <w:tcBorders>
              <w:right w:val="nil"/>
            </w:tcBorders>
            <w:vAlign w:val="center"/>
          </w:tcPr>
          <w:p w14:paraId="0D0C29D2" w14:textId="77777777" w:rsidR="00137016" w:rsidRPr="009037F8" w:rsidRDefault="00137016" w:rsidP="004A6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103E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OR-WA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4E1C7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2.35x10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7E03" w14:textId="3D114A1E" w:rsidR="00137016" w:rsidRPr="009037F8" w:rsidRDefault="00137016" w:rsidP="00EB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="00EB7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(891-1300)</w:t>
            </w:r>
          </w:p>
        </w:tc>
      </w:tr>
      <w:tr w:rsidR="00137016" w:rsidRPr="009037F8" w14:paraId="7A6A0768" w14:textId="77777777" w:rsidTr="00EB7B1F">
        <w:tc>
          <w:tcPr>
            <w:tcW w:w="1170" w:type="dxa"/>
            <w:vMerge/>
            <w:tcBorders>
              <w:right w:val="nil"/>
            </w:tcBorders>
            <w:vAlign w:val="center"/>
          </w:tcPr>
          <w:p w14:paraId="7250961C" w14:textId="77777777" w:rsidR="00137016" w:rsidRPr="009037F8" w:rsidRDefault="00137016" w:rsidP="004A6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AA4F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15A90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2.02x10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90037" w14:textId="6F25BD0E" w:rsidR="00137016" w:rsidRPr="009037F8" w:rsidRDefault="00137016" w:rsidP="00EB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  <w:r w:rsidR="00EB7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(933-1221)</w:t>
            </w:r>
          </w:p>
        </w:tc>
      </w:tr>
      <w:tr w:rsidR="00137016" w:rsidRPr="009037F8" w14:paraId="4784714C" w14:textId="77777777" w:rsidTr="00EB7B1F">
        <w:tc>
          <w:tcPr>
            <w:tcW w:w="1170" w:type="dxa"/>
            <w:vMerge/>
            <w:tcBorders>
              <w:right w:val="nil"/>
            </w:tcBorders>
            <w:vAlign w:val="center"/>
          </w:tcPr>
          <w:p w14:paraId="50AB2148" w14:textId="77777777" w:rsidR="00137016" w:rsidRPr="009037F8" w:rsidRDefault="00137016" w:rsidP="004A6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5028B4C7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44AC062B" w14:textId="77777777" w:rsidR="00137016" w:rsidRPr="009037F8" w:rsidRDefault="00137016" w:rsidP="004A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2.35x10</w:t>
            </w:r>
            <w:r w:rsidRPr="009037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center"/>
          </w:tcPr>
          <w:p w14:paraId="319F4E1D" w14:textId="4F01BED2" w:rsidR="00137016" w:rsidRPr="009037F8" w:rsidRDefault="00137016" w:rsidP="00EB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1354</w:t>
            </w:r>
            <w:r w:rsidR="00EB7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7F8">
              <w:rPr>
                <w:rFonts w:ascii="Times New Roman" w:hAnsi="Times New Roman" w:cs="Times New Roman"/>
                <w:sz w:val="20"/>
                <w:szCs w:val="20"/>
              </w:rPr>
              <w:t>(1174-1547)</w:t>
            </w:r>
          </w:p>
        </w:tc>
      </w:tr>
    </w:tbl>
    <w:p w14:paraId="350EB205" w14:textId="33D83F71" w:rsidR="005C49CD" w:rsidRDefault="005C49CD"/>
    <w:sectPr w:rsidR="005C49CD" w:rsidSect="0000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16"/>
    <w:rsid w:val="000071F5"/>
    <w:rsid w:val="0005546A"/>
    <w:rsid w:val="000D399A"/>
    <w:rsid w:val="000E26CD"/>
    <w:rsid w:val="001273B6"/>
    <w:rsid w:val="00137016"/>
    <w:rsid w:val="001825F0"/>
    <w:rsid w:val="001B665A"/>
    <w:rsid w:val="00410B55"/>
    <w:rsid w:val="004B13DC"/>
    <w:rsid w:val="0052376B"/>
    <w:rsid w:val="00526FEF"/>
    <w:rsid w:val="005C49CD"/>
    <w:rsid w:val="00651CD3"/>
    <w:rsid w:val="00731A80"/>
    <w:rsid w:val="007B7DAE"/>
    <w:rsid w:val="0085556D"/>
    <w:rsid w:val="0086377C"/>
    <w:rsid w:val="00994BF9"/>
    <w:rsid w:val="00A04B9C"/>
    <w:rsid w:val="00C1701B"/>
    <w:rsid w:val="00D51870"/>
    <w:rsid w:val="00E534DB"/>
    <w:rsid w:val="00E5796D"/>
    <w:rsid w:val="00EB7B1F"/>
    <w:rsid w:val="00F574A0"/>
    <w:rsid w:val="00FC7BDE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D251"/>
  <w14:defaultImageDpi w14:val="32767"/>
  <w15:chartTrackingRefBased/>
  <w15:docId w15:val="{395268E6-C939-2946-91F5-5D2EEEA7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7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CEDF73-59A3-EF4E-8BA2-086F8702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jonesmr9@gmail.com</dc:creator>
  <cp:keywords/>
  <dc:description/>
  <cp:lastModifiedBy>jonesmr9@gmail.com</cp:lastModifiedBy>
  <cp:revision>2</cp:revision>
  <dcterms:created xsi:type="dcterms:W3CDTF">2019-11-18T21:32:00Z</dcterms:created>
  <dcterms:modified xsi:type="dcterms:W3CDTF">2019-11-18T21:32:00Z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http://www.zotero.org/styles/evolution</vt:lpwstr>
  </property>
  <property fmtid="{D5CDD505-2E9C-101B-9397-08002B2CF9AE}" pid="11" name="Mendeley Recent Style Name 4_1">
    <vt:lpwstr>Evolution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http://www.zotero.org/styles/science</vt:lpwstr>
  </property>
  <property fmtid="{D5CDD505-2E9C-101B-9397-08002B2CF9AE}" pid="19" name="Mendeley Recent Style Name 8_1">
    <vt:lpwstr>Science</vt:lpwstr>
  </property>
  <property fmtid="{D5CDD505-2E9C-101B-9397-08002B2CF9AE}" pid="20" name="Mendeley Recent Style Id 9_1">
    <vt:lpwstr>http://www.zotero.org/styles/the-american-naturalist</vt:lpwstr>
  </property>
  <property fmtid="{D5CDD505-2E9C-101B-9397-08002B2CF9AE}" pid="21" name="Mendeley Recent Style Name 9_1">
    <vt:lpwstr>The American Naturalist</vt:lpwstr>
  </property>
</Properties>
</file>