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65C4" w14:textId="5E1FC29B" w:rsidR="00AB0947" w:rsidRDefault="00AB0947" w:rsidP="003557B5"/>
    <w:p w14:paraId="7D10E336" w14:textId="77777777" w:rsidR="00AB0947" w:rsidRDefault="00AB0947" w:rsidP="00AB09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14:paraId="0BE978A5" w14:textId="77777777" w:rsidR="00AB0947" w:rsidRPr="00BF5596" w:rsidRDefault="00AB0947" w:rsidP="00AB094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9">
        <w:rPr>
          <w:rFonts w:ascii="Times New Roman" w:hAnsi="Times New Roman" w:cs="Times New Roman"/>
          <w:b/>
          <w:sz w:val="28"/>
          <w:szCs w:val="28"/>
        </w:rPr>
        <w:t xml:space="preserve">Consensus </w:t>
      </w:r>
      <w:r>
        <w:rPr>
          <w:rFonts w:ascii="Times New Roman" w:hAnsi="Times New Roman" w:cs="Times New Roman"/>
          <w:b/>
          <w:sz w:val="28"/>
          <w:szCs w:val="28"/>
        </w:rPr>
        <w:t xml:space="preserve">Features </w:t>
      </w:r>
      <w:r w:rsidRPr="004B1089">
        <w:rPr>
          <w:rFonts w:ascii="Times New Roman" w:hAnsi="Times New Roman" w:cs="Times New Roman"/>
          <w:b/>
          <w:sz w:val="28"/>
          <w:szCs w:val="28"/>
        </w:rPr>
        <w:t>Nested Cross-Validation</w:t>
      </w:r>
    </w:p>
    <w:p w14:paraId="16C60652" w14:textId="5BE6EA41" w:rsidR="00AB0947" w:rsidRDefault="00AB0947" w:rsidP="00AB0947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proofErr w:type="spellStart"/>
      <w:r>
        <w:rPr>
          <w:rFonts w:ascii="Times New Roman" w:hAnsi="Times New Roman" w:cs="Times New Roman"/>
        </w:rPr>
        <w:t>Saeid</w:t>
      </w:r>
      <w:proofErr w:type="spellEnd"/>
      <w:r>
        <w:rPr>
          <w:rFonts w:ascii="Times New Roman" w:hAnsi="Times New Roman" w:cs="Times New Roman"/>
        </w:rPr>
        <w:t xml:space="preserve"> Parvandeh</w:t>
      </w:r>
      <w:r w:rsidRPr="00E57B2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,2</w:t>
      </w:r>
      <w:r w:rsidRPr="00E57B2C">
        <w:rPr>
          <w:rFonts w:ascii="Times New Roman" w:hAnsi="Times New Roman" w:cs="Times New Roman"/>
        </w:rPr>
        <w:t xml:space="preserve">, </w:t>
      </w:r>
      <w:r w:rsidRPr="00102FDA">
        <w:rPr>
          <w:rFonts w:ascii="Times New Roman" w:hAnsi="Times New Roman" w:cs="Times New Roman"/>
        </w:rPr>
        <w:t>Hung-Wen Yeh</w:t>
      </w:r>
      <w:r>
        <w:rPr>
          <w:rFonts w:ascii="Times New Roman" w:hAnsi="Times New Roman" w:cs="Times New Roman"/>
          <w:vertAlign w:val="superscript"/>
        </w:rPr>
        <w:t>3</w:t>
      </w:r>
      <w:r w:rsidRPr="00E57B2C">
        <w:rPr>
          <w:rFonts w:ascii="Times New Roman" w:hAnsi="Times New Roman" w:cs="Times New Roman"/>
        </w:rPr>
        <w:t>, Martin P. Paulus</w:t>
      </w:r>
      <w:r>
        <w:rPr>
          <w:rFonts w:ascii="Times New Roman" w:hAnsi="Times New Roman" w:cs="Times New Roman"/>
          <w:vertAlign w:val="superscript"/>
        </w:rPr>
        <w:t>4</w:t>
      </w:r>
      <w:r w:rsidRPr="00E57B2C">
        <w:rPr>
          <w:rFonts w:ascii="Times New Roman" w:hAnsi="Times New Roman" w:cs="Times New Roman"/>
        </w:rPr>
        <w:t xml:space="preserve"> and </w:t>
      </w:r>
      <w:r w:rsidRPr="00102FDA">
        <w:rPr>
          <w:rFonts w:ascii="Times New Roman" w:hAnsi="Times New Roman" w:cs="Times New Roman"/>
        </w:rPr>
        <w:t>Brett A. McKinney</w:t>
      </w:r>
      <w:r>
        <w:rPr>
          <w:rFonts w:ascii="Times New Roman" w:hAnsi="Times New Roman" w:cs="Times New Roman"/>
          <w:vertAlign w:val="superscript"/>
        </w:rPr>
        <w:t>1</w:t>
      </w:r>
      <w:r w:rsidRPr="00E57B2C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5</w:t>
      </w:r>
    </w:p>
    <w:p w14:paraId="44B59F4C" w14:textId="77777777" w:rsidR="00AB0947" w:rsidRPr="00E57B2C" w:rsidRDefault="00AB0947" w:rsidP="00AB0947">
      <w:pPr>
        <w:spacing w:line="480" w:lineRule="auto"/>
        <w:jc w:val="center"/>
        <w:rPr>
          <w:rFonts w:ascii="Times New Roman" w:hAnsi="Times New Roman" w:cs="Times New Roman"/>
        </w:rPr>
      </w:pPr>
    </w:p>
    <w:p w14:paraId="52DC2BEB" w14:textId="376F46CC" w:rsidR="00B321E2" w:rsidRDefault="008A3E79" w:rsidP="00B321E2">
      <w:pPr>
        <w:spacing w:line="48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</w:rPr>
        <w:drawing>
          <wp:inline distT="0" distB="0" distL="0" distR="0" wp14:anchorId="42FBCF3C" wp14:editId="399DCF59">
            <wp:extent cx="5943600" cy="2773680"/>
            <wp:effectExtent l="0" t="0" r="0" b="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-int-10k-acc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38E1" w14:textId="55F703EC" w:rsidR="00B321E2" w:rsidRDefault="00B321E2" w:rsidP="00B321E2">
      <w:pPr>
        <w:spacing w:line="48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321E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Figure S1.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</w:t>
      </w:r>
      <w:r w:rsidR="00365B44" w:rsidRP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verage </w:t>
      </w:r>
      <w:r w:rsid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</w:t>
      </w:r>
      <w:r w:rsidRP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ccuracies</w:t>
      </w:r>
      <w:r w:rsidR="00365B44" w:rsidRP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10,000 attributes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>Training/holdout (teal) and validation (red) accuracies for c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onsensus nested CV (</w:t>
      </w:r>
      <w:proofErr w:type="spellStart"/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cnCV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standard nested CV (</w:t>
      </w:r>
      <w:proofErr w:type="spellStart"/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nCV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private Evaporative Cooling (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pEC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), differential privacy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thresholdout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(TO)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glmnet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for 10 replicate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simulated data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sets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with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main effect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s (A-C), main effects with correlation (D-F) and interaction effects (G-I)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Training data has m=200 samples, balanced cases and controls, and validation data has m=100 samples. Effect sizes range from easy to hard (left to right) with p=10,000 variables, 10% functional. </w:t>
      </w:r>
      <w:r w:rsidR="00365B44">
        <w:rPr>
          <w:rFonts w:asciiTheme="majorBidi" w:hAnsiTheme="majorBidi" w:cstheme="majorBidi"/>
          <w:color w:val="000000" w:themeColor="text1"/>
          <w:sz w:val="20"/>
          <w:szCs w:val="20"/>
        </w:rPr>
        <w:t>Pairs of plot points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indicate holdout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accuracies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(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final holdout model from training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>, teal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) and validation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accuracies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final holdout model applied to independent data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>, red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="00365B44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for each method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Accuracies for all methods (except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glmnet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) are from random forest out-of-bag.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Glmnet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accuracies are computed from t</w:t>
      </w:r>
      <w:r w:rsidRPr="001D7C9E">
        <w:rPr>
          <w:rFonts w:asciiTheme="majorBidi" w:hAnsiTheme="majorBidi" w:cstheme="majorBidi"/>
          <w:color w:val="000000" w:themeColor="text1"/>
          <w:sz w:val="20"/>
          <w:szCs w:val="20"/>
        </w:rPr>
        <w:t>he fitted model coefficients and optimal elastic-net lambda and alpha parameters tuned by the cross-validation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</w:p>
    <w:p w14:paraId="3A733E58" w14:textId="27D31B4E" w:rsidR="00B321E2" w:rsidRDefault="00B321E2" w:rsidP="00B321E2">
      <w:pPr>
        <w:spacing w:line="48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C732627" w14:textId="76AD64D3" w:rsidR="003557B5" w:rsidRDefault="003557B5" w:rsidP="003557B5"/>
    <w:p w14:paraId="7501DE3F" w14:textId="63B810CB" w:rsidR="003557B5" w:rsidRDefault="003557B5" w:rsidP="003557B5"/>
    <w:p w14:paraId="276929F8" w14:textId="77777777" w:rsidR="003557B5" w:rsidRDefault="003557B5" w:rsidP="003557B5"/>
    <w:p w14:paraId="64E101C6" w14:textId="2647B73F" w:rsidR="003557B5" w:rsidRDefault="008A3E79" w:rsidP="003557B5">
      <w:r>
        <w:rPr>
          <w:noProof/>
        </w:rPr>
        <w:lastRenderedPageBreak/>
        <w:drawing>
          <wp:inline distT="0" distB="0" distL="0" distR="0" wp14:anchorId="284DB16C" wp14:editId="44BBC68E">
            <wp:extent cx="5943600" cy="2773680"/>
            <wp:effectExtent l="0" t="0" r="0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-int-10k-at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39344" w14:textId="77777777" w:rsidR="00365B44" w:rsidRDefault="00365B44" w:rsidP="00365B44">
      <w:pPr>
        <w:spacing w:line="48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0C3E4EF8" w14:textId="11597A1F" w:rsidR="00365B44" w:rsidRDefault="00365B44" w:rsidP="00365B44">
      <w:pPr>
        <w:spacing w:line="48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Figure S2. </w:t>
      </w:r>
      <w:r w:rsidRP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Precision and recall </w:t>
      </w:r>
      <w:r w:rsid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for </w:t>
      </w:r>
      <w:r w:rsidRPr="008A3E79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10,000 attributes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>Comparison of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precision (teal) and recall (red) for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selecti</w:t>
      </w:r>
      <w:r w:rsidR="008A3E79">
        <w:rPr>
          <w:rFonts w:asciiTheme="majorBidi" w:hAnsiTheme="majorBidi" w:cstheme="majorBidi"/>
          <w:color w:val="000000" w:themeColor="text1"/>
          <w:sz w:val="20"/>
          <w:szCs w:val="20"/>
        </w:rPr>
        <w:t>on of simulated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fun</w:t>
      </w:r>
      <w:bookmarkStart w:id="0" w:name="_GoBack"/>
      <w:bookmarkEnd w:id="0"/>
      <w:r>
        <w:rPr>
          <w:rFonts w:asciiTheme="majorBidi" w:hAnsiTheme="majorBidi" w:cstheme="majorBidi"/>
          <w:color w:val="000000" w:themeColor="text1"/>
          <w:sz w:val="20"/>
          <w:szCs w:val="20"/>
        </w:rPr>
        <w:t>ctional features (10% functional out of p=10,000 and m=200 samples) for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consensus nested CV (</w:t>
      </w:r>
      <w:proofErr w:type="spellStart"/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cnCV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standard nested CV (</w:t>
      </w:r>
      <w:proofErr w:type="spellStart"/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nCV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>)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private Evaporative Cooling (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pEC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), differential privacy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thresholdout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(TO)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and </w:t>
      </w:r>
      <w:proofErr w:type="spellStart"/>
      <w:r>
        <w:rPr>
          <w:rFonts w:asciiTheme="majorBidi" w:hAnsiTheme="majorBidi" w:cstheme="majorBidi"/>
          <w:color w:val="000000" w:themeColor="text1"/>
          <w:sz w:val="20"/>
          <w:szCs w:val="20"/>
        </w:rPr>
        <w:t>glmnet</w:t>
      </w:r>
      <w:proofErr w:type="spellEnd"/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for 10 replicate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simulated data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sets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with 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>main effect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s (A-C), main effects with correlation (D-F) and interaction effects (G-I)</w:t>
      </w:r>
      <w:r w:rsidRPr="00974981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>Effect sizes range from easy to hard (left to right).</w:t>
      </w:r>
    </w:p>
    <w:p w14:paraId="123B692B" w14:textId="6149B3A2" w:rsidR="00365B44" w:rsidRDefault="00365B44" w:rsidP="003557B5"/>
    <w:p w14:paraId="0C1E756D" w14:textId="77777777" w:rsidR="002C17D6" w:rsidRPr="002C17D6" w:rsidRDefault="002C17D6" w:rsidP="002C17D6"/>
    <w:sectPr w:rsidR="002C17D6" w:rsidRPr="002C17D6" w:rsidSect="002E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BD"/>
    <w:rsid w:val="000C264E"/>
    <w:rsid w:val="000D369C"/>
    <w:rsid w:val="0016204A"/>
    <w:rsid w:val="001C71AB"/>
    <w:rsid w:val="002A19B8"/>
    <w:rsid w:val="002C17D6"/>
    <w:rsid w:val="002E4F51"/>
    <w:rsid w:val="003557B5"/>
    <w:rsid w:val="00365B44"/>
    <w:rsid w:val="003E23E8"/>
    <w:rsid w:val="0063370C"/>
    <w:rsid w:val="0068229F"/>
    <w:rsid w:val="0082506F"/>
    <w:rsid w:val="008A3E79"/>
    <w:rsid w:val="009434E0"/>
    <w:rsid w:val="009459F1"/>
    <w:rsid w:val="00A656BD"/>
    <w:rsid w:val="00A70610"/>
    <w:rsid w:val="00A77C3E"/>
    <w:rsid w:val="00AB0947"/>
    <w:rsid w:val="00B321E2"/>
    <w:rsid w:val="00C41A8B"/>
    <w:rsid w:val="00D01B91"/>
    <w:rsid w:val="00D7029F"/>
    <w:rsid w:val="00E615FC"/>
    <w:rsid w:val="00EF0576"/>
    <w:rsid w:val="00F249EA"/>
    <w:rsid w:val="00F27C9B"/>
    <w:rsid w:val="00F74D9D"/>
    <w:rsid w:val="00F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B87C"/>
  <w15:chartTrackingRefBased/>
  <w15:docId w15:val="{DD61B589-2454-0149-B62F-66AE3C3E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BD"/>
    <w:pPr>
      <w:ind w:left="144"/>
    </w:pPr>
    <w:rPr>
      <w:rFonts w:ascii="Times New Roman" w:eastAsia="Times New Roman" w:hAnsi="Times New Roman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Parvandeh, Saeid</dc:creator>
  <cp:keywords/>
  <dc:description/>
  <cp:lastModifiedBy>Brett McKinney</cp:lastModifiedBy>
  <cp:revision>3</cp:revision>
  <dcterms:created xsi:type="dcterms:W3CDTF">2019-12-30T19:45:00Z</dcterms:created>
  <dcterms:modified xsi:type="dcterms:W3CDTF">2019-12-30T21:56:00Z</dcterms:modified>
</cp:coreProperties>
</file>