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628A9" w14:textId="14DBCCC0" w:rsidR="00DD58B1" w:rsidRPr="002327CC" w:rsidRDefault="00DD58B1" w:rsidP="00DD58B1">
      <w:pPr>
        <w:pStyle w:val="Heading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SUPPLEMENTAL FIGURES</w:t>
      </w:r>
    </w:p>
    <w:p w14:paraId="6D52AE6A" w14:textId="77777777" w:rsidR="00DD58B1" w:rsidRPr="002327CC" w:rsidRDefault="00DD58B1" w:rsidP="00DD58B1">
      <w:pPr>
        <w:keepNext/>
        <w:rPr>
          <w:rFonts w:cstheme="minorHAnsi"/>
        </w:rPr>
      </w:pPr>
      <w:r w:rsidRPr="002327CC">
        <w:rPr>
          <w:rFonts w:cstheme="minorHAnsi"/>
          <w:noProof/>
        </w:rPr>
        <w:drawing>
          <wp:inline distT="0" distB="0" distL="0" distR="0" wp14:anchorId="3421D969" wp14:editId="119E71E1">
            <wp:extent cx="4391025" cy="6334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1_DNMTphylotree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91025" cy="633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9FC3D" w14:textId="77777777" w:rsidR="00DD58B1" w:rsidRPr="00DD58B1" w:rsidRDefault="00DD58B1" w:rsidP="00DD58B1">
      <w:pPr>
        <w:pStyle w:val="Caption"/>
        <w:rPr>
          <w:rFonts w:cstheme="minorHAnsi"/>
          <w:i w:val="0"/>
          <w:sz w:val="22"/>
          <w:szCs w:val="22"/>
          <w:lang w:val="en-GB"/>
        </w:rPr>
      </w:pPr>
      <w:r w:rsidRPr="00DD58B1">
        <w:rPr>
          <w:rFonts w:cstheme="minorHAnsi"/>
          <w:b/>
          <w:i w:val="0"/>
          <w:sz w:val="22"/>
          <w:szCs w:val="22"/>
        </w:rPr>
        <w:t xml:space="preserve">Figure S1. Phylogenetic tree of DNA methyltransferases. </w:t>
      </w:r>
      <w:r w:rsidRPr="00DD58B1">
        <w:rPr>
          <w:rFonts w:cstheme="minorHAnsi"/>
          <w:i w:val="0"/>
          <w:sz w:val="22"/>
          <w:szCs w:val="22"/>
        </w:rPr>
        <w:t xml:space="preserve">Gene codes containing </w:t>
      </w:r>
      <w:proofErr w:type="spellStart"/>
      <w:r w:rsidRPr="00DD58B1">
        <w:rPr>
          <w:rFonts w:cstheme="minorHAnsi"/>
          <w:i w:val="0"/>
          <w:sz w:val="22"/>
          <w:szCs w:val="22"/>
        </w:rPr>
        <w:t>m.a.</w:t>
      </w:r>
      <w:proofErr w:type="spellEnd"/>
      <w:r w:rsidRPr="00DD58B1">
        <w:rPr>
          <w:rFonts w:cstheme="minorHAnsi"/>
          <w:i w:val="0"/>
          <w:sz w:val="22"/>
          <w:szCs w:val="22"/>
        </w:rPr>
        <w:t xml:space="preserve"> were manually added, as they were missed in the predicted proteomes.  </w:t>
      </w:r>
    </w:p>
    <w:p w14:paraId="6C4E8101" w14:textId="77777777" w:rsidR="00DD58B1" w:rsidRPr="002327CC" w:rsidRDefault="00DD58B1" w:rsidP="00DD58B1">
      <w:pPr>
        <w:keepNext/>
        <w:rPr>
          <w:rFonts w:cstheme="minorHAnsi"/>
        </w:rPr>
      </w:pPr>
      <w:r w:rsidRPr="002327CC">
        <w:rPr>
          <w:rFonts w:cstheme="minorHAnsi"/>
          <w:noProof/>
        </w:rPr>
        <w:lastRenderedPageBreak/>
        <w:drawing>
          <wp:inline distT="0" distB="0" distL="0" distR="0" wp14:anchorId="06838B53" wp14:editId="7F84A6AC">
            <wp:extent cx="5943600" cy="43084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CG_Chr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EB191" w14:textId="77777777" w:rsidR="00DD58B1" w:rsidRDefault="00DD58B1" w:rsidP="00DD58B1">
      <w:pPr>
        <w:pStyle w:val="Caption"/>
        <w:rPr>
          <w:rFonts w:cstheme="minorHAnsi"/>
          <w:b/>
          <w:i w:val="0"/>
          <w:sz w:val="22"/>
          <w:szCs w:val="22"/>
        </w:rPr>
      </w:pPr>
    </w:p>
    <w:p w14:paraId="1AB80332" w14:textId="6BED186B" w:rsidR="00DD58B1" w:rsidRPr="00DD58B1" w:rsidRDefault="00DD58B1" w:rsidP="00DD58B1">
      <w:pPr>
        <w:pStyle w:val="Caption"/>
        <w:rPr>
          <w:rFonts w:cstheme="minorHAnsi"/>
          <w:i w:val="0"/>
          <w:sz w:val="22"/>
          <w:szCs w:val="22"/>
        </w:rPr>
      </w:pPr>
      <w:r w:rsidRPr="00DD58B1">
        <w:rPr>
          <w:rFonts w:cstheme="minorHAnsi"/>
          <w:b/>
          <w:i w:val="0"/>
          <w:sz w:val="22"/>
          <w:szCs w:val="22"/>
        </w:rPr>
        <w:t>Figure S2</w:t>
      </w:r>
      <w:r w:rsidRPr="00DD58B1">
        <w:rPr>
          <w:rFonts w:cstheme="minorHAnsi"/>
          <w:i w:val="0"/>
          <w:sz w:val="22"/>
          <w:szCs w:val="22"/>
        </w:rPr>
        <w:t>.</w:t>
      </w:r>
      <w:r w:rsidRPr="00DD58B1">
        <w:rPr>
          <w:rFonts w:cstheme="minorHAnsi"/>
          <w:b/>
          <w:i w:val="0"/>
          <w:sz w:val="22"/>
          <w:szCs w:val="22"/>
        </w:rPr>
        <w:t xml:space="preserve"> DNA methylation in CG context.</w:t>
      </w:r>
      <w:r w:rsidRPr="00DD58B1">
        <w:rPr>
          <w:rFonts w:cstheme="minorHAnsi"/>
          <w:i w:val="0"/>
          <w:sz w:val="22"/>
          <w:szCs w:val="22"/>
        </w:rPr>
        <w:t xml:space="preserve"> Whole-chromosome plot displaying the fraction of methylated cytosines for non-overlapping 10 kb windows in CG context for WT, and DNA methyltransferase and </w:t>
      </w:r>
      <w:r w:rsidRPr="00DD58B1">
        <w:rPr>
          <w:rFonts w:cstheme="minorHAnsi"/>
          <w:sz w:val="22"/>
          <w:szCs w:val="22"/>
        </w:rPr>
        <w:t>Hp1</w:t>
      </w:r>
      <w:r w:rsidRPr="00DD58B1">
        <w:rPr>
          <w:rFonts w:cstheme="minorHAnsi"/>
          <w:i w:val="0"/>
          <w:sz w:val="22"/>
          <w:szCs w:val="22"/>
        </w:rPr>
        <w:t xml:space="preserve"> deletion mutants with chromosome 5 as an example. Grey boxes, displayed below the DNA methylation tracks, indicate the hypomethylated windows in CG context from Table 1. Previously defined LS regions </w:t>
      </w:r>
      <w:r w:rsidRPr="00DD58B1">
        <w:rPr>
          <w:rFonts w:cstheme="minorHAnsi"/>
          <w:i w:val="0"/>
          <w:sz w:val="22"/>
          <w:szCs w:val="22"/>
        </w:rPr>
        <w:fldChar w:fldCharType="begin" w:fldLock="1"/>
      </w:r>
      <w:r w:rsidRPr="00DD58B1">
        <w:rPr>
          <w:rFonts w:cstheme="minorHAnsi"/>
          <w:i w:val="0"/>
          <w:sz w:val="22"/>
          <w:szCs w:val="22"/>
        </w:rPr>
        <w:instrText>ADDIN CSL_CITATION {"citationItems":[{"id":"ITEM-1","itemData":{"author":[{"dropping-particle":"","family":"Cook","given":"David E.","non-dropping-particle":"","parse-names":false,"suffix":""},{"dropping-particle":"","family":"Kramer","given":"H. Martin","non-dropping-particle":"","parse-names":false,"suffix":""},{"dropping-particle":"","family":"Seidl","given":"Michael F.","non-dropping-particle":"","parse-names":false,"suffix":""},{"dropping-particle":"","family":"Thomma","given":"Bart P. H. J.","non-dropping-particle":"","parse-names":false,"suffix":""}],"container-title":"bioRxiv","id":"ITEM-1","issued":{"date-parts":[["2020"]]},"page":"doi: 10.1101/2020.01.27.921486","title":"Chromatin features define adaptive genomic regions in a fungal plant pathogen","type":"article-journal"},"uris":["http://www.mendeley.com/documents/?uuid=cdb645ee-1043-4726-a40b-afd2c3de46fa"]}],"mendeley":{"formattedCitation":"(Cook &lt;i&gt;et al.&lt;/i&gt;, 2020)","plainTextFormattedCitation":"(Cook et al., 2020)","previouslyFormattedCitation":"(Cook &lt;i&gt;et al.&lt;/i&gt;, 2020)"},"properties":{"noteIndex":0},"schema":"https://github.com/citation-style-language/schema/raw/master/csl-citation.json"}</w:instrText>
      </w:r>
      <w:r w:rsidRPr="00DD58B1">
        <w:rPr>
          <w:rFonts w:cstheme="minorHAnsi"/>
          <w:i w:val="0"/>
          <w:sz w:val="22"/>
          <w:szCs w:val="22"/>
        </w:rPr>
        <w:fldChar w:fldCharType="separate"/>
      </w:r>
      <w:r w:rsidRPr="00DD58B1">
        <w:rPr>
          <w:rFonts w:cstheme="minorHAnsi"/>
          <w:i w:val="0"/>
          <w:noProof/>
          <w:sz w:val="22"/>
          <w:szCs w:val="22"/>
        </w:rPr>
        <w:t xml:space="preserve">(Cook </w:t>
      </w:r>
      <w:r w:rsidRPr="00DD58B1">
        <w:rPr>
          <w:rFonts w:cstheme="minorHAnsi"/>
          <w:noProof/>
          <w:sz w:val="22"/>
          <w:szCs w:val="22"/>
        </w:rPr>
        <w:t>et al.</w:t>
      </w:r>
      <w:r w:rsidRPr="00DD58B1">
        <w:rPr>
          <w:rFonts w:cstheme="minorHAnsi"/>
          <w:i w:val="0"/>
          <w:noProof/>
          <w:sz w:val="22"/>
          <w:szCs w:val="22"/>
        </w:rPr>
        <w:t>, 2020)</w:t>
      </w:r>
      <w:r w:rsidRPr="00DD58B1">
        <w:rPr>
          <w:rFonts w:cstheme="minorHAnsi"/>
          <w:i w:val="0"/>
          <w:sz w:val="22"/>
          <w:szCs w:val="22"/>
        </w:rPr>
        <w:fldChar w:fldCharType="end"/>
      </w:r>
      <w:r w:rsidRPr="00DD58B1">
        <w:rPr>
          <w:rFonts w:cstheme="minorHAnsi"/>
          <w:i w:val="0"/>
          <w:sz w:val="22"/>
          <w:szCs w:val="22"/>
        </w:rPr>
        <w:t xml:space="preserve"> are highlighted in yellow.</w:t>
      </w:r>
    </w:p>
    <w:p w14:paraId="205F4425" w14:textId="77777777" w:rsidR="00DD58B1" w:rsidRPr="002327CC" w:rsidRDefault="00DD58B1" w:rsidP="00DD58B1">
      <w:pPr>
        <w:keepNext/>
        <w:rPr>
          <w:rFonts w:cstheme="minorHAnsi"/>
        </w:rPr>
      </w:pPr>
      <w:r w:rsidRPr="002327CC">
        <w:rPr>
          <w:rFonts w:cstheme="minorHAnsi"/>
          <w:noProof/>
        </w:rPr>
        <w:lastRenderedPageBreak/>
        <w:drawing>
          <wp:inline distT="0" distB="0" distL="0" distR="0" wp14:anchorId="1EFB052E" wp14:editId="1F027062">
            <wp:extent cx="5943600" cy="43084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CHG_Chr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FBB5" w14:textId="77777777" w:rsidR="00DD58B1" w:rsidRDefault="00DD58B1" w:rsidP="00DD58B1">
      <w:pPr>
        <w:pStyle w:val="Caption"/>
        <w:rPr>
          <w:rFonts w:cstheme="minorHAnsi"/>
          <w:b/>
          <w:i w:val="0"/>
          <w:sz w:val="22"/>
          <w:szCs w:val="22"/>
        </w:rPr>
      </w:pPr>
    </w:p>
    <w:p w14:paraId="01C61503" w14:textId="25A01233" w:rsidR="00DD58B1" w:rsidRPr="00DD58B1" w:rsidRDefault="00DD58B1" w:rsidP="00DD58B1">
      <w:pPr>
        <w:pStyle w:val="Caption"/>
        <w:rPr>
          <w:rFonts w:cstheme="minorHAnsi"/>
          <w:sz w:val="22"/>
          <w:szCs w:val="22"/>
        </w:rPr>
      </w:pPr>
      <w:r w:rsidRPr="00DD58B1">
        <w:rPr>
          <w:rFonts w:cstheme="minorHAnsi"/>
          <w:b/>
          <w:i w:val="0"/>
          <w:sz w:val="22"/>
          <w:szCs w:val="22"/>
        </w:rPr>
        <w:t>Figure</w:t>
      </w:r>
      <w:r w:rsidRPr="00DD58B1">
        <w:rPr>
          <w:rFonts w:cstheme="minorHAnsi"/>
          <w:i w:val="0"/>
          <w:sz w:val="22"/>
          <w:szCs w:val="22"/>
        </w:rPr>
        <w:t xml:space="preserve"> </w:t>
      </w:r>
      <w:r w:rsidRPr="00DD58B1">
        <w:rPr>
          <w:rFonts w:cstheme="minorHAnsi"/>
          <w:b/>
          <w:i w:val="0"/>
          <w:sz w:val="22"/>
          <w:szCs w:val="22"/>
        </w:rPr>
        <w:t>S3. DNA methylation in CHG context.</w:t>
      </w:r>
      <w:r w:rsidRPr="00DD58B1">
        <w:rPr>
          <w:rFonts w:cstheme="minorHAnsi"/>
          <w:i w:val="0"/>
          <w:sz w:val="22"/>
          <w:szCs w:val="22"/>
        </w:rPr>
        <w:t xml:space="preserve"> Whole-chromosome plot displaying the fraction of methylated cytosines for non-overlapping 10 kb windows in CHG context for WT, and DNA methyltransferase and </w:t>
      </w:r>
      <w:r w:rsidRPr="00DD58B1">
        <w:rPr>
          <w:rFonts w:cstheme="minorHAnsi"/>
          <w:sz w:val="22"/>
          <w:szCs w:val="22"/>
        </w:rPr>
        <w:t>Hp1</w:t>
      </w:r>
      <w:r w:rsidRPr="00DD58B1">
        <w:rPr>
          <w:rFonts w:cstheme="minorHAnsi"/>
          <w:i w:val="0"/>
          <w:sz w:val="22"/>
          <w:szCs w:val="22"/>
        </w:rPr>
        <w:t xml:space="preserve"> deletion mutants with chromosome 5 as an example. Grey boxes, displayed below the DNA methylation tracks, indicate the hypomethylated windows in CHG context from Table 1. Previously defined LS regions </w:t>
      </w:r>
      <w:r w:rsidRPr="00DD58B1">
        <w:rPr>
          <w:rFonts w:cstheme="minorHAnsi"/>
          <w:i w:val="0"/>
          <w:sz w:val="22"/>
          <w:szCs w:val="22"/>
        </w:rPr>
        <w:fldChar w:fldCharType="begin" w:fldLock="1"/>
      </w:r>
      <w:r w:rsidRPr="00DD58B1">
        <w:rPr>
          <w:rFonts w:cstheme="minorHAnsi"/>
          <w:i w:val="0"/>
          <w:sz w:val="22"/>
          <w:szCs w:val="22"/>
        </w:rPr>
        <w:instrText>ADDIN CSL_CITATION {"citationItems":[{"id":"ITEM-1","itemData":{"author":[{"dropping-particle":"","family":"Cook","given":"David E.","non-dropping-particle":"","parse-names":false,"suffix":""},{"dropping-particle":"","family":"Kramer","given":"H. Martin","non-dropping-particle":"","parse-names":false,"suffix":""},{"dropping-particle":"","family":"Seidl","given":"Michael F.","non-dropping-particle":"","parse-names":false,"suffix":""},{"dropping-particle":"","family":"Thomma","given":"Bart P. H. J.","non-dropping-particle":"","parse-names":false,"suffix":""}],"container-title":"bioRxiv","id":"ITEM-1","issued":{"date-parts":[["2020"]]},"page":"doi: 10.1101/2020.01.27.921486","title":"Chromatin features define adaptive genomic regions in a fungal plant pathogen","type":"article-journal"},"uris":["http://www.mendeley.com/documents/?uuid=cdb645ee-1043-4726-a40b-afd2c3de46fa"]}],"mendeley":{"formattedCitation":"(Cook &lt;i&gt;et al.&lt;/i&gt;, 2020)","plainTextFormattedCitation":"(Cook et al., 2020)","previouslyFormattedCitation":"(Cook &lt;i&gt;et al.&lt;/i&gt;, 2020)"},"properties":{"noteIndex":0},"schema":"https://github.com/citation-style-language/schema/raw/master/csl-citation.json"}</w:instrText>
      </w:r>
      <w:r w:rsidRPr="00DD58B1">
        <w:rPr>
          <w:rFonts w:cstheme="minorHAnsi"/>
          <w:i w:val="0"/>
          <w:sz w:val="22"/>
          <w:szCs w:val="22"/>
        </w:rPr>
        <w:fldChar w:fldCharType="separate"/>
      </w:r>
      <w:r w:rsidRPr="00DD58B1">
        <w:rPr>
          <w:rFonts w:cstheme="minorHAnsi"/>
          <w:i w:val="0"/>
          <w:noProof/>
          <w:sz w:val="22"/>
          <w:szCs w:val="22"/>
        </w:rPr>
        <w:t xml:space="preserve">(Cook </w:t>
      </w:r>
      <w:r w:rsidRPr="00DD58B1">
        <w:rPr>
          <w:rFonts w:cstheme="minorHAnsi"/>
          <w:noProof/>
          <w:sz w:val="22"/>
          <w:szCs w:val="22"/>
        </w:rPr>
        <w:t>et al.</w:t>
      </w:r>
      <w:r w:rsidRPr="00DD58B1">
        <w:rPr>
          <w:rFonts w:cstheme="minorHAnsi"/>
          <w:i w:val="0"/>
          <w:noProof/>
          <w:sz w:val="22"/>
          <w:szCs w:val="22"/>
        </w:rPr>
        <w:t>, 2020)</w:t>
      </w:r>
      <w:r w:rsidRPr="00DD58B1">
        <w:rPr>
          <w:rFonts w:cstheme="minorHAnsi"/>
          <w:i w:val="0"/>
          <w:sz w:val="22"/>
          <w:szCs w:val="22"/>
        </w:rPr>
        <w:fldChar w:fldCharType="end"/>
      </w:r>
      <w:r w:rsidRPr="00DD58B1">
        <w:rPr>
          <w:rFonts w:cstheme="minorHAnsi"/>
          <w:i w:val="0"/>
          <w:sz w:val="22"/>
          <w:szCs w:val="22"/>
        </w:rPr>
        <w:t xml:space="preserve"> are highlighted in yellow.</w:t>
      </w:r>
    </w:p>
    <w:p w14:paraId="2720D834" w14:textId="77777777" w:rsidR="00DD58B1" w:rsidRPr="002327CC" w:rsidRDefault="00DD58B1" w:rsidP="00DD58B1">
      <w:pPr>
        <w:keepNext/>
        <w:rPr>
          <w:rFonts w:cstheme="minorHAnsi"/>
        </w:rPr>
      </w:pPr>
      <w:r w:rsidRPr="002327CC">
        <w:rPr>
          <w:rFonts w:cstheme="minorHAnsi"/>
          <w:noProof/>
        </w:rPr>
        <w:lastRenderedPageBreak/>
        <w:drawing>
          <wp:inline distT="0" distB="0" distL="0" distR="0" wp14:anchorId="3B9E1BB2" wp14:editId="3B994911">
            <wp:extent cx="5943600" cy="43084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CHH_Chr5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16E5" w14:textId="77777777" w:rsidR="00DD58B1" w:rsidRDefault="00DD58B1" w:rsidP="00DD58B1">
      <w:pPr>
        <w:pStyle w:val="Caption"/>
        <w:rPr>
          <w:rFonts w:cstheme="minorHAnsi"/>
          <w:b/>
          <w:i w:val="0"/>
          <w:sz w:val="22"/>
          <w:szCs w:val="22"/>
        </w:rPr>
      </w:pPr>
    </w:p>
    <w:p w14:paraId="3212FAA4" w14:textId="604D6838" w:rsidR="00DD58B1" w:rsidRPr="00DD58B1" w:rsidRDefault="00DD58B1" w:rsidP="00DD58B1">
      <w:pPr>
        <w:pStyle w:val="Caption"/>
        <w:rPr>
          <w:rFonts w:cstheme="minorHAnsi"/>
          <w:i w:val="0"/>
          <w:sz w:val="22"/>
          <w:szCs w:val="22"/>
        </w:rPr>
      </w:pPr>
      <w:r w:rsidRPr="00DD58B1">
        <w:rPr>
          <w:rFonts w:cstheme="minorHAnsi"/>
          <w:b/>
          <w:i w:val="0"/>
          <w:sz w:val="22"/>
          <w:szCs w:val="22"/>
        </w:rPr>
        <w:t>Figure S4. DNA methylation in CHH context.</w:t>
      </w:r>
      <w:r w:rsidRPr="00DD58B1">
        <w:rPr>
          <w:rFonts w:cstheme="minorHAnsi"/>
          <w:i w:val="0"/>
          <w:sz w:val="22"/>
          <w:szCs w:val="22"/>
        </w:rPr>
        <w:t xml:space="preserve"> Whole-chromosome plot displaying the fraction of methylated cytosines for non-overlapping 10 kb windows in CHH context for WT, and DNA methyltransferase and </w:t>
      </w:r>
      <w:r w:rsidRPr="00DD58B1">
        <w:rPr>
          <w:rFonts w:cstheme="minorHAnsi"/>
          <w:sz w:val="22"/>
          <w:szCs w:val="22"/>
        </w:rPr>
        <w:t>Hp1</w:t>
      </w:r>
      <w:r w:rsidRPr="00DD58B1">
        <w:rPr>
          <w:rFonts w:cstheme="minorHAnsi"/>
          <w:i w:val="0"/>
          <w:sz w:val="22"/>
          <w:szCs w:val="22"/>
        </w:rPr>
        <w:t xml:space="preserve"> deletion mutants with chromosome 5 as an example. Colored boxes, displayed below the DNA methylation tracks, indicate the hypomethylated windows in CHH context from Table 1. Previously defined LS regions </w:t>
      </w:r>
      <w:r w:rsidRPr="00DD58B1">
        <w:rPr>
          <w:rFonts w:cstheme="minorHAnsi"/>
          <w:i w:val="0"/>
          <w:sz w:val="22"/>
          <w:szCs w:val="22"/>
        </w:rPr>
        <w:fldChar w:fldCharType="begin" w:fldLock="1"/>
      </w:r>
      <w:r w:rsidRPr="00DD58B1">
        <w:rPr>
          <w:rFonts w:cstheme="minorHAnsi"/>
          <w:i w:val="0"/>
          <w:sz w:val="22"/>
          <w:szCs w:val="22"/>
        </w:rPr>
        <w:instrText>ADDIN CSL_CITATION {"citationItems":[{"id":"ITEM-1","itemData":{"author":[{"dropping-particle":"","family":"Cook","given":"David E.","non-dropping-particle":"","parse-names":false,"suffix":""},{"dropping-particle":"","family":"Kramer","given":"H. Martin","non-dropping-particle":"","parse-names":false,"suffix":""},{"dropping-particle":"","family":"Seidl","given":"Michael F.","non-dropping-particle":"","parse-names":false,"suffix":""},{"dropping-particle":"","family":"Thomma","given":"Bart P. H. J.","non-dropping-particle":"","parse-names":false,"suffix":""}],"container-title":"bioRxiv","id":"ITEM-1","issued":{"date-parts":[["2020"]]},"page":"doi: 10.1101/2020.01.27.921486","title":"Chromatin features define adaptive genomic regions in a fungal plant pathogen","type":"article-journal"},"uris":["http://www.mendeley.com/documents/?uuid=cdb645ee-1043-4726-a40b-afd2c3de46fa"]}],"mendeley":{"formattedCitation":"(Cook &lt;i&gt;et al.&lt;/i&gt;, 2020)","plainTextFormattedCitation":"(Cook et al., 2020)","previouslyFormattedCitation":"(Cook &lt;i&gt;et al.&lt;/i&gt;, 2020)"},"properties":{"noteIndex":0},"schema":"https://github.com/citation-style-language/schema/raw/master/csl-citation.json"}</w:instrText>
      </w:r>
      <w:r w:rsidRPr="00DD58B1">
        <w:rPr>
          <w:rFonts w:cstheme="minorHAnsi"/>
          <w:i w:val="0"/>
          <w:sz w:val="22"/>
          <w:szCs w:val="22"/>
        </w:rPr>
        <w:fldChar w:fldCharType="separate"/>
      </w:r>
      <w:r w:rsidRPr="00DD58B1">
        <w:rPr>
          <w:rFonts w:cstheme="minorHAnsi"/>
          <w:i w:val="0"/>
          <w:noProof/>
          <w:sz w:val="22"/>
          <w:szCs w:val="22"/>
        </w:rPr>
        <w:t xml:space="preserve">(Cook </w:t>
      </w:r>
      <w:r w:rsidRPr="00DD58B1">
        <w:rPr>
          <w:rFonts w:cstheme="minorHAnsi"/>
          <w:noProof/>
          <w:sz w:val="22"/>
          <w:szCs w:val="22"/>
        </w:rPr>
        <w:t>et al.</w:t>
      </w:r>
      <w:r w:rsidRPr="00DD58B1">
        <w:rPr>
          <w:rFonts w:cstheme="minorHAnsi"/>
          <w:i w:val="0"/>
          <w:noProof/>
          <w:sz w:val="22"/>
          <w:szCs w:val="22"/>
        </w:rPr>
        <w:t>, 2020)</w:t>
      </w:r>
      <w:r w:rsidRPr="00DD58B1">
        <w:rPr>
          <w:rFonts w:cstheme="minorHAnsi"/>
          <w:i w:val="0"/>
          <w:sz w:val="22"/>
          <w:szCs w:val="22"/>
        </w:rPr>
        <w:fldChar w:fldCharType="end"/>
      </w:r>
      <w:r w:rsidRPr="00DD58B1">
        <w:rPr>
          <w:rFonts w:cstheme="minorHAnsi"/>
          <w:i w:val="0"/>
          <w:sz w:val="22"/>
          <w:szCs w:val="22"/>
        </w:rPr>
        <w:t xml:space="preserve"> are highlighted in yellow.</w:t>
      </w:r>
    </w:p>
    <w:p w14:paraId="1D263574" w14:textId="77777777" w:rsidR="00DD58B1" w:rsidRPr="002327CC" w:rsidRDefault="00DD58B1" w:rsidP="00DD58B1">
      <w:pPr>
        <w:keepNext/>
        <w:rPr>
          <w:rFonts w:cstheme="minorHAnsi"/>
        </w:rPr>
      </w:pPr>
      <w:r w:rsidRPr="002327CC">
        <w:rPr>
          <w:rFonts w:cstheme="minorHAnsi"/>
          <w:noProof/>
        </w:rPr>
        <w:lastRenderedPageBreak/>
        <w:drawing>
          <wp:inline distT="0" distB="0" distL="0" distR="0" wp14:anchorId="0294DD02" wp14:editId="23EF4250">
            <wp:extent cx="5766816" cy="522732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3S_GenomemC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D6EBE" w14:textId="77777777" w:rsidR="00DD58B1" w:rsidRPr="002327CC" w:rsidRDefault="00DD58B1" w:rsidP="00DD58B1">
      <w:pPr>
        <w:keepNext/>
        <w:rPr>
          <w:rFonts w:cstheme="minorHAnsi"/>
        </w:rPr>
      </w:pPr>
    </w:p>
    <w:p w14:paraId="72B3E461" w14:textId="77777777" w:rsidR="00DD58B1" w:rsidRDefault="00DD58B1" w:rsidP="00DD58B1">
      <w:pPr>
        <w:pStyle w:val="Caption"/>
        <w:rPr>
          <w:rFonts w:cstheme="minorHAnsi"/>
          <w:b/>
          <w:i w:val="0"/>
          <w:sz w:val="22"/>
          <w:szCs w:val="22"/>
        </w:rPr>
      </w:pPr>
    </w:p>
    <w:p w14:paraId="12EE536E" w14:textId="4E642387" w:rsidR="00DD58B1" w:rsidRPr="00DD58B1" w:rsidRDefault="00DD58B1" w:rsidP="00DD58B1">
      <w:pPr>
        <w:pStyle w:val="Caption"/>
        <w:rPr>
          <w:rFonts w:cstheme="minorHAnsi"/>
          <w:i w:val="0"/>
          <w:sz w:val="22"/>
          <w:szCs w:val="22"/>
        </w:rPr>
      </w:pPr>
      <w:r w:rsidRPr="00DD58B1">
        <w:rPr>
          <w:rFonts w:cstheme="minorHAnsi"/>
          <w:b/>
          <w:i w:val="0"/>
          <w:sz w:val="22"/>
          <w:szCs w:val="22"/>
        </w:rPr>
        <w:t>Figure S5. DNA methylation over the genome.</w:t>
      </w:r>
      <w:r w:rsidRPr="00DD58B1">
        <w:rPr>
          <w:rFonts w:cstheme="minorHAnsi"/>
          <w:i w:val="0"/>
          <w:sz w:val="22"/>
          <w:szCs w:val="22"/>
        </w:rPr>
        <w:t xml:space="preserve"> Whole-chromosome plot displaying the fraction of methylated cytosines for non-overlapping 10 kb windows for wild-type over the whole genome. Colored boxes, displayed below the DNA methylation track indicate the hypomethylated windows from Table 1. Brown Δ</w:t>
      </w:r>
      <w:r w:rsidRPr="00DD58B1">
        <w:rPr>
          <w:rFonts w:cstheme="minorHAnsi"/>
          <w:sz w:val="22"/>
          <w:szCs w:val="22"/>
        </w:rPr>
        <w:t xml:space="preserve">Dim2, </w:t>
      </w:r>
      <w:r w:rsidRPr="00DD58B1">
        <w:rPr>
          <w:rFonts w:cstheme="minorHAnsi"/>
          <w:i w:val="0"/>
          <w:sz w:val="22"/>
          <w:szCs w:val="22"/>
        </w:rPr>
        <w:t>green</w:t>
      </w:r>
      <w:r w:rsidRPr="00DD58B1">
        <w:rPr>
          <w:rFonts w:cstheme="minorHAnsi"/>
          <w:sz w:val="22"/>
          <w:szCs w:val="22"/>
        </w:rPr>
        <w:t xml:space="preserve"> </w:t>
      </w:r>
      <w:r w:rsidRPr="00DD58B1">
        <w:rPr>
          <w:rFonts w:cstheme="minorHAnsi"/>
          <w:i w:val="0"/>
          <w:sz w:val="22"/>
          <w:szCs w:val="22"/>
        </w:rPr>
        <w:t>Δ</w:t>
      </w:r>
      <w:r w:rsidRPr="00DD58B1">
        <w:rPr>
          <w:rFonts w:cstheme="minorHAnsi"/>
          <w:sz w:val="22"/>
          <w:szCs w:val="22"/>
        </w:rPr>
        <w:t xml:space="preserve">Dnmt5, </w:t>
      </w:r>
      <w:r w:rsidRPr="00DD58B1">
        <w:rPr>
          <w:rFonts w:cstheme="minorHAnsi"/>
          <w:i w:val="0"/>
          <w:sz w:val="22"/>
          <w:szCs w:val="22"/>
        </w:rPr>
        <w:t>teal</w:t>
      </w:r>
      <w:r w:rsidRPr="00DD58B1">
        <w:rPr>
          <w:rFonts w:cstheme="minorHAnsi"/>
          <w:sz w:val="22"/>
          <w:szCs w:val="22"/>
        </w:rPr>
        <w:t xml:space="preserve"> </w:t>
      </w:r>
      <w:r w:rsidRPr="00DD58B1">
        <w:rPr>
          <w:rFonts w:cstheme="minorHAnsi"/>
          <w:i w:val="0"/>
          <w:sz w:val="22"/>
          <w:szCs w:val="22"/>
        </w:rPr>
        <w:t>Δ</w:t>
      </w:r>
      <w:r w:rsidRPr="00DD58B1">
        <w:rPr>
          <w:rFonts w:cstheme="minorHAnsi"/>
          <w:sz w:val="22"/>
          <w:szCs w:val="22"/>
        </w:rPr>
        <w:t>Dim2-</w:t>
      </w:r>
      <w:r w:rsidRPr="00DD58B1">
        <w:rPr>
          <w:rFonts w:cstheme="minorHAnsi"/>
          <w:i w:val="0"/>
          <w:sz w:val="22"/>
          <w:szCs w:val="22"/>
        </w:rPr>
        <w:t>Δ</w:t>
      </w:r>
      <w:r w:rsidRPr="00DD58B1">
        <w:rPr>
          <w:rFonts w:cstheme="minorHAnsi"/>
          <w:sz w:val="22"/>
          <w:szCs w:val="22"/>
        </w:rPr>
        <w:t xml:space="preserve">Dnmt5, </w:t>
      </w:r>
      <w:r w:rsidRPr="00DD58B1">
        <w:rPr>
          <w:rFonts w:cstheme="minorHAnsi"/>
          <w:i w:val="0"/>
          <w:sz w:val="22"/>
          <w:szCs w:val="22"/>
        </w:rPr>
        <w:t>blue</w:t>
      </w:r>
      <w:r w:rsidRPr="00DD58B1">
        <w:rPr>
          <w:rFonts w:cstheme="minorHAnsi"/>
          <w:sz w:val="22"/>
          <w:szCs w:val="22"/>
        </w:rPr>
        <w:t xml:space="preserve"> </w:t>
      </w:r>
      <w:proofErr w:type="spellStart"/>
      <w:r w:rsidRPr="00DD58B1">
        <w:rPr>
          <w:rFonts w:cstheme="minorHAnsi"/>
          <w:i w:val="0"/>
          <w:sz w:val="22"/>
          <w:szCs w:val="22"/>
        </w:rPr>
        <w:t>Δ</w:t>
      </w:r>
      <w:r w:rsidRPr="00DD58B1">
        <w:rPr>
          <w:rFonts w:cstheme="minorHAnsi"/>
          <w:sz w:val="22"/>
          <w:szCs w:val="22"/>
        </w:rPr>
        <w:t>Rid</w:t>
      </w:r>
      <w:proofErr w:type="spellEnd"/>
      <w:r w:rsidRPr="00DD58B1">
        <w:rPr>
          <w:rFonts w:cstheme="minorHAnsi"/>
          <w:sz w:val="22"/>
          <w:szCs w:val="22"/>
        </w:rPr>
        <w:t xml:space="preserve">, </w:t>
      </w:r>
      <w:r w:rsidRPr="00DD58B1">
        <w:rPr>
          <w:rFonts w:cstheme="minorHAnsi"/>
          <w:i w:val="0"/>
          <w:sz w:val="22"/>
          <w:szCs w:val="22"/>
        </w:rPr>
        <w:t>purple</w:t>
      </w:r>
      <w:r w:rsidRPr="00DD58B1">
        <w:rPr>
          <w:rFonts w:cstheme="minorHAnsi"/>
          <w:sz w:val="22"/>
          <w:szCs w:val="22"/>
        </w:rPr>
        <w:t xml:space="preserve"> </w:t>
      </w:r>
      <w:r w:rsidRPr="00DD58B1">
        <w:rPr>
          <w:rFonts w:cstheme="minorHAnsi"/>
          <w:i w:val="0"/>
          <w:sz w:val="22"/>
          <w:szCs w:val="22"/>
        </w:rPr>
        <w:t>Δ</w:t>
      </w:r>
      <w:r w:rsidRPr="00DD58B1">
        <w:rPr>
          <w:rFonts w:cstheme="minorHAnsi"/>
          <w:sz w:val="22"/>
          <w:szCs w:val="22"/>
        </w:rPr>
        <w:t xml:space="preserve">Hp1. </w:t>
      </w:r>
      <w:r w:rsidRPr="00DD58B1">
        <w:rPr>
          <w:rFonts w:cstheme="minorHAnsi"/>
          <w:i w:val="0"/>
          <w:sz w:val="22"/>
          <w:szCs w:val="22"/>
        </w:rPr>
        <w:t xml:space="preserve">Previously defined LS regions </w:t>
      </w:r>
      <w:r w:rsidRPr="00DD58B1">
        <w:rPr>
          <w:rFonts w:cstheme="minorHAnsi"/>
          <w:i w:val="0"/>
          <w:sz w:val="22"/>
          <w:szCs w:val="22"/>
        </w:rPr>
        <w:fldChar w:fldCharType="begin" w:fldLock="1"/>
      </w:r>
      <w:r w:rsidRPr="00DD58B1">
        <w:rPr>
          <w:rFonts w:cstheme="minorHAnsi"/>
          <w:i w:val="0"/>
          <w:sz w:val="22"/>
          <w:szCs w:val="22"/>
        </w:rPr>
        <w:instrText>ADDIN CSL_CITATION {"citationItems":[{"id":"ITEM-1","itemData":{"author":[{"dropping-particle":"","family":"Cook","given":"David E.","non-dropping-particle":"","parse-names":false,"suffix":""},{"dropping-particle":"","family":"Kramer","given":"H. Martin","non-dropping-particle":"","parse-names":false,"suffix":""},{"dropping-particle":"","family":"Seidl","given":"Michael F.","non-dropping-particle":"","parse-names":false,"suffix":""},{"dropping-particle":"","family":"Thomma","given":"Bart P. H. J.","non-dropping-particle":"","parse-names":false,"suffix":""}],"container-title":"bioRxiv","id":"ITEM-1","issued":{"date-parts":[["2020"]]},"page":"doi: 10.1101/2020.01.27.921486","title":"Chromatin features define adaptive genomic regions in a fungal plant pathogen","type":"article-journal"},"uris":["http://www.mendeley.com/documents/?uuid=cdb645ee-1043-4726-a40b-afd2c3de46fa"]}],"mendeley":{"formattedCitation":"(Cook &lt;i&gt;et al.&lt;/i&gt;, 2020)","plainTextFormattedCitation":"(Cook et al., 2020)","previouslyFormattedCitation":"(Cook &lt;i&gt;et al.&lt;/i&gt;, 2020)"},"properties":{"noteIndex":0},"schema":"https://github.com/citation-style-language/schema/raw/master/csl-citation.json"}</w:instrText>
      </w:r>
      <w:r w:rsidRPr="00DD58B1">
        <w:rPr>
          <w:rFonts w:cstheme="minorHAnsi"/>
          <w:i w:val="0"/>
          <w:sz w:val="22"/>
          <w:szCs w:val="22"/>
        </w:rPr>
        <w:fldChar w:fldCharType="separate"/>
      </w:r>
      <w:r w:rsidRPr="00DD58B1">
        <w:rPr>
          <w:rFonts w:cstheme="minorHAnsi"/>
          <w:i w:val="0"/>
          <w:noProof/>
          <w:sz w:val="22"/>
          <w:szCs w:val="22"/>
        </w:rPr>
        <w:t xml:space="preserve">(Cook </w:t>
      </w:r>
      <w:r w:rsidRPr="00DD58B1">
        <w:rPr>
          <w:rFonts w:cstheme="minorHAnsi"/>
          <w:noProof/>
          <w:sz w:val="22"/>
          <w:szCs w:val="22"/>
        </w:rPr>
        <w:t>et al.</w:t>
      </w:r>
      <w:r w:rsidRPr="00DD58B1">
        <w:rPr>
          <w:rFonts w:cstheme="minorHAnsi"/>
          <w:i w:val="0"/>
          <w:noProof/>
          <w:sz w:val="22"/>
          <w:szCs w:val="22"/>
        </w:rPr>
        <w:t>, 2020)</w:t>
      </w:r>
      <w:r w:rsidRPr="00DD58B1">
        <w:rPr>
          <w:rFonts w:cstheme="minorHAnsi"/>
          <w:i w:val="0"/>
          <w:sz w:val="22"/>
          <w:szCs w:val="22"/>
        </w:rPr>
        <w:fldChar w:fldCharType="end"/>
      </w:r>
      <w:r w:rsidRPr="00DD58B1">
        <w:rPr>
          <w:rFonts w:cstheme="minorHAnsi"/>
          <w:i w:val="0"/>
          <w:sz w:val="22"/>
          <w:szCs w:val="22"/>
        </w:rPr>
        <w:t xml:space="preserve"> are highlighted in yellow.</w:t>
      </w:r>
    </w:p>
    <w:p w14:paraId="5C0365B8" w14:textId="77777777" w:rsidR="00DD58B1" w:rsidRPr="002327CC" w:rsidRDefault="00DD58B1" w:rsidP="00DD58B1">
      <w:pPr>
        <w:keepNext/>
        <w:rPr>
          <w:rFonts w:cstheme="minorHAnsi"/>
        </w:rPr>
      </w:pPr>
    </w:p>
    <w:p w14:paraId="09623DFB" w14:textId="77777777" w:rsidR="00DD58B1" w:rsidRPr="002327CC" w:rsidRDefault="00DD58B1" w:rsidP="00DD58B1">
      <w:pPr>
        <w:keepNext/>
        <w:rPr>
          <w:rFonts w:cstheme="minorHAnsi"/>
        </w:rPr>
      </w:pPr>
      <w:r w:rsidRPr="002327CC">
        <w:rPr>
          <w:rFonts w:cstheme="minorHAnsi"/>
          <w:noProof/>
        </w:rPr>
        <w:drawing>
          <wp:inline distT="0" distB="0" distL="0" distR="0" wp14:anchorId="2CCFAD77" wp14:editId="363E73C4">
            <wp:extent cx="5586984" cy="17983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Sup_Dnmt5_domainprediction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AF59" w14:textId="77777777" w:rsidR="00DD58B1" w:rsidRDefault="00DD58B1" w:rsidP="00DD58B1">
      <w:pPr>
        <w:pStyle w:val="Caption"/>
        <w:rPr>
          <w:rFonts w:cstheme="minorHAnsi"/>
          <w:b/>
          <w:i w:val="0"/>
          <w:sz w:val="22"/>
          <w:szCs w:val="22"/>
        </w:rPr>
      </w:pPr>
    </w:p>
    <w:p w14:paraId="1598D870" w14:textId="18BBC193" w:rsidR="00DD58B1" w:rsidRDefault="00DD58B1" w:rsidP="00DD58B1">
      <w:pPr>
        <w:pStyle w:val="Caption"/>
        <w:rPr>
          <w:rFonts w:cstheme="minorHAnsi"/>
          <w:i w:val="0"/>
          <w:sz w:val="22"/>
          <w:szCs w:val="22"/>
        </w:rPr>
      </w:pPr>
      <w:r w:rsidRPr="00DD58B1">
        <w:rPr>
          <w:rFonts w:cstheme="minorHAnsi"/>
          <w:b/>
          <w:i w:val="0"/>
          <w:sz w:val="22"/>
          <w:szCs w:val="22"/>
        </w:rPr>
        <w:t xml:space="preserve">Figure S6. </w:t>
      </w:r>
      <w:r w:rsidRPr="00DD58B1">
        <w:rPr>
          <w:rFonts w:cstheme="minorHAnsi"/>
          <w:i w:val="0"/>
          <w:sz w:val="22"/>
          <w:szCs w:val="22"/>
        </w:rPr>
        <w:t xml:space="preserve">Comparison of protein domain structure of </w:t>
      </w:r>
      <w:r w:rsidRPr="00DD58B1">
        <w:rPr>
          <w:rFonts w:cstheme="minorHAnsi"/>
          <w:sz w:val="22"/>
          <w:szCs w:val="22"/>
        </w:rPr>
        <w:t xml:space="preserve">C. neoformans </w:t>
      </w:r>
      <w:r w:rsidRPr="00DD58B1">
        <w:rPr>
          <w:rFonts w:cstheme="minorHAnsi"/>
          <w:i w:val="0"/>
          <w:sz w:val="22"/>
          <w:szCs w:val="22"/>
        </w:rPr>
        <w:t xml:space="preserve">and </w:t>
      </w:r>
      <w:r w:rsidRPr="00DD58B1">
        <w:rPr>
          <w:rFonts w:cstheme="minorHAnsi"/>
          <w:sz w:val="22"/>
          <w:szCs w:val="22"/>
        </w:rPr>
        <w:t xml:space="preserve">V. </w:t>
      </w:r>
      <w:proofErr w:type="spellStart"/>
      <w:r w:rsidRPr="00DD58B1">
        <w:rPr>
          <w:rFonts w:cstheme="minorHAnsi"/>
          <w:sz w:val="22"/>
          <w:szCs w:val="22"/>
        </w:rPr>
        <w:t>dahliae</w:t>
      </w:r>
      <w:proofErr w:type="spellEnd"/>
      <w:r w:rsidRPr="00DD58B1">
        <w:rPr>
          <w:rFonts w:cstheme="minorHAnsi"/>
          <w:sz w:val="22"/>
          <w:szCs w:val="22"/>
        </w:rPr>
        <w:t xml:space="preserve"> </w:t>
      </w:r>
      <w:r w:rsidRPr="00DD58B1">
        <w:rPr>
          <w:rFonts w:cstheme="minorHAnsi"/>
          <w:i w:val="0"/>
          <w:sz w:val="22"/>
          <w:szCs w:val="22"/>
        </w:rPr>
        <w:t>Dnmt5.</w:t>
      </w:r>
    </w:p>
    <w:p w14:paraId="75FDF1F3" w14:textId="77777777" w:rsidR="00DD58B1" w:rsidRDefault="00DD58B1">
      <w:pPr>
        <w:rPr>
          <w:rFonts w:cstheme="minorHAnsi"/>
          <w:iCs/>
          <w:color w:val="44546A" w:themeColor="text2"/>
          <w:sz w:val="22"/>
          <w:szCs w:val="22"/>
        </w:rPr>
      </w:pPr>
      <w:r>
        <w:rPr>
          <w:rFonts w:cstheme="minorHAnsi"/>
          <w:i/>
          <w:sz w:val="22"/>
          <w:szCs w:val="22"/>
        </w:rPr>
        <w:br w:type="page"/>
      </w:r>
    </w:p>
    <w:p w14:paraId="58AA4F94" w14:textId="77777777" w:rsidR="00DD58B1" w:rsidRPr="00DD58B1" w:rsidRDefault="00DD58B1" w:rsidP="00DD58B1">
      <w:pPr>
        <w:pStyle w:val="Caption"/>
        <w:rPr>
          <w:rFonts w:cstheme="minorHAnsi"/>
          <w:i w:val="0"/>
          <w:sz w:val="22"/>
          <w:szCs w:val="22"/>
        </w:rPr>
      </w:pPr>
    </w:p>
    <w:p w14:paraId="5CE55527" w14:textId="77777777" w:rsidR="00DD58B1" w:rsidRPr="002327CC" w:rsidRDefault="00DD58B1" w:rsidP="00DD58B1">
      <w:pPr>
        <w:keepNext/>
        <w:rPr>
          <w:rFonts w:cstheme="minorHAnsi"/>
        </w:rPr>
      </w:pPr>
      <w:r w:rsidRPr="002327CC">
        <w:rPr>
          <w:rFonts w:cstheme="minorHAnsi"/>
          <w:noProof/>
        </w:rPr>
        <w:drawing>
          <wp:inline distT="0" distB="0" distL="0" distR="0" wp14:anchorId="14EBEF43" wp14:editId="6B97D5E1">
            <wp:extent cx="3352352" cy="198706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_H3K9me3_domains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248" cy="200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F69" w14:textId="7ED07F71" w:rsidR="00DD58B1" w:rsidRPr="00DD58B1" w:rsidRDefault="00DD58B1" w:rsidP="00DD58B1">
      <w:pPr>
        <w:pStyle w:val="Caption"/>
        <w:rPr>
          <w:rFonts w:cstheme="minorHAnsi"/>
          <w:b/>
          <w:i w:val="0"/>
          <w:sz w:val="22"/>
          <w:szCs w:val="22"/>
        </w:rPr>
      </w:pPr>
      <w:r w:rsidRPr="00DD58B1">
        <w:rPr>
          <w:rFonts w:cstheme="minorHAnsi"/>
          <w:b/>
          <w:i w:val="0"/>
          <w:sz w:val="22"/>
          <w:szCs w:val="22"/>
        </w:rPr>
        <w:t>Figure S7. Distribution of H3K9me3 domain lengths</w:t>
      </w:r>
      <w:r w:rsidRPr="00DD58B1">
        <w:rPr>
          <w:rFonts w:cstheme="minorHAnsi"/>
          <w:b/>
          <w:i w:val="0"/>
          <w:sz w:val="22"/>
          <w:szCs w:val="22"/>
        </w:rPr>
        <w:t>.</w:t>
      </w:r>
    </w:p>
    <w:p w14:paraId="1FB61481" w14:textId="77777777" w:rsidR="00DD58B1" w:rsidRDefault="00DD58B1">
      <w:pPr>
        <w:rPr>
          <w:rFonts w:cstheme="minorHAnsi"/>
          <w:b/>
          <w:iCs/>
          <w:color w:val="44546A" w:themeColor="text2"/>
          <w:sz w:val="22"/>
          <w:szCs w:val="22"/>
        </w:rPr>
      </w:pPr>
      <w:r>
        <w:rPr>
          <w:rFonts w:cstheme="minorHAnsi"/>
          <w:b/>
          <w:i/>
          <w:sz w:val="22"/>
          <w:szCs w:val="22"/>
        </w:rPr>
        <w:br w:type="page"/>
      </w:r>
    </w:p>
    <w:p w14:paraId="46351E19" w14:textId="77777777" w:rsidR="00DD58B1" w:rsidRPr="00DD58B1" w:rsidRDefault="00DD58B1" w:rsidP="00DD58B1">
      <w:pPr>
        <w:pStyle w:val="Caption"/>
        <w:rPr>
          <w:rFonts w:cstheme="minorHAnsi"/>
          <w:b/>
          <w:i w:val="0"/>
          <w:sz w:val="22"/>
          <w:szCs w:val="22"/>
        </w:rPr>
      </w:pPr>
    </w:p>
    <w:p w14:paraId="618A8B9B" w14:textId="77777777" w:rsidR="00DD58B1" w:rsidRPr="002327CC" w:rsidRDefault="00DD58B1" w:rsidP="00DD58B1">
      <w:pPr>
        <w:keepNext/>
        <w:rPr>
          <w:rFonts w:cstheme="minorHAnsi"/>
        </w:rPr>
      </w:pPr>
      <w:r w:rsidRPr="002327CC">
        <w:rPr>
          <w:rFonts w:cstheme="minorHAnsi"/>
          <w:noProof/>
        </w:rPr>
        <w:drawing>
          <wp:inline distT="0" distB="0" distL="0" distR="0" wp14:anchorId="40C10D01" wp14:editId="1B888664">
            <wp:extent cx="3363059" cy="1978270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S_genes_densitydistribution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564" cy="198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A98B2" w14:textId="4F52F696" w:rsidR="00DD58B1" w:rsidRPr="00DD58B1" w:rsidRDefault="00DD58B1" w:rsidP="00DD58B1">
      <w:pPr>
        <w:pStyle w:val="Caption"/>
        <w:rPr>
          <w:rFonts w:cstheme="minorHAnsi"/>
          <w:b/>
          <w:i w:val="0"/>
          <w:sz w:val="22"/>
          <w:szCs w:val="22"/>
        </w:rPr>
      </w:pPr>
      <w:r w:rsidRPr="00DD58B1">
        <w:rPr>
          <w:rFonts w:cstheme="minorHAnsi"/>
          <w:b/>
          <w:i w:val="0"/>
          <w:sz w:val="22"/>
          <w:szCs w:val="22"/>
        </w:rPr>
        <w:t xml:space="preserve">Figure S8. Genes induced in </w:t>
      </w:r>
      <w:r w:rsidRPr="00DD58B1">
        <w:rPr>
          <w:rFonts w:cstheme="minorHAnsi"/>
          <w:b/>
          <w:sz w:val="22"/>
          <w:szCs w:val="22"/>
        </w:rPr>
        <w:t xml:space="preserve">Hp1 </w:t>
      </w:r>
      <w:r w:rsidRPr="00DD58B1">
        <w:rPr>
          <w:rFonts w:cstheme="minorHAnsi"/>
          <w:b/>
          <w:i w:val="0"/>
          <w:sz w:val="22"/>
          <w:szCs w:val="22"/>
        </w:rPr>
        <w:t xml:space="preserve">and </w:t>
      </w:r>
      <w:r w:rsidRPr="00DD58B1">
        <w:rPr>
          <w:rFonts w:cstheme="minorHAnsi"/>
          <w:b/>
          <w:sz w:val="22"/>
          <w:szCs w:val="22"/>
        </w:rPr>
        <w:t xml:space="preserve">Dim5 </w:t>
      </w:r>
      <w:r w:rsidRPr="00DD58B1">
        <w:rPr>
          <w:rFonts w:cstheme="minorHAnsi"/>
          <w:b/>
          <w:i w:val="0"/>
          <w:sz w:val="22"/>
          <w:szCs w:val="22"/>
        </w:rPr>
        <w:t>mutants cluster more often than expected based on chance.</w:t>
      </w:r>
    </w:p>
    <w:p w14:paraId="3CCAC3CA" w14:textId="77777777" w:rsidR="00DD58B1" w:rsidRDefault="00DD58B1">
      <w:pPr>
        <w:rPr>
          <w:rFonts w:cstheme="minorHAnsi"/>
          <w:b/>
          <w:iCs/>
          <w:color w:val="44546A" w:themeColor="text2"/>
          <w:sz w:val="18"/>
          <w:szCs w:val="18"/>
        </w:rPr>
      </w:pPr>
      <w:r>
        <w:rPr>
          <w:rFonts w:cstheme="minorHAnsi"/>
          <w:b/>
          <w:i/>
        </w:rPr>
        <w:br w:type="page"/>
      </w:r>
    </w:p>
    <w:p w14:paraId="38D1450E" w14:textId="77777777" w:rsidR="00DD58B1" w:rsidRPr="002327CC" w:rsidRDefault="00DD58B1" w:rsidP="00DD58B1">
      <w:pPr>
        <w:pStyle w:val="Caption"/>
        <w:rPr>
          <w:rFonts w:cstheme="minorHAnsi"/>
          <w:b/>
          <w:i w:val="0"/>
        </w:rPr>
      </w:pPr>
    </w:p>
    <w:p w14:paraId="6660A0E8" w14:textId="77777777" w:rsidR="00DD58B1" w:rsidRPr="002327CC" w:rsidRDefault="00DD58B1" w:rsidP="00DD58B1">
      <w:pPr>
        <w:keepNext/>
        <w:rPr>
          <w:rFonts w:cstheme="minorHAnsi"/>
        </w:rPr>
      </w:pPr>
      <w:r w:rsidRPr="002327CC">
        <w:rPr>
          <w:rFonts w:cstheme="minorHAnsi"/>
          <w:noProof/>
        </w:rPr>
        <w:drawing>
          <wp:inline distT="0" distB="0" distL="0" distR="0" wp14:anchorId="6B285205" wp14:editId="21D6774E">
            <wp:extent cx="3686274" cy="2127739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S_TEs_densitydistribution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218" cy="214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BF9F" w14:textId="2F89B79E" w:rsidR="00DD58B1" w:rsidRPr="00DD58B1" w:rsidRDefault="00DD58B1" w:rsidP="00DD58B1">
      <w:pPr>
        <w:pStyle w:val="Caption"/>
        <w:rPr>
          <w:rFonts w:cstheme="minorHAnsi"/>
          <w:b/>
          <w:i w:val="0"/>
          <w:sz w:val="22"/>
          <w:szCs w:val="22"/>
        </w:rPr>
      </w:pPr>
      <w:r w:rsidRPr="00DD58B1">
        <w:rPr>
          <w:rFonts w:cstheme="minorHAnsi"/>
          <w:b/>
          <w:i w:val="0"/>
          <w:sz w:val="22"/>
          <w:szCs w:val="22"/>
        </w:rPr>
        <w:t xml:space="preserve">Figure S9. Transposons induced in </w:t>
      </w:r>
      <w:r w:rsidRPr="00DD58B1">
        <w:rPr>
          <w:rFonts w:cstheme="minorHAnsi"/>
          <w:b/>
          <w:sz w:val="22"/>
          <w:szCs w:val="22"/>
        </w:rPr>
        <w:t xml:space="preserve">Hp1 </w:t>
      </w:r>
      <w:r w:rsidRPr="00DD58B1">
        <w:rPr>
          <w:rFonts w:cstheme="minorHAnsi"/>
          <w:b/>
          <w:i w:val="0"/>
          <w:sz w:val="22"/>
          <w:szCs w:val="22"/>
        </w:rPr>
        <w:t xml:space="preserve">and </w:t>
      </w:r>
      <w:r w:rsidRPr="00DD58B1">
        <w:rPr>
          <w:rFonts w:cstheme="minorHAnsi"/>
          <w:b/>
          <w:sz w:val="22"/>
          <w:szCs w:val="22"/>
        </w:rPr>
        <w:t xml:space="preserve">Dim5 </w:t>
      </w:r>
      <w:r w:rsidRPr="00DD58B1">
        <w:rPr>
          <w:rFonts w:cstheme="minorHAnsi"/>
          <w:b/>
          <w:i w:val="0"/>
          <w:sz w:val="22"/>
          <w:szCs w:val="22"/>
        </w:rPr>
        <w:t>mutants cluster more often than expected based on chance</w:t>
      </w:r>
      <w:r w:rsidRPr="00DD58B1">
        <w:rPr>
          <w:rFonts w:cstheme="minorHAnsi"/>
          <w:b/>
          <w:i w:val="0"/>
          <w:sz w:val="22"/>
          <w:szCs w:val="22"/>
        </w:rPr>
        <w:t>.</w:t>
      </w:r>
    </w:p>
    <w:p w14:paraId="5155F7BF" w14:textId="77777777" w:rsidR="00DD58B1" w:rsidRDefault="00DD58B1">
      <w:pPr>
        <w:rPr>
          <w:rFonts w:cstheme="minorHAnsi"/>
          <w:b/>
          <w:iCs/>
          <w:color w:val="44546A" w:themeColor="text2"/>
          <w:sz w:val="18"/>
          <w:szCs w:val="18"/>
        </w:rPr>
      </w:pPr>
      <w:r>
        <w:rPr>
          <w:rFonts w:cstheme="minorHAnsi"/>
          <w:b/>
          <w:i/>
        </w:rPr>
        <w:br w:type="page"/>
      </w:r>
    </w:p>
    <w:p w14:paraId="10696E44" w14:textId="77777777" w:rsidR="00DD58B1" w:rsidRPr="002327CC" w:rsidRDefault="00DD58B1" w:rsidP="00DD58B1">
      <w:pPr>
        <w:keepNext/>
        <w:rPr>
          <w:rFonts w:cstheme="minorHAnsi"/>
        </w:rPr>
      </w:pPr>
      <w:r w:rsidRPr="002327CC">
        <w:rPr>
          <w:rFonts w:cstheme="minorHAnsi"/>
          <w:noProof/>
        </w:rPr>
        <w:lastRenderedPageBreak/>
        <w:drawing>
          <wp:inline distT="0" distB="0" distL="0" distR="0" wp14:anchorId="0E76D6E0" wp14:editId="001E0447">
            <wp:extent cx="5766816" cy="3477768"/>
            <wp:effectExtent l="0" t="0" r="571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up7_Genome_inducedGeneTE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347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D263" w14:textId="77777777" w:rsidR="00DD58B1" w:rsidRPr="002327CC" w:rsidRDefault="00DD58B1" w:rsidP="00DD58B1">
      <w:pPr>
        <w:keepNext/>
        <w:rPr>
          <w:rFonts w:cstheme="minorHAnsi"/>
        </w:rPr>
      </w:pPr>
    </w:p>
    <w:p w14:paraId="58983B80" w14:textId="2CBCD30E" w:rsidR="00DD58B1" w:rsidRPr="00DD58B1" w:rsidRDefault="00DD58B1" w:rsidP="00DD58B1">
      <w:pPr>
        <w:pStyle w:val="Caption"/>
        <w:rPr>
          <w:rFonts w:cstheme="minorHAnsi"/>
          <w:b/>
          <w:i w:val="0"/>
          <w:sz w:val="22"/>
          <w:szCs w:val="22"/>
          <w:lang w:val="en-GB"/>
        </w:rPr>
      </w:pPr>
      <w:r w:rsidRPr="00DD58B1">
        <w:rPr>
          <w:rFonts w:cstheme="minorHAnsi"/>
          <w:b/>
          <w:i w:val="0"/>
          <w:sz w:val="22"/>
          <w:szCs w:val="22"/>
        </w:rPr>
        <w:t xml:space="preserve">Figure S10. Clusters of genes and transposons over all chromosomes </w:t>
      </w:r>
      <w:r w:rsidRPr="00DD58B1">
        <w:rPr>
          <w:rFonts w:cstheme="minorHAnsi"/>
          <w:i w:val="0"/>
          <w:sz w:val="22"/>
          <w:szCs w:val="22"/>
        </w:rPr>
        <w:t xml:space="preserve">Whole-chromosome plots displaying the location of induced genes (in blue) and transposons (in red). Clusters of induced genes and transposons are indicated as blue and red rectangles, respectively. H3K9me3-ChIP signal along the chromosomes is indicated in green in the upper track. Previously defined LS regions </w:t>
      </w:r>
      <w:r w:rsidRPr="00DD58B1">
        <w:rPr>
          <w:rFonts w:cstheme="minorHAnsi"/>
          <w:i w:val="0"/>
          <w:sz w:val="22"/>
          <w:szCs w:val="22"/>
        </w:rPr>
        <w:fldChar w:fldCharType="begin" w:fldLock="1"/>
      </w:r>
      <w:r w:rsidRPr="00DD58B1">
        <w:rPr>
          <w:rFonts w:cstheme="minorHAnsi"/>
          <w:i w:val="0"/>
          <w:sz w:val="22"/>
          <w:szCs w:val="22"/>
        </w:rPr>
        <w:instrText>ADDIN CSL_CITATION {"citationItems":[{"id":"ITEM-1","itemData":{"author":[{"dropping-particle":"","family":"Cook","given":"David E.","non-dropping-particle":"","parse-names":false,"suffix":""},{"dropping-particle":"","family":"Kramer","given":"H. Martin","non-dropping-particle":"","parse-names":false,"suffix":""},{"dropping-particle":"","family":"Seidl","given":"Michael F.","non-dropping-particle":"","parse-names":false,"suffix":""},{"dropping-particle":"","family":"Thomma","given":"Bart P. H. J.","non-dropping-particle":"","parse-names":false,"suffix":""}],"container-title":"bioRxiv","id":"ITEM-1","issued":{"date-parts":[["2020"]]},"page":"doi: 10.1101/2020.01.27.921486","title":"Chromatin features define adaptive genomic regions in a fungal plant pathogen","type":"article-journal"},"uris":["http://www.mendeley.com/documents/?uuid=cdb645ee-1043-4726-a40b-afd2c3de46fa"]}],"mendeley":{"formattedCitation":"(Cook &lt;i&gt;et al.&lt;/i&gt;, 2020)","plainTextFormattedCitation":"(Cook et al., 2020)","previouslyFormattedCitation":"(Cook &lt;i&gt;et al.&lt;/i&gt;, 2020)"},"properties":{"noteIndex":0},"schema":"https://github.com/citation-style-language/schema/raw/master/csl-citation.json"}</w:instrText>
      </w:r>
      <w:r w:rsidRPr="00DD58B1">
        <w:rPr>
          <w:rFonts w:cstheme="minorHAnsi"/>
          <w:i w:val="0"/>
          <w:sz w:val="22"/>
          <w:szCs w:val="22"/>
        </w:rPr>
        <w:fldChar w:fldCharType="separate"/>
      </w:r>
      <w:r w:rsidRPr="00DD58B1">
        <w:rPr>
          <w:rFonts w:cstheme="minorHAnsi"/>
          <w:i w:val="0"/>
          <w:noProof/>
          <w:sz w:val="22"/>
          <w:szCs w:val="22"/>
        </w:rPr>
        <w:t xml:space="preserve">(Cook </w:t>
      </w:r>
      <w:r w:rsidRPr="00DD58B1">
        <w:rPr>
          <w:rFonts w:cstheme="minorHAnsi"/>
          <w:noProof/>
          <w:sz w:val="22"/>
          <w:szCs w:val="22"/>
        </w:rPr>
        <w:t>et al.</w:t>
      </w:r>
      <w:r w:rsidRPr="00DD58B1">
        <w:rPr>
          <w:rFonts w:cstheme="minorHAnsi"/>
          <w:i w:val="0"/>
          <w:noProof/>
          <w:sz w:val="22"/>
          <w:szCs w:val="22"/>
        </w:rPr>
        <w:t>, 2020)</w:t>
      </w:r>
      <w:r w:rsidRPr="00DD58B1">
        <w:rPr>
          <w:rFonts w:cstheme="minorHAnsi"/>
          <w:i w:val="0"/>
          <w:sz w:val="22"/>
          <w:szCs w:val="22"/>
        </w:rPr>
        <w:fldChar w:fldCharType="end"/>
      </w:r>
      <w:r w:rsidRPr="00DD58B1">
        <w:rPr>
          <w:rFonts w:cstheme="minorHAnsi"/>
          <w:i w:val="0"/>
          <w:sz w:val="22"/>
          <w:szCs w:val="22"/>
        </w:rPr>
        <w:t xml:space="preserve"> are highlighted in yellow.</w:t>
      </w:r>
    </w:p>
    <w:sectPr w:rsidR="00DD58B1" w:rsidRPr="00DD58B1" w:rsidSect="009562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8B1"/>
    <w:rsid w:val="0095625A"/>
    <w:rsid w:val="00DD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1329FE"/>
  <w15:chartTrackingRefBased/>
  <w15:docId w15:val="{4D043AAB-67EA-BD4F-82FB-41F235BB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8B1"/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58B1"/>
    <w:pPr>
      <w:keepNext/>
      <w:keepLines/>
      <w:spacing w:before="240" w:line="480" w:lineRule="auto"/>
      <w:outlineLvl w:val="0"/>
    </w:pPr>
    <w:rPr>
      <w:rFonts w:ascii="Times New Roman" w:eastAsiaTheme="majorEastAsia" w:hAnsi="Times New Roman" w:cstheme="majorBidi"/>
      <w:b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58B1"/>
    <w:rPr>
      <w:rFonts w:ascii="Times New Roman" w:eastAsiaTheme="majorEastAsia" w:hAnsi="Times New Roman" w:cstheme="majorBidi"/>
      <w:b/>
      <w:szCs w:val="32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DD58B1"/>
    <w:pPr>
      <w:spacing w:after="200"/>
    </w:pPr>
    <w:rPr>
      <w:i/>
      <w:iCs/>
      <w:color w:val="44546A" w:themeColor="text2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DD5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1294</Words>
  <Characters>7380</Characters>
  <Application>Microsoft Office Word</Application>
  <DocSecurity>0</DocSecurity>
  <Lines>61</Lines>
  <Paragraphs>17</Paragraphs>
  <ScaleCrop>false</ScaleCrop>
  <Company/>
  <LinksUpToDate>false</LinksUpToDate>
  <CharactersWithSpaces>8657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Thomma</dc:creator>
  <cp:keywords/>
  <dc:description/>
  <cp:lastModifiedBy>Bart Thomma</cp:lastModifiedBy>
  <cp:revision>2</cp:revision>
  <dcterms:created xsi:type="dcterms:W3CDTF">2020-08-26T16:40:00Z</dcterms:created>
  <dcterms:modified xsi:type="dcterms:W3CDTF">2020-08-26T16:45:00Z</dcterms:modified>
</cp:coreProperties>
</file>