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D353ED" w14:textId="77777777" w:rsidR="00997A5D" w:rsidRPr="00ED47C6" w:rsidRDefault="00997A5D" w:rsidP="00997A5D">
      <w:pPr>
        <w:spacing w:line="480" w:lineRule="auto"/>
        <w:rPr>
          <w:rFonts w:ascii="Arial" w:hAnsi="Arial" w:cs="Arial"/>
          <w:sz w:val="20"/>
        </w:rPr>
      </w:pPr>
      <w:r w:rsidRPr="00ED47C6">
        <w:rPr>
          <w:rFonts w:ascii="Arial" w:hAnsi="Arial" w:cs="Arial"/>
          <w:sz w:val="20"/>
        </w:rPr>
        <w:t>Supplementary Information for</w:t>
      </w:r>
    </w:p>
    <w:p w14:paraId="7F4752BB" w14:textId="77777777" w:rsidR="00997A5D" w:rsidRDefault="00997A5D" w:rsidP="00997A5D">
      <w:pPr>
        <w:spacing w:line="480" w:lineRule="auto"/>
        <w:rPr>
          <w:rFonts w:ascii="Arial" w:hAnsi="Arial" w:cs="Arial"/>
          <w:b/>
          <w:bCs/>
          <w:iCs/>
          <w:sz w:val="20"/>
        </w:rPr>
      </w:pPr>
      <w:r w:rsidRPr="00FD161B">
        <w:rPr>
          <w:rFonts w:ascii="Arial" w:hAnsi="Arial" w:cs="Arial"/>
          <w:b/>
          <w:bCs/>
          <w:i/>
          <w:sz w:val="20"/>
        </w:rPr>
        <w:t xml:space="preserve">Adhatoda Vasica </w:t>
      </w:r>
      <w:r w:rsidRPr="00FD161B">
        <w:rPr>
          <w:rFonts w:ascii="Arial" w:hAnsi="Arial" w:cs="Arial"/>
          <w:b/>
          <w:bCs/>
          <w:iCs/>
          <w:sz w:val="20"/>
        </w:rPr>
        <w:t>rescues the hypoxia dependent severe asthma symptoms and mitochondrial dysfunction</w:t>
      </w:r>
    </w:p>
    <w:p w14:paraId="6E3DD381" w14:textId="77777777" w:rsidR="00997A5D" w:rsidRPr="001C0F5C" w:rsidRDefault="00997A5D" w:rsidP="00997A5D">
      <w:pPr>
        <w:spacing w:line="480" w:lineRule="auto"/>
        <w:contextualSpacing/>
        <w:rPr>
          <w:rFonts w:ascii="Arial" w:hAnsi="Arial" w:cs="Arial"/>
          <w:sz w:val="20"/>
          <w:szCs w:val="20"/>
          <w:vertAlign w:val="superscript"/>
          <w:lang w:val="en-GB"/>
        </w:rPr>
      </w:pPr>
      <w:r w:rsidRPr="001C0F5C">
        <w:rPr>
          <w:rFonts w:ascii="Arial" w:hAnsi="Arial" w:cs="Arial"/>
          <w:sz w:val="20"/>
          <w:szCs w:val="20"/>
          <w:lang w:val="en-GB"/>
        </w:rPr>
        <w:t>Atish Gheware</w:t>
      </w:r>
      <w:r w:rsidRPr="001C0F5C">
        <w:rPr>
          <w:rFonts w:ascii="Arial" w:hAnsi="Arial" w:cs="Arial"/>
          <w:sz w:val="20"/>
          <w:szCs w:val="20"/>
          <w:vertAlign w:val="superscript"/>
          <w:lang w:val="en-GB"/>
        </w:rPr>
        <w:t>1,2,3,5</w:t>
      </w:r>
      <w:r w:rsidRPr="001C0F5C">
        <w:rPr>
          <w:rFonts w:ascii="Arial" w:hAnsi="Arial" w:cs="Arial"/>
          <w:sz w:val="20"/>
          <w:szCs w:val="20"/>
          <w:lang w:val="en-GB"/>
        </w:rPr>
        <w:t>, Lipsa Panda</w:t>
      </w:r>
      <w:r w:rsidRPr="001C0F5C">
        <w:rPr>
          <w:rFonts w:ascii="Arial" w:hAnsi="Arial" w:cs="Arial"/>
          <w:sz w:val="20"/>
          <w:szCs w:val="20"/>
          <w:vertAlign w:val="superscript"/>
          <w:lang w:val="en-GB"/>
        </w:rPr>
        <w:t>4,5</w:t>
      </w:r>
      <w:r w:rsidRPr="001C0F5C">
        <w:rPr>
          <w:rFonts w:ascii="Arial" w:hAnsi="Arial" w:cs="Arial"/>
          <w:sz w:val="20"/>
          <w:szCs w:val="20"/>
          <w:lang w:val="en-GB"/>
        </w:rPr>
        <w:t>, Kritika Khanna</w:t>
      </w:r>
      <w:r w:rsidRPr="001C0F5C">
        <w:rPr>
          <w:rFonts w:ascii="Arial" w:hAnsi="Arial" w:cs="Arial"/>
          <w:sz w:val="20"/>
          <w:szCs w:val="20"/>
          <w:vertAlign w:val="superscript"/>
          <w:lang w:val="en-GB"/>
        </w:rPr>
        <w:t>4,5</w:t>
      </w:r>
      <w:r w:rsidRPr="001C0F5C">
        <w:rPr>
          <w:rFonts w:ascii="Arial" w:hAnsi="Arial" w:cs="Arial"/>
          <w:sz w:val="20"/>
          <w:szCs w:val="20"/>
          <w:lang w:val="en-GB"/>
        </w:rPr>
        <w:t>,</w:t>
      </w:r>
      <w:r>
        <w:rPr>
          <w:rFonts w:ascii="Arial" w:hAnsi="Arial" w:cs="Arial"/>
          <w:sz w:val="20"/>
          <w:szCs w:val="20"/>
          <w:lang w:val="en-GB"/>
        </w:rPr>
        <w:t xml:space="preserve"> </w:t>
      </w:r>
      <w:r w:rsidRPr="001C0F5C">
        <w:rPr>
          <w:rFonts w:ascii="Arial" w:hAnsi="Arial" w:cs="Arial"/>
          <w:sz w:val="20"/>
          <w:szCs w:val="20"/>
          <w:lang w:val="en-GB"/>
        </w:rPr>
        <w:t>Naveen Kumar Bhatraju</w:t>
      </w:r>
      <w:r w:rsidRPr="001C0F5C">
        <w:rPr>
          <w:rFonts w:ascii="Arial" w:hAnsi="Arial" w:cs="Arial"/>
          <w:sz w:val="20"/>
          <w:szCs w:val="20"/>
          <w:vertAlign w:val="superscript"/>
          <w:lang w:val="en-GB"/>
        </w:rPr>
        <w:t>4</w:t>
      </w:r>
      <w:r w:rsidRPr="001C0F5C">
        <w:rPr>
          <w:rFonts w:ascii="Arial" w:hAnsi="Arial" w:cs="Arial"/>
          <w:sz w:val="20"/>
          <w:szCs w:val="20"/>
          <w:lang w:val="en-GB"/>
        </w:rPr>
        <w:t>,</w:t>
      </w:r>
      <w:r>
        <w:rPr>
          <w:rFonts w:ascii="Arial" w:hAnsi="Arial" w:cs="Arial"/>
          <w:sz w:val="20"/>
          <w:szCs w:val="20"/>
          <w:lang w:val="en-GB"/>
        </w:rPr>
        <w:t xml:space="preserve"> </w:t>
      </w:r>
      <w:r w:rsidRPr="001C0F5C">
        <w:rPr>
          <w:rFonts w:ascii="Arial" w:hAnsi="Arial" w:cs="Arial"/>
          <w:sz w:val="20"/>
          <w:szCs w:val="20"/>
          <w:lang w:val="en-GB"/>
        </w:rPr>
        <w:t>Vaibhav Jain</w:t>
      </w:r>
      <w:r w:rsidRPr="001C0F5C">
        <w:rPr>
          <w:rFonts w:ascii="Arial" w:hAnsi="Arial" w:cs="Arial"/>
          <w:sz w:val="20"/>
          <w:szCs w:val="20"/>
          <w:vertAlign w:val="superscript"/>
          <w:lang w:val="en-GB"/>
        </w:rPr>
        <w:t>4,5</w:t>
      </w:r>
      <w:r w:rsidRPr="001C0F5C">
        <w:rPr>
          <w:rFonts w:ascii="Arial" w:hAnsi="Arial" w:cs="Arial"/>
          <w:sz w:val="20"/>
          <w:szCs w:val="20"/>
          <w:lang w:val="en-GB"/>
        </w:rPr>
        <w:t>,</w:t>
      </w:r>
      <w:r>
        <w:rPr>
          <w:rFonts w:ascii="Arial" w:hAnsi="Arial" w:cs="Arial"/>
          <w:sz w:val="20"/>
          <w:szCs w:val="20"/>
          <w:lang w:val="en-GB"/>
        </w:rPr>
        <w:t xml:space="preserve"> </w:t>
      </w:r>
      <w:r w:rsidRPr="001C0F5C">
        <w:rPr>
          <w:rFonts w:ascii="Arial" w:hAnsi="Arial" w:cs="Arial"/>
          <w:sz w:val="20"/>
          <w:szCs w:val="20"/>
          <w:lang w:val="en-GB"/>
        </w:rPr>
        <w:t>Shakti Sagar</w:t>
      </w:r>
      <w:r w:rsidRPr="001C0F5C">
        <w:rPr>
          <w:rFonts w:ascii="Arial" w:hAnsi="Arial" w:cs="Arial"/>
          <w:sz w:val="20"/>
          <w:szCs w:val="20"/>
          <w:vertAlign w:val="superscript"/>
          <w:lang w:val="en-GB"/>
        </w:rPr>
        <w:t>4,5</w:t>
      </w:r>
      <w:r w:rsidRPr="001C0F5C">
        <w:rPr>
          <w:rFonts w:ascii="Arial" w:hAnsi="Arial" w:cs="Arial"/>
          <w:sz w:val="20"/>
          <w:szCs w:val="20"/>
          <w:lang w:val="en-GB"/>
        </w:rPr>
        <w:t>, Manish Kumar</w:t>
      </w:r>
      <w:r w:rsidRPr="001C0F5C">
        <w:rPr>
          <w:rFonts w:ascii="Arial" w:hAnsi="Arial" w:cs="Arial"/>
          <w:sz w:val="20"/>
          <w:szCs w:val="20"/>
          <w:vertAlign w:val="superscript"/>
          <w:lang w:val="en-GB"/>
        </w:rPr>
        <w:t>4</w:t>
      </w:r>
      <w:r w:rsidRPr="001C0F5C">
        <w:rPr>
          <w:rFonts w:ascii="Arial" w:hAnsi="Arial" w:cs="Arial"/>
          <w:sz w:val="20"/>
          <w:szCs w:val="20"/>
          <w:lang w:val="en-GB"/>
        </w:rPr>
        <w:t>, Vijay Pal Singh</w:t>
      </w:r>
      <w:r w:rsidRPr="001C0F5C">
        <w:rPr>
          <w:rFonts w:ascii="Arial" w:hAnsi="Arial" w:cs="Arial"/>
          <w:sz w:val="20"/>
          <w:szCs w:val="20"/>
          <w:vertAlign w:val="superscript"/>
          <w:lang w:val="en-GB"/>
        </w:rPr>
        <w:t>4</w:t>
      </w:r>
      <w:r w:rsidRPr="001C0F5C">
        <w:rPr>
          <w:rFonts w:ascii="Arial" w:hAnsi="Arial" w:cs="Arial"/>
          <w:sz w:val="20"/>
          <w:szCs w:val="20"/>
          <w:lang w:val="en-GB"/>
        </w:rPr>
        <w:t xml:space="preserve">, </w:t>
      </w:r>
      <w:r>
        <w:rPr>
          <w:rFonts w:ascii="Arial" w:hAnsi="Arial" w:cs="Arial"/>
          <w:sz w:val="20"/>
          <w:szCs w:val="20"/>
          <w:lang w:val="en-GB"/>
        </w:rPr>
        <w:t>S Kannan</w:t>
      </w:r>
      <w:r w:rsidRPr="00073E25">
        <w:rPr>
          <w:rFonts w:ascii="Arial" w:hAnsi="Arial" w:cs="Arial"/>
          <w:sz w:val="20"/>
          <w:szCs w:val="20"/>
          <w:vertAlign w:val="superscript"/>
          <w:lang w:val="en-GB"/>
        </w:rPr>
        <w:t>6</w:t>
      </w:r>
      <w:r>
        <w:rPr>
          <w:rFonts w:ascii="Arial" w:hAnsi="Arial" w:cs="Arial"/>
          <w:sz w:val="20"/>
          <w:szCs w:val="20"/>
          <w:lang w:val="en-GB"/>
        </w:rPr>
        <w:t>, V Subramanian</w:t>
      </w:r>
      <w:r w:rsidRPr="00073E25">
        <w:rPr>
          <w:rFonts w:ascii="Arial" w:hAnsi="Arial" w:cs="Arial"/>
          <w:sz w:val="20"/>
          <w:szCs w:val="20"/>
          <w:vertAlign w:val="superscript"/>
          <w:lang w:val="en-GB"/>
        </w:rPr>
        <w:t>6</w:t>
      </w:r>
      <w:r w:rsidRPr="00167546">
        <w:rPr>
          <w:rFonts w:ascii="Arial" w:hAnsi="Arial" w:cs="Arial"/>
          <w:sz w:val="20"/>
          <w:szCs w:val="20"/>
          <w:lang w:val="en-GB"/>
        </w:rPr>
        <w:t>,</w:t>
      </w:r>
      <w:r w:rsidRPr="001C0F5C">
        <w:rPr>
          <w:rFonts w:ascii="Arial" w:hAnsi="Arial" w:cs="Arial"/>
          <w:sz w:val="20"/>
          <w:szCs w:val="20"/>
          <w:lang w:val="en-GB"/>
        </w:rPr>
        <w:t>Mitali Mukerji</w:t>
      </w:r>
      <w:r w:rsidRPr="001C0F5C">
        <w:rPr>
          <w:rFonts w:ascii="Arial" w:hAnsi="Arial" w:cs="Arial"/>
          <w:sz w:val="20"/>
          <w:szCs w:val="20"/>
          <w:vertAlign w:val="superscript"/>
          <w:lang w:val="en-GB"/>
        </w:rPr>
        <w:t>1,2,3,5</w:t>
      </w:r>
      <w:r w:rsidRPr="001C0F5C">
        <w:rPr>
          <w:rFonts w:ascii="Arial" w:hAnsi="Arial" w:cs="Arial"/>
          <w:sz w:val="20"/>
          <w:szCs w:val="20"/>
          <w:lang w:val="en-GB"/>
        </w:rPr>
        <w:t>, Anurag Agrawal</w:t>
      </w:r>
      <w:r w:rsidRPr="001C0F5C">
        <w:rPr>
          <w:rFonts w:ascii="Arial" w:hAnsi="Arial" w:cs="Arial"/>
          <w:sz w:val="20"/>
          <w:szCs w:val="20"/>
          <w:vertAlign w:val="superscript"/>
          <w:lang w:val="en-GB"/>
        </w:rPr>
        <w:t>4,5*</w:t>
      </w:r>
      <w:r w:rsidRPr="001C0F5C">
        <w:rPr>
          <w:rFonts w:ascii="Arial" w:hAnsi="Arial" w:cs="Arial"/>
          <w:sz w:val="20"/>
          <w:szCs w:val="20"/>
          <w:lang w:val="en-GB"/>
        </w:rPr>
        <w:t xml:space="preserve"> and Bhavana Prasher</w:t>
      </w:r>
      <w:r w:rsidRPr="001C0F5C">
        <w:rPr>
          <w:rFonts w:ascii="Arial" w:hAnsi="Arial" w:cs="Arial"/>
          <w:sz w:val="20"/>
          <w:szCs w:val="20"/>
          <w:vertAlign w:val="superscript"/>
          <w:lang w:val="en-GB"/>
        </w:rPr>
        <w:t>1,2,3,5*</w:t>
      </w:r>
    </w:p>
    <w:p w14:paraId="54E7FA91" w14:textId="77777777" w:rsidR="00997A5D" w:rsidRPr="001C0F5C" w:rsidRDefault="00997A5D" w:rsidP="00997A5D">
      <w:pPr>
        <w:numPr>
          <w:ilvl w:val="0"/>
          <w:numId w:val="1"/>
        </w:numPr>
        <w:spacing w:line="480" w:lineRule="auto"/>
        <w:contextualSpacing/>
        <w:rPr>
          <w:rFonts w:ascii="Arial" w:hAnsi="Arial" w:cs="Arial"/>
          <w:sz w:val="20"/>
          <w:szCs w:val="20"/>
        </w:rPr>
      </w:pPr>
      <w:r w:rsidRPr="001C0F5C">
        <w:rPr>
          <w:rFonts w:ascii="Arial" w:hAnsi="Arial" w:cs="Arial"/>
          <w:sz w:val="20"/>
          <w:szCs w:val="20"/>
        </w:rPr>
        <w:t>Genomics and Molecular Medicine, Council of Scientific and Industrial Research -Institute of Genomics and Integrative Biology (CSIR-IGIB), Delhi</w:t>
      </w:r>
      <w:r>
        <w:rPr>
          <w:rFonts w:ascii="Arial" w:hAnsi="Arial" w:cs="Arial"/>
          <w:sz w:val="20"/>
          <w:szCs w:val="20"/>
        </w:rPr>
        <w:t>-110007</w:t>
      </w:r>
      <w:r w:rsidRPr="001C0F5C">
        <w:rPr>
          <w:rFonts w:ascii="Arial" w:hAnsi="Arial" w:cs="Arial"/>
          <w:sz w:val="20"/>
          <w:szCs w:val="20"/>
        </w:rPr>
        <w:t>, India.</w:t>
      </w:r>
    </w:p>
    <w:p w14:paraId="62846C82" w14:textId="77777777" w:rsidR="00997A5D" w:rsidRPr="001C0F5C" w:rsidRDefault="00997A5D" w:rsidP="00997A5D">
      <w:pPr>
        <w:numPr>
          <w:ilvl w:val="0"/>
          <w:numId w:val="1"/>
        </w:numPr>
        <w:spacing w:line="480" w:lineRule="auto"/>
        <w:contextualSpacing/>
        <w:rPr>
          <w:rFonts w:ascii="Arial" w:hAnsi="Arial" w:cs="Arial"/>
          <w:sz w:val="20"/>
          <w:szCs w:val="20"/>
        </w:rPr>
      </w:pPr>
      <w:r w:rsidRPr="001C0F5C">
        <w:rPr>
          <w:rFonts w:ascii="Arial" w:hAnsi="Arial" w:cs="Arial"/>
          <w:sz w:val="20"/>
          <w:szCs w:val="20"/>
        </w:rPr>
        <w:t>CSIR’s Ayurgenomics Unit–TRISUTRA (Translational Research and Innovative Science ThRoughAyurgenomics) CSIR-IGIB, Delhi</w:t>
      </w:r>
      <w:r>
        <w:rPr>
          <w:rFonts w:ascii="Arial" w:hAnsi="Arial" w:cs="Arial"/>
          <w:sz w:val="20"/>
          <w:szCs w:val="20"/>
        </w:rPr>
        <w:t>-110007</w:t>
      </w:r>
      <w:r w:rsidRPr="001C0F5C">
        <w:rPr>
          <w:rFonts w:ascii="Arial" w:hAnsi="Arial" w:cs="Arial"/>
          <w:sz w:val="20"/>
          <w:szCs w:val="20"/>
        </w:rPr>
        <w:t>, India.</w:t>
      </w:r>
    </w:p>
    <w:p w14:paraId="0D439D48" w14:textId="77777777" w:rsidR="00997A5D" w:rsidRPr="001C0F5C" w:rsidRDefault="00997A5D" w:rsidP="00997A5D">
      <w:pPr>
        <w:numPr>
          <w:ilvl w:val="0"/>
          <w:numId w:val="1"/>
        </w:numPr>
        <w:spacing w:line="480" w:lineRule="auto"/>
        <w:contextualSpacing/>
        <w:rPr>
          <w:rFonts w:ascii="Arial" w:hAnsi="Arial" w:cs="Arial"/>
          <w:sz w:val="20"/>
          <w:szCs w:val="20"/>
        </w:rPr>
      </w:pPr>
      <w:r w:rsidRPr="001C0F5C">
        <w:rPr>
          <w:rFonts w:ascii="Arial" w:hAnsi="Arial" w:cs="Arial"/>
          <w:sz w:val="20"/>
          <w:szCs w:val="20"/>
        </w:rPr>
        <w:t>Centre of excellence for Applied Development of Ayurveda, Prakriti and Genomics, CSIR- IGIB, Delhi</w:t>
      </w:r>
      <w:r>
        <w:rPr>
          <w:rFonts w:ascii="Arial" w:hAnsi="Arial" w:cs="Arial"/>
          <w:sz w:val="20"/>
          <w:szCs w:val="20"/>
        </w:rPr>
        <w:t>-110007</w:t>
      </w:r>
      <w:r w:rsidRPr="001C0F5C">
        <w:rPr>
          <w:rFonts w:ascii="Arial" w:hAnsi="Arial" w:cs="Arial"/>
          <w:sz w:val="20"/>
          <w:szCs w:val="20"/>
        </w:rPr>
        <w:t xml:space="preserve">, India. </w:t>
      </w:r>
    </w:p>
    <w:p w14:paraId="75F595C4" w14:textId="77777777" w:rsidR="00997A5D" w:rsidRPr="001C0F5C" w:rsidRDefault="00997A5D" w:rsidP="00997A5D">
      <w:pPr>
        <w:numPr>
          <w:ilvl w:val="0"/>
          <w:numId w:val="1"/>
        </w:numPr>
        <w:spacing w:line="480" w:lineRule="auto"/>
        <w:contextualSpacing/>
        <w:rPr>
          <w:rFonts w:ascii="Arial" w:hAnsi="Arial" w:cs="Arial"/>
          <w:sz w:val="20"/>
          <w:szCs w:val="20"/>
        </w:rPr>
      </w:pPr>
      <w:r w:rsidRPr="001C0F5C">
        <w:rPr>
          <w:rFonts w:ascii="Arial" w:hAnsi="Arial" w:cs="Arial"/>
          <w:sz w:val="20"/>
          <w:szCs w:val="20"/>
        </w:rPr>
        <w:t>Centre of excellence for Translational Research in Asthma &amp; Lung disease, CSIR- IGIB, Delhi</w:t>
      </w:r>
      <w:r>
        <w:rPr>
          <w:rFonts w:ascii="Arial" w:hAnsi="Arial" w:cs="Arial"/>
          <w:sz w:val="20"/>
          <w:szCs w:val="20"/>
        </w:rPr>
        <w:t>-110007</w:t>
      </w:r>
      <w:r w:rsidRPr="001C0F5C">
        <w:rPr>
          <w:rFonts w:ascii="Arial" w:hAnsi="Arial" w:cs="Arial"/>
          <w:sz w:val="20"/>
          <w:szCs w:val="20"/>
        </w:rPr>
        <w:t>, India.</w:t>
      </w:r>
    </w:p>
    <w:p w14:paraId="697F6C66" w14:textId="77777777" w:rsidR="00997A5D" w:rsidRDefault="00997A5D" w:rsidP="00997A5D">
      <w:pPr>
        <w:numPr>
          <w:ilvl w:val="0"/>
          <w:numId w:val="1"/>
        </w:numPr>
        <w:spacing w:line="480" w:lineRule="auto"/>
        <w:contextualSpacing/>
        <w:rPr>
          <w:rFonts w:ascii="Arial" w:hAnsi="Arial" w:cs="Arial"/>
          <w:sz w:val="20"/>
          <w:szCs w:val="20"/>
        </w:rPr>
      </w:pPr>
      <w:r w:rsidRPr="00986C50">
        <w:rPr>
          <w:rFonts w:ascii="Arial" w:hAnsi="Arial" w:cs="Arial"/>
          <w:sz w:val="20"/>
          <w:szCs w:val="20"/>
        </w:rPr>
        <w:t>Academy of Scientific and Innovative Research (AcSIR), Ghaziabad-201002, India</w:t>
      </w:r>
      <w:r w:rsidRPr="001C0F5C">
        <w:rPr>
          <w:rFonts w:ascii="Arial" w:hAnsi="Arial" w:cs="Arial"/>
          <w:sz w:val="20"/>
          <w:szCs w:val="20"/>
        </w:rPr>
        <w:t>.</w:t>
      </w:r>
    </w:p>
    <w:p w14:paraId="586E69FB" w14:textId="77777777" w:rsidR="00997A5D" w:rsidRDefault="00997A5D" w:rsidP="00997A5D">
      <w:pPr>
        <w:numPr>
          <w:ilvl w:val="0"/>
          <w:numId w:val="1"/>
        </w:numPr>
        <w:spacing w:after="0" w:line="480" w:lineRule="auto"/>
        <w:jc w:val="both"/>
        <w:rPr>
          <w:rFonts w:ascii="Calibri" w:eastAsia="Calibri" w:hAnsi="Calibri" w:cs="Calibri"/>
          <w:color w:val="000000" w:themeColor="text1"/>
        </w:rPr>
      </w:pPr>
      <w:r>
        <w:rPr>
          <w:rFonts w:ascii="Calibri" w:eastAsia="Calibri" w:hAnsi="Calibri" w:cs="Calibri"/>
          <w:color w:val="000000" w:themeColor="text1"/>
        </w:rPr>
        <w:t xml:space="preserve">Center for High Computing, </w:t>
      </w:r>
      <w:r w:rsidRPr="00085F44">
        <w:rPr>
          <w:rFonts w:ascii="lato" w:hAnsi="lato"/>
          <w:color w:val="333333"/>
          <w:sz w:val="21"/>
          <w:szCs w:val="21"/>
          <w:shd w:val="clear" w:color="auto" w:fill="FFFFFF"/>
        </w:rPr>
        <w:t xml:space="preserve"> </w:t>
      </w:r>
      <w:r w:rsidRPr="00085F44">
        <w:rPr>
          <w:rFonts w:ascii="Calibri" w:eastAsia="Calibri" w:hAnsi="Calibri" w:cs="Calibri"/>
          <w:color w:val="000000" w:themeColor="text1"/>
        </w:rPr>
        <w:t>CSIR- Central Leather Research Institute</w:t>
      </w:r>
      <w:r>
        <w:rPr>
          <w:rFonts w:ascii="Calibri" w:eastAsia="Calibri" w:hAnsi="Calibri" w:cs="Calibri"/>
          <w:color w:val="000000" w:themeColor="text1"/>
        </w:rPr>
        <w:t xml:space="preserve"> (CLRI)</w:t>
      </w:r>
      <w:r w:rsidRPr="00085F44">
        <w:rPr>
          <w:rFonts w:ascii="Calibri" w:eastAsia="Calibri" w:hAnsi="Calibri" w:cs="Calibri"/>
          <w:color w:val="000000" w:themeColor="text1"/>
        </w:rPr>
        <w:t>, Chennai</w:t>
      </w:r>
      <w:r>
        <w:rPr>
          <w:rFonts w:ascii="Calibri" w:eastAsia="Calibri" w:hAnsi="Calibri" w:cs="Calibri"/>
          <w:color w:val="000000" w:themeColor="text1"/>
        </w:rPr>
        <w:t>-600020, India.</w:t>
      </w:r>
    </w:p>
    <w:p w14:paraId="1EE4B5BA" w14:textId="77777777" w:rsidR="00997A5D" w:rsidRPr="00C157B8" w:rsidRDefault="00997A5D" w:rsidP="00997A5D">
      <w:pPr>
        <w:numPr>
          <w:ilvl w:val="0"/>
          <w:numId w:val="1"/>
        </w:numPr>
        <w:spacing w:after="0" w:line="480" w:lineRule="auto"/>
        <w:jc w:val="both"/>
        <w:rPr>
          <w:rFonts w:ascii="Calibri" w:eastAsia="Calibri" w:hAnsi="Calibri" w:cs="Calibri"/>
          <w:color w:val="000000" w:themeColor="text1"/>
        </w:rPr>
      </w:pPr>
    </w:p>
    <w:p w14:paraId="471C577E" w14:textId="77777777" w:rsidR="00997A5D" w:rsidRPr="00721A78" w:rsidRDefault="00997A5D" w:rsidP="00997A5D">
      <w:pPr>
        <w:spacing w:line="480" w:lineRule="auto"/>
        <w:contextualSpacing/>
        <w:rPr>
          <w:rFonts w:ascii="Arial" w:hAnsi="Arial" w:cs="Arial"/>
          <w:color w:val="000000" w:themeColor="text1"/>
          <w:sz w:val="20"/>
          <w:lang w:val="en-GB"/>
        </w:rPr>
      </w:pPr>
      <w:r w:rsidRPr="00721A78">
        <w:rPr>
          <w:rFonts w:ascii="Arial" w:hAnsi="Arial" w:cs="Arial"/>
          <w:color w:val="000000" w:themeColor="text1"/>
          <w:sz w:val="20"/>
          <w:lang w:val="en-GB"/>
        </w:rPr>
        <w:t>*</w:t>
      </w:r>
      <w:r w:rsidRPr="00721A78">
        <w:rPr>
          <w:rFonts w:ascii="Arial" w:hAnsi="Arial" w:cs="Arial"/>
          <w:color w:val="000000" w:themeColor="text1"/>
          <w:sz w:val="20"/>
        </w:rPr>
        <w:t xml:space="preserve"> </w:t>
      </w:r>
      <w:hyperlink r:id="rId5" w:history="1">
        <w:r w:rsidRPr="00721A78">
          <w:rPr>
            <w:rStyle w:val="Hyperlink"/>
            <w:rFonts w:ascii="Arial" w:hAnsi="Arial" w:cs="Arial"/>
            <w:color w:val="000000" w:themeColor="text1"/>
            <w:sz w:val="20"/>
            <w:szCs w:val="20"/>
          </w:rPr>
          <w:t>bhavana.p@igib.res.in</w:t>
        </w:r>
      </w:hyperlink>
      <w:r w:rsidRPr="00721A78">
        <w:rPr>
          <w:rFonts w:ascii="Arial" w:hAnsi="Arial" w:cs="Arial"/>
          <w:color w:val="000000" w:themeColor="text1"/>
          <w:sz w:val="20"/>
          <w:szCs w:val="20"/>
        </w:rPr>
        <w:t xml:space="preserve">, </w:t>
      </w:r>
      <w:hyperlink r:id="rId6" w:history="1">
        <w:r w:rsidRPr="00721A78">
          <w:rPr>
            <w:rStyle w:val="Hyperlink"/>
            <w:rFonts w:ascii="Arial" w:hAnsi="Arial" w:cs="Arial"/>
            <w:color w:val="000000" w:themeColor="text1"/>
            <w:sz w:val="20"/>
            <w:szCs w:val="20"/>
          </w:rPr>
          <w:t>a.agrawal@igib.in</w:t>
        </w:r>
      </w:hyperlink>
    </w:p>
    <w:p w14:paraId="25555C16" w14:textId="77777777" w:rsidR="00997A5D" w:rsidRPr="00FD161B" w:rsidRDefault="00997A5D" w:rsidP="00997A5D">
      <w:pPr>
        <w:spacing w:line="480" w:lineRule="auto"/>
        <w:rPr>
          <w:rFonts w:ascii="Arial" w:hAnsi="Arial" w:cs="Arial"/>
          <w:b/>
          <w:bCs/>
          <w:iCs/>
          <w:sz w:val="20"/>
        </w:rPr>
      </w:pPr>
    </w:p>
    <w:p w14:paraId="56BA6D44" w14:textId="77777777" w:rsidR="00997A5D" w:rsidRPr="00ED47C6" w:rsidRDefault="00997A5D" w:rsidP="00997A5D">
      <w:pPr>
        <w:spacing w:line="480" w:lineRule="auto"/>
        <w:rPr>
          <w:rFonts w:ascii="Arial" w:hAnsi="Arial" w:cs="Arial"/>
          <w:sz w:val="20"/>
        </w:rPr>
      </w:pPr>
      <w:r w:rsidRPr="00ED47C6">
        <w:rPr>
          <w:rFonts w:ascii="Arial" w:hAnsi="Arial" w:cs="Arial"/>
          <w:sz w:val="20"/>
        </w:rPr>
        <w:t>Supplementary Information Text</w:t>
      </w:r>
    </w:p>
    <w:p w14:paraId="48FEA929" w14:textId="77777777" w:rsidR="00997A5D" w:rsidRPr="001C0F5C" w:rsidRDefault="00997A5D" w:rsidP="00997A5D">
      <w:pPr>
        <w:pStyle w:val="SMSubheading"/>
        <w:spacing w:line="480" w:lineRule="auto"/>
        <w:rPr>
          <w:rFonts w:ascii="Arial" w:hAnsi="Arial" w:cs="Arial"/>
          <w:b/>
          <w:sz w:val="20"/>
        </w:rPr>
      </w:pPr>
      <w:r w:rsidRPr="001C0F5C">
        <w:rPr>
          <w:rFonts w:ascii="Arial" w:hAnsi="Arial" w:cs="Arial"/>
          <w:b/>
          <w:sz w:val="20"/>
        </w:rPr>
        <w:t>Materials and Methods</w:t>
      </w:r>
    </w:p>
    <w:p w14:paraId="6CAC7377" w14:textId="77777777" w:rsidR="00997A5D" w:rsidRPr="001C0F5C" w:rsidRDefault="00997A5D" w:rsidP="00997A5D">
      <w:pPr>
        <w:pStyle w:val="SMText"/>
        <w:spacing w:line="480" w:lineRule="auto"/>
        <w:jc w:val="both"/>
        <w:rPr>
          <w:rFonts w:ascii="Arial" w:hAnsi="Arial" w:cs="Arial"/>
          <w:sz w:val="20"/>
        </w:rPr>
      </w:pPr>
      <w:r w:rsidRPr="001C0F5C">
        <w:rPr>
          <w:rFonts w:ascii="Arial" w:hAnsi="Arial" w:cs="Arial"/>
          <w:b/>
          <w:sz w:val="20"/>
        </w:rPr>
        <w:t xml:space="preserve">Preparation of </w:t>
      </w:r>
      <w:r w:rsidRPr="001C0F5C">
        <w:rPr>
          <w:rFonts w:ascii="Arial" w:hAnsi="Arial" w:cs="Arial"/>
          <w:b/>
          <w:iCs/>
          <w:sz w:val="20"/>
        </w:rPr>
        <w:t>plant extract and LC-MS fingerprinting</w:t>
      </w:r>
      <w:r w:rsidRPr="001C0F5C">
        <w:rPr>
          <w:rFonts w:ascii="Arial" w:hAnsi="Arial" w:cs="Arial"/>
          <w:b/>
          <w:sz w:val="20"/>
        </w:rPr>
        <w:t xml:space="preserve">: </w:t>
      </w:r>
      <w:r w:rsidRPr="001C0F5C">
        <w:rPr>
          <w:rFonts w:ascii="Arial" w:hAnsi="Arial" w:cs="Arial"/>
          <w:i/>
          <w:sz w:val="20"/>
        </w:rPr>
        <w:t>Adhatoda Vasica</w:t>
      </w:r>
      <w:r w:rsidRPr="001C0F5C">
        <w:rPr>
          <w:rFonts w:ascii="Arial" w:hAnsi="Arial" w:cs="Arial"/>
          <w:sz w:val="20"/>
        </w:rPr>
        <w:t xml:space="preserve"> (AV) was collected from Delhi-NCR region, India in the flowering season  (November to March). Water extract of plant (leaves, twigs and flowers) was prepared according to classical method described for rasakriya  in </w:t>
      </w:r>
      <w:r w:rsidRPr="001C0F5C">
        <w:rPr>
          <w:rFonts w:ascii="Arial" w:hAnsi="Arial" w:cs="Arial"/>
          <w:i/>
          <w:sz w:val="20"/>
        </w:rPr>
        <w:t xml:space="preserve">Caraka Samhita </w:t>
      </w:r>
      <w:r w:rsidRPr="001C0F5C">
        <w:rPr>
          <w:rFonts w:ascii="Arial" w:hAnsi="Arial" w:cs="Arial"/>
          <w:sz w:val="20"/>
        </w:rPr>
        <w:fldChar w:fldCharType="begin" w:fldLock="1"/>
      </w:r>
      <w:r>
        <w:rPr>
          <w:rFonts w:ascii="Arial" w:hAnsi="Arial" w:cs="Arial"/>
          <w:sz w:val="20"/>
        </w:rPr>
        <w:instrText>ADDIN CSL_CITATION {"citationItems":[{"id":"ITEM-1","itemData":{"author":[{"dropping-particle":"","family":"P.","given":"Sharma","non-dropping-particle":"","parse-names":false,"suffix":""}],"id":"ITEM-1","issued":{"date-parts":[["1981"]]},"publisher":"Chaukambha Orientalia Publisher","publisher-place":"Varanasi, India","title":"Charaka Samhita: text with english translation","type":"book"},"uris":["http://www.mendeley.com/documents/?uuid=88cba791-643f-41e9-b495-b46cf7ec679c"]}],"mendeley":{"formattedCitation":"(6)","plainTextFormattedCitation":"(6)","previouslyFormattedCitation":"(6)"},"properties":{"noteIndex":0},"schema":"https://github.com/citation-style-language/schema/raw/master/csl-citation.json"}</w:instrText>
      </w:r>
      <w:r w:rsidRPr="001C0F5C">
        <w:rPr>
          <w:rFonts w:ascii="Arial" w:hAnsi="Arial" w:cs="Arial"/>
          <w:sz w:val="20"/>
        </w:rPr>
        <w:fldChar w:fldCharType="separate"/>
      </w:r>
      <w:r w:rsidRPr="009A4608">
        <w:rPr>
          <w:rFonts w:ascii="Arial" w:hAnsi="Arial" w:cs="Arial"/>
          <w:noProof/>
          <w:sz w:val="20"/>
        </w:rPr>
        <w:t>(6)</w:t>
      </w:r>
      <w:r w:rsidRPr="001C0F5C">
        <w:rPr>
          <w:rFonts w:ascii="Arial" w:hAnsi="Arial" w:cs="Arial"/>
          <w:sz w:val="20"/>
        </w:rPr>
        <w:fldChar w:fldCharType="end"/>
      </w:r>
      <w:r w:rsidRPr="001C0F5C">
        <w:rPr>
          <w:rFonts w:ascii="Arial" w:hAnsi="Arial" w:cs="Arial"/>
          <w:sz w:val="20"/>
        </w:rPr>
        <w:t xml:space="preserve">. The process for the formulation involved preparation of decoction condensation and drying as described in earlier study </w:t>
      </w:r>
      <w:r w:rsidRPr="001C0F5C">
        <w:rPr>
          <w:rFonts w:ascii="Arial" w:hAnsi="Arial" w:cs="Arial"/>
          <w:sz w:val="20"/>
        </w:rPr>
        <w:fldChar w:fldCharType="begin" w:fldLock="1"/>
      </w:r>
      <w:r>
        <w:rPr>
          <w:rFonts w:ascii="Arial" w:hAnsi="Arial" w:cs="Arial"/>
          <w:sz w:val="20"/>
        </w:rPr>
        <w:instrText>ADDIN CSL_CITATION {"citationItems":[{"id":"ITEM-1","itemData":{"author":[{"dropping-particle":"","family":"Prasher","given":"Ramniwas","non-dropping-particle":"","parse-names":false,"suffix":""},{"dropping-particle":"","family":"Pandey","given":"Damodar","non-dropping-particle":"","parse-names":false,"suffix":""},{"dropping-particle":"","family":"De","given":"Subrata","non-dropping-particle":"","parse-names":false,"suffix":""},{"dropping-particle":"","family":"Ravishankar","given":"B","non-dropping-particle":"","parse-names":false,"suffix":""}],"container-title":"AYU","id":"ITEM-1","issued":{"date-parts":[["1999"]]},"title":"Standardization of Vasa Ghrta and its extract form and their comparative Pharmaco-Clinical study with special reference to Swasa Roga","type":"article-journal","volume":"6"},"uris":["http://www.mendeley.com/documents/?uuid=03546005-8afd-42ed-817c-2eec79c432a1"]}],"mendeley":{"formattedCitation":"(8)","plainTextFormattedCitation":"(8)","previouslyFormattedCitation":"(8)"},"properties":{"noteIndex":0},"schema":"https://github.com/citation-style-language/schema/raw/master/csl-citation.json"}</w:instrText>
      </w:r>
      <w:r w:rsidRPr="001C0F5C">
        <w:rPr>
          <w:rFonts w:ascii="Arial" w:hAnsi="Arial" w:cs="Arial"/>
          <w:sz w:val="20"/>
        </w:rPr>
        <w:fldChar w:fldCharType="separate"/>
      </w:r>
      <w:r w:rsidRPr="009A4608">
        <w:rPr>
          <w:rFonts w:ascii="Arial" w:hAnsi="Arial" w:cs="Arial"/>
          <w:noProof/>
          <w:sz w:val="20"/>
        </w:rPr>
        <w:t>(8)</w:t>
      </w:r>
      <w:r w:rsidRPr="001C0F5C">
        <w:rPr>
          <w:rFonts w:ascii="Arial" w:hAnsi="Arial" w:cs="Arial"/>
          <w:sz w:val="20"/>
        </w:rPr>
        <w:fldChar w:fldCharType="end"/>
      </w:r>
      <w:r w:rsidRPr="001C0F5C">
        <w:rPr>
          <w:rFonts w:ascii="Arial" w:hAnsi="Arial" w:cs="Arial"/>
          <w:sz w:val="20"/>
        </w:rPr>
        <w:t xml:space="preserve">. Chemical fingerprinting of prepared AV extract was carried out by LC-MS at CSIR-CDRI, Lucknow, India; in two independent experiment. </w:t>
      </w:r>
      <w:r w:rsidRPr="001C0F5C">
        <w:rPr>
          <w:rFonts w:ascii="Arial" w:hAnsi="Arial" w:cs="Arial"/>
          <w:sz w:val="20"/>
          <w:lang w:val="en-GB"/>
        </w:rPr>
        <w:t xml:space="preserve">Briefly, </w:t>
      </w:r>
      <w:r w:rsidRPr="001C0F5C">
        <w:rPr>
          <w:rFonts w:ascii="Arial" w:hAnsi="Arial" w:cs="Arial"/>
          <w:sz w:val="20"/>
        </w:rPr>
        <w:t xml:space="preserve">Liquid </w:t>
      </w:r>
      <w:r w:rsidRPr="001C0F5C">
        <w:rPr>
          <w:rFonts w:ascii="Arial" w:hAnsi="Arial" w:cs="Arial"/>
          <w:sz w:val="20"/>
        </w:rPr>
        <w:lastRenderedPageBreak/>
        <w:t xml:space="preserve">chromatography-electrospray ionization-mass spectrometry of AV extract was recorded in positive- and negative- ion modes using an Agilent 6520 QTOF-MS/MS system coupled with an Agilent 1200 HPLC (Agilent technologies, USA) via an ESI interface </w:t>
      </w:r>
      <w:r w:rsidRPr="001C0F5C">
        <w:rPr>
          <w:rFonts w:ascii="Arial" w:hAnsi="Arial" w:cs="Arial"/>
          <w:b/>
          <w:bCs/>
          <w:sz w:val="20"/>
        </w:rPr>
        <w:t>(Table S1 and S2)</w:t>
      </w:r>
      <w:r w:rsidRPr="001C0F5C">
        <w:rPr>
          <w:rFonts w:ascii="Arial" w:hAnsi="Arial" w:cs="Arial"/>
          <w:sz w:val="20"/>
        </w:rPr>
        <w:t xml:space="preserve">. HPLC separation was carried out on a </w:t>
      </w:r>
      <w:proofErr w:type="spellStart"/>
      <w:r w:rsidRPr="001C0F5C">
        <w:rPr>
          <w:rFonts w:ascii="Arial" w:hAnsi="Arial" w:cs="Arial"/>
          <w:sz w:val="20"/>
        </w:rPr>
        <w:t>Supelco</w:t>
      </w:r>
      <w:proofErr w:type="spellEnd"/>
      <w:r w:rsidRPr="001C0F5C">
        <w:rPr>
          <w:rFonts w:ascii="Arial" w:hAnsi="Arial" w:cs="Arial"/>
          <w:sz w:val="20"/>
        </w:rPr>
        <w:t xml:space="preserve"> Discovery HS C18 column (15 cm×4.6 mm, 3μm) operated at 25°C. The mobile phase, which consisted of a 0.1% formic acid aqueous solution and acetonitrile. The analyses were performed on an Agilent 1200 HPLC system consisted of a quaternary pump (G1311A), online vacuum degasser (G1322A), auto sampler (G1329A), </w:t>
      </w:r>
      <w:proofErr w:type="spellStart"/>
      <w:r w:rsidRPr="001C0F5C">
        <w:rPr>
          <w:rFonts w:ascii="Arial" w:hAnsi="Arial" w:cs="Arial"/>
          <w:sz w:val="20"/>
        </w:rPr>
        <w:t>thermostatted</w:t>
      </w:r>
      <w:proofErr w:type="spellEnd"/>
      <w:r w:rsidRPr="001C0F5C">
        <w:rPr>
          <w:rFonts w:ascii="Arial" w:hAnsi="Arial" w:cs="Arial"/>
          <w:sz w:val="20"/>
        </w:rPr>
        <w:t xml:space="preserve"> column compartment (G1316C) and diode-array detector (G1315D). In the ESI source, nitrogen was used as drying and collision gas in both positive and negative ion mode. Detection was carried out within a mass range of m/z 50-2000 and resolving power above 15000 (FWHM). The chromatographic and mass spectrometric analyses were performed by using Mass Hunter software version B.04.00 build 4.0.479.0 (Agilent Technology, USA).</w:t>
      </w:r>
    </w:p>
    <w:p w14:paraId="2ED699D0" w14:textId="77777777" w:rsidR="00997A5D" w:rsidRPr="001C0F5C" w:rsidRDefault="00997A5D" w:rsidP="00997A5D">
      <w:pPr>
        <w:pStyle w:val="SMText"/>
        <w:spacing w:line="480" w:lineRule="auto"/>
        <w:jc w:val="both"/>
        <w:rPr>
          <w:rFonts w:ascii="Arial" w:hAnsi="Arial" w:cs="Arial"/>
          <w:b/>
          <w:bCs/>
          <w:sz w:val="20"/>
          <w:lang w:val="en-GB"/>
        </w:rPr>
      </w:pPr>
      <w:r w:rsidRPr="001C0F5C">
        <w:rPr>
          <w:rFonts w:ascii="Arial" w:hAnsi="Arial" w:cs="Arial"/>
          <w:b/>
          <w:bCs/>
          <w:sz w:val="20"/>
        </w:rPr>
        <w:t>Animals</w:t>
      </w:r>
    </w:p>
    <w:p w14:paraId="79D78485" w14:textId="77777777" w:rsidR="00997A5D" w:rsidRPr="001C0F5C" w:rsidRDefault="00997A5D" w:rsidP="00997A5D">
      <w:pPr>
        <w:pStyle w:val="SMText"/>
        <w:spacing w:line="480" w:lineRule="auto"/>
        <w:jc w:val="both"/>
        <w:rPr>
          <w:rFonts w:ascii="Arial" w:hAnsi="Arial" w:cs="Arial"/>
          <w:b/>
          <w:sz w:val="20"/>
          <w:lang w:val="en-GB"/>
        </w:rPr>
      </w:pPr>
      <w:r w:rsidRPr="001C0F5C">
        <w:rPr>
          <w:rFonts w:ascii="Arial" w:hAnsi="Arial" w:cs="Arial"/>
          <w:sz w:val="20"/>
        </w:rPr>
        <w:t>All animals were maintained as per the guidelines of the Committee for the Purpose of Control and Supervision of Experiments on Animals (CPCSEA). The BALB/c male mice (8-10 weeks old) were obtained from Central Drug Research Institute, Lucknow, India and were acclimatized to animal house environment one week prior to starting the experiments at CSIR-Institute of Genomics and Integrative Biology (IGIB), Delhi, India; as per the protocols approved by Institutional Animal Ethics Committee of CSIR-IGIB, Delhi, India. All the surgical procedures were performed under sodium pentobarbital anesthesia and maximum efforts were taken for minimum suffering of animals.</w:t>
      </w:r>
    </w:p>
    <w:p w14:paraId="5C03D8DA" w14:textId="77777777" w:rsidR="00997A5D" w:rsidRPr="001C0F5C" w:rsidRDefault="00997A5D" w:rsidP="00997A5D">
      <w:pPr>
        <w:pStyle w:val="SMText"/>
        <w:spacing w:line="480" w:lineRule="auto"/>
        <w:jc w:val="both"/>
        <w:rPr>
          <w:rFonts w:ascii="Arial" w:hAnsi="Arial" w:cs="Arial"/>
          <w:sz w:val="20"/>
        </w:rPr>
      </w:pPr>
      <w:r w:rsidRPr="001C0F5C">
        <w:rPr>
          <w:rFonts w:ascii="Arial" w:hAnsi="Arial" w:cs="Arial"/>
          <w:b/>
          <w:sz w:val="20"/>
          <w:lang w:val="en-GB"/>
        </w:rPr>
        <w:t>Grouping of mice</w:t>
      </w:r>
    </w:p>
    <w:p w14:paraId="1AA30AD3" w14:textId="77777777" w:rsidR="00997A5D" w:rsidRPr="001C0F5C" w:rsidRDefault="00997A5D" w:rsidP="00997A5D">
      <w:pPr>
        <w:pStyle w:val="SMText"/>
        <w:spacing w:line="480" w:lineRule="auto"/>
        <w:jc w:val="both"/>
        <w:rPr>
          <w:rFonts w:ascii="Arial" w:hAnsi="Arial" w:cs="Arial"/>
          <w:sz w:val="20"/>
        </w:rPr>
      </w:pPr>
      <w:r w:rsidRPr="001C0F5C">
        <w:rPr>
          <w:rFonts w:ascii="Arial" w:hAnsi="Arial" w:cs="Arial"/>
          <w:sz w:val="20"/>
          <w:lang w:val="en-GB"/>
        </w:rPr>
        <w:t>Mice were divided into two groups, acute and severe as per allergen challenge and treatment protocol. In both groups, there were three main sub-groups (</w:t>
      </w:r>
      <w:r w:rsidRPr="001C0F5C">
        <w:rPr>
          <w:rFonts w:ascii="Arial" w:hAnsi="Arial" w:cs="Arial"/>
          <w:i/>
          <w:sz w:val="20"/>
          <w:lang w:val="en-GB"/>
        </w:rPr>
        <w:t>n</w:t>
      </w:r>
      <w:r w:rsidRPr="001C0F5C">
        <w:rPr>
          <w:rFonts w:ascii="Arial" w:hAnsi="Arial" w:cs="Arial"/>
          <w:sz w:val="20"/>
          <w:lang w:val="en-GB"/>
        </w:rPr>
        <w:t xml:space="preserve"> = 4-7): </w:t>
      </w:r>
      <w:r w:rsidRPr="001C0F5C">
        <w:rPr>
          <w:rFonts w:ascii="Arial" w:hAnsi="Arial" w:cs="Arial"/>
          <w:sz w:val="20"/>
        </w:rPr>
        <w:t xml:space="preserve">Sham (mice that were PBS sensitized, PBS challenged), Ova (mice that were Ova [grade V chicken egg Ovalbumin, Sigma] sensitized, Ova challenged and treated with vehicle, 50 % ethanol and distill water), Ova+Dex (allergic mice treated with Dexamethasone [0.75mg/kg], dissolved in 50% ethanol, by orally). In acute model, in addition to the above groups, mice were divided into five different Ova+AV groups (allergic mice treated with </w:t>
      </w:r>
      <w:r w:rsidRPr="001C0F5C">
        <w:rPr>
          <w:rFonts w:ascii="Arial" w:hAnsi="Arial" w:cs="Arial"/>
          <w:i/>
          <w:sz w:val="20"/>
        </w:rPr>
        <w:t>Adhatoda</w:t>
      </w:r>
      <w:r w:rsidRPr="001C0F5C">
        <w:rPr>
          <w:rFonts w:ascii="Arial" w:hAnsi="Arial" w:cs="Arial"/>
          <w:sz w:val="20"/>
        </w:rPr>
        <w:t xml:space="preserve"> extract [AV, </w:t>
      </w:r>
      <w:r w:rsidRPr="001C0F5C">
        <w:rPr>
          <w:rFonts w:ascii="Arial" w:hAnsi="Arial" w:cs="Arial"/>
          <w:sz w:val="20"/>
          <w:lang w:val="en-GB"/>
        </w:rPr>
        <w:t xml:space="preserve">13mg/kg, 65mg/kg, 130mg/kg, 195mg/kg and 260mg/kg], dissolved in distil water, oral). For severe model, Ova sensitized and challenged mice were further sub-divided according to treatment: </w:t>
      </w:r>
      <w:r w:rsidRPr="001C0F5C">
        <w:rPr>
          <w:rFonts w:ascii="Arial" w:hAnsi="Arial" w:cs="Arial"/>
          <w:sz w:val="20"/>
        </w:rPr>
        <w:t xml:space="preserve">Ova+DHB (allergic mice treated with ethyl 3,4-dihydroxybenzoic acid [DHB, 10 mg/kg], dissolved in 50% ethanol, intraperitoneal injection) or  Ova+ scrambled siRNA (mice that were Ova </w:t>
      </w:r>
      <w:r w:rsidRPr="001C0F5C">
        <w:rPr>
          <w:rFonts w:ascii="Arial" w:hAnsi="Arial" w:cs="Arial"/>
          <w:sz w:val="20"/>
        </w:rPr>
        <w:lastRenderedPageBreak/>
        <w:t xml:space="preserve">sensitized, Ova challenged and administered with intranasal scrambled siRNA[90 μg]) and Ova+PHD2 siRNA (allergic mice treated with intranasal prolyl hydroxylase domain 2 siRNA and treated with vehicle),  Ova+DHB+Dex (allergic mice treated with DHB [10 mg/kg] and administered with Dexamethasone [0.75mg/kg]) or Ova+PHD2+Dex (allergic mice treated with intranasal PHD2 siRNA [90 μg] and administered with Dexamethasone [0.75mg/kg]), </w:t>
      </w:r>
      <w:proofErr w:type="spellStart"/>
      <w:r w:rsidRPr="001C0F5C">
        <w:rPr>
          <w:rFonts w:ascii="Arial" w:hAnsi="Arial" w:cs="Arial"/>
          <w:sz w:val="20"/>
        </w:rPr>
        <w:t>Ova+DHB+AV</w:t>
      </w:r>
      <w:proofErr w:type="spellEnd"/>
      <w:r w:rsidRPr="001C0F5C">
        <w:rPr>
          <w:rFonts w:ascii="Arial" w:hAnsi="Arial" w:cs="Arial"/>
          <w:sz w:val="20"/>
        </w:rPr>
        <w:t xml:space="preserve"> (allergic mice treated with DHB [10 mg/kg] and administered with AV [130 mg/kg] or Ova+PHD2+AV(allergic mice treated with intranasal PHD2 siRNA [90 μg] and administered with AV [130 mg/kg]). </w:t>
      </w:r>
    </w:p>
    <w:p w14:paraId="7BE2FC24" w14:textId="77777777" w:rsidR="00997A5D" w:rsidRPr="001C0F5C" w:rsidRDefault="00997A5D" w:rsidP="00997A5D">
      <w:pPr>
        <w:pStyle w:val="SMText"/>
        <w:spacing w:line="480" w:lineRule="auto"/>
        <w:jc w:val="both"/>
        <w:rPr>
          <w:rFonts w:ascii="Arial" w:hAnsi="Arial" w:cs="Arial"/>
          <w:sz w:val="20"/>
        </w:rPr>
      </w:pPr>
      <w:r w:rsidRPr="001C0F5C">
        <w:rPr>
          <w:rFonts w:ascii="Arial" w:hAnsi="Arial" w:cs="Arial"/>
          <w:b/>
          <w:sz w:val="20"/>
          <w:lang w:val="en-GB"/>
        </w:rPr>
        <w:t>Sensitization, Challenge, and Treatment of Mice</w:t>
      </w:r>
    </w:p>
    <w:p w14:paraId="4DEFF9D2" w14:textId="77777777" w:rsidR="00997A5D" w:rsidRPr="001C0F5C" w:rsidRDefault="00997A5D" w:rsidP="00997A5D">
      <w:pPr>
        <w:pStyle w:val="SMText"/>
        <w:spacing w:line="480" w:lineRule="auto"/>
        <w:jc w:val="both"/>
        <w:rPr>
          <w:rFonts w:ascii="Arial" w:hAnsi="Arial" w:cs="Arial"/>
          <w:sz w:val="20"/>
        </w:rPr>
      </w:pPr>
      <w:r w:rsidRPr="001C0F5C">
        <w:rPr>
          <w:rFonts w:ascii="Arial" w:hAnsi="Arial" w:cs="Arial"/>
          <w:sz w:val="20"/>
        </w:rPr>
        <w:t>In all models, mice were sensitized on days 0, 7, and 14 with 50 mg Ova (Sigma, Missouri, USA) adsorbed in 4 mg alum or 4 mg alum alone and were challenged from day 21 to 27 with 3% Ova in PBS or PBS alone consecutively, as described earlier. Acute Ova model effect was determined by three independent experiments and both severe model effect was determined by two independent experiments. Dexamethasone (sigma) was dissolved in 50% ethanol and was administered orally (0.75mg/kg) to mice from fourth day of challenge (24th day) till the last day of challenge (27</w:t>
      </w:r>
      <w:r w:rsidRPr="001C0F5C">
        <w:rPr>
          <w:rFonts w:ascii="Arial" w:hAnsi="Arial" w:cs="Arial"/>
          <w:sz w:val="20"/>
          <w:vertAlign w:val="superscript"/>
        </w:rPr>
        <w:t>th</w:t>
      </w:r>
      <w:r w:rsidRPr="001C0F5C">
        <w:rPr>
          <w:rFonts w:ascii="Arial" w:hAnsi="Arial" w:cs="Arial"/>
          <w:sz w:val="20"/>
        </w:rPr>
        <w:t xml:space="preserve"> day), once a day. Similarly, AV (dissolved in distilled water, was given orally (</w:t>
      </w:r>
      <w:r w:rsidRPr="001C0F5C">
        <w:rPr>
          <w:rFonts w:ascii="Arial" w:hAnsi="Arial" w:cs="Arial"/>
          <w:sz w:val="20"/>
          <w:lang w:val="en-GB"/>
        </w:rPr>
        <w:t xml:space="preserve">13mg/kg, 65mg/kg, 130mg/kg, 195mg/kg and 260mg/kg and denoted hereafter as AV-D0, AV-D1, AV-D2, AV-D3 and AV-D4, respectively) by gavage from day 24 to 27, once a day. </w:t>
      </w:r>
      <w:r w:rsidRPr="001C0F5C">
        <w:rPr>
          <w:rFonts w:ascii="Arial" w:hAnsi="Arial" w:cs="Arial"/>
          <w:sz w:val="20"/>
        </w:rPr>
        <w:t xml:space="preserve"> DHB (TCI, </w:t>
      </w:r>
      <w:proofErr w:type="spellStart"/>
      <w:r w:rsidRPr="001C0F5C">
        <w:rPr>
          <w:rFonts w:ascii="Arial" w:hAnsi="Arial" w:cs="Arial"/>
          <w:sz w:val="20"/>
        </w:rPr>
        <w:t>Tamilnadu</w:t>
      </w:r>
      <w:proofErr w:type="spellEnd"/>
      <w:r w:rsidRPr="001C0F5C">
        <w:rPr>
          <w:rFonts w:ascii="Arial" w:hAnsi="Arial" w:cs="Arial"/>
          <w:sz w:val="20"/>
        </w:rPr>
        <w:t xml:space="preserve">, India) was administered from day 21 to 27 by intraperitoneal injection (10 mg/kg) in 200µl volume of 50% ethanol, was given 2 hours before the Ova challenge. For PHD2 siRNA model, scrambled (Sigma) or PHD2 siRNA (Sigma) was dissolved in ultrapure </w:t>
      </w:r>
      <w:proofErr w:type="spellStart"/>
      <w:r w:rsidRPr="001C0F5C">
        <w:rPr>
          <w:rFonts w:ascii="Arial" w:hAnsi="Arial" w:cs="Arial"/>
          <w:sz w:val="20"/>
        </w:rPr>
        <w:t>DNAse</w:t>
      </w:r>
      <w:proofErr w:type="spellEnd"/>
      <w:r w:rsidRPr="001C0F5C">
        <w:rPr>
          <w:rFonts w:ascii="Arial" w:hAnsi="Arial" w:cs="Arial"/>
          <w:sz w:val="20"/>
        </w:rPr>
        <w:t xml:space="preserve"> and RNAse free water with in vivo-jetPEI as the transfection reagent (</w:t>
      </w:r>
      <w:proofErr w:type="spellStart"/>
      <w:r w:rsidRPr="001C0F5C">
        <w:rPr>
          <w:rFonts w:ascii="Arial" w:hAnsi="Arial" w:cs="Arial"/>
          <w:sz w:val="20"/>
        </w:rPr>
        <w:t>Polyplus</w:t>
      </w:r>
      <w:proofErr w:type="spellEnd"/>
      <w:r w:rsidRPr="001C0F5C">
        <w:rPr>
          <w:rFonts w:ascii="Arial" w:hAnsi="Arial" w:cs="Arial"/>
          <w:sz w:val="20"/>
        </w:rPr>
        <w:t>), was administered intranasally in 90</w:t>
      </w:r>
      <w:r w:rsidRPr="001C0F5C">
        <w:rPr>
          <w:rFonts w:ascii="Arial" w:hAnsi="Arial" w:cs="Arial"/>
          <w:sz w:val="20"/>
        </w:rPr>
        <w:sym w:font="Symbol" w:char="F06D"/>
      </w:r>
      <w:r w:rsidRPr="001C0F5C">
        <w:rPr>
          <w:rFonts w:ascii="Arial" w:hAnsi="Arial" w:cs="Arial"/>
          <w:sz w:val="20"/>
        </w:rPr>
        <w:t xml:space="preserve">g concentration to isoflurane-anesthetized mice 2 hours prior to Ova challenge, on day 23, 25 and 27. </w:t>
      </w:r>
    </w:p>
    <w:p w14:paraId="0A4FDA2A" w14:textId="77777777" w:rsidR="00997A5D" w:rsidRPr="001C0F5C" w:rsidRDefault="00997A5D" w:rsidP="00997A5D">
      <w:pPr>
        <w:pStyle w:val="SMText"/>
        <w:spacing w:line="480" w:lineRule="auto"/>
        <w:jc w:val="both"/>
        <w:rPr>
          <w:rFonts w:ascii="Arial" w:hAnsi="Arial" w:cs="Arial"/>
          <w:b/>
          <w:sz w:val="20"/>
          <w:lang w:val="en-GB"/>
        </w:rPr>
      </w:pPr>
      <w:r w:rsidRPr="001C0F5C">
        <w:rPr>
          <w:rFonts w:ascii="Arial" w:hAnsi="Arial" w:cs="Arial"/>
          <w:b/>
          <w:sz w:val="20"/>
          <w:lang w:val="en-GB"/>
        </w:rPr>
        <w:t xml:space="preserve">Measurement of airway hyperresponsiveness, </w:t>
      </w:r>
      <w:r w:rsidRPr="001C0F5C">
        <w:rPr>
          <w:rFonts w:ascii="Arial" w:hAnsi="Arial" w:cs="Arial"/>
          <w:b/>
          <w:bCs/>
          <w:sz w:val="20"/>
        </w:rPr>
        <w:t>bronchoalveolar lavage</w:t>
      </w:r>
      <w:r w:rsidRPr="001C0F5C">
        <w:rPr>
          <w:rFonts w:ascii="Arial" w:hAnsi="Arial" w:cs="Arial"/>
          <w:b/>
          <w:sz w:val="20"/>
          <w:lang w:val="en-GB"/>
        </w:rPr>
        <w:t xml:space="preserve"> fluid collection, sera separation and histopathology</w:t>
      </w:r>
    </w:p>
    <w:p w14:paraId="34712DD0" w14:textId="77777777" w:rsidR="00997A5D" w:rsidRPr="001C0F5C" w:rsidRDefault="00997A5D" w:rsidP="00997A5D">
      <w:pPr>
        <w:pStyle w:val="SMText"/>
        <w:spacing w:line="480" w:lineRule="auto"/>
        <w:jc w:val="both"/>
        <w:rPr>
          <w:rFonts w:ascii="Arial" w:hAnsi="Arial" w:cs="Arial"/>
          <w:sz w:val="20"/>
          <w:lang w:val="en-GB"/>
        </w:rPr>
      </w:pPr>
      <w:r w:rsidRPr="001C0F5C">
        <w:rPr>
          <w:rFonts w:ascii="Arial" w:hAnsi="Arial" w:cs="Arial"/>
          <w:sz w:val="20"/>
          <w:lang w:val="en-GB"/>
        </w:rPr>
        <w:t xml:space="preserve">Airway hyperresponsiveness (AHR) in response to methacholine (Mch, Sigma) was determined in pentobarbital anesthetized mice using flexivent system (Scireq, Canada), as described previously. The results were expressed in the fold change of airway resistance with increasing concentrations of Mch, considering the PBS aerosol induced airway resistance as baseline values. After the AHR measurement, bronchoalveolar lavage fluid (BAL) was collected by instilling 1 ml PBS into the tracheotomised airway and recovered BAL fluids were processed to get cell pellet that will be stained </w:t>
      </w:r>
      <w:r w:rsidRPr="001C0F5C">
        <w:rPr>
          <w:rFonts w:ascii="Arial" w:hAnsi="Arial" w:cs="Arial"/>
          <w:sz w:val="20"/>
          <w:lang w:val="en-GB"/>
        </w:rPr>
        <w:lastRenderedPageBreak/>
        <w:t xml:space="preserve">with Leishman stain to determine differential cell count as well as total cell count, as described previously. Blood was withdrawn by cardiac puncture, and serum was separated by centrifugation at 1500 ×g for 10 min and was kept at −70 °C till the measurements of IgE.  Lungs were removed and fixed with 10% formalin </w:t>
      </w:r>
      <w:r w:rsidRPr="001C0F5C">
        <w:rPr>
          <w:rFonts w:ascii="Arial" w:hAnsi="Arial" w:cs="Arial"/>
          <w:sz w:val="20"/>
          <w:lang w:val="en-GB"/>
        </w:rPr>
        <w:fldChar w:fldCharType="begin" w:fldLock="1"/>
      </w:r>
      <w:r>
        <w:rPr>
          <w:rFonts w:ascii="Arial" w:hAnsi="Arial" w:cs="Arial"/>
          <w:sz w:val="20"/>
          <w:lang w:val="en-GB"/>
        </w:rPr>
        <w:instrText>ADDIN CSL_CITATION {"citationItems":[{"id":"ITEM-1","itemData":{"DOI":"10.1165/rcmb.2011-0203OC","ISSN":"1044-1549","PMID":"22312019","abstract":"Oxygen-sensing prolyl-hydroxylase (PHD)-2 negatively regulates hypoxia-inducible factor (HIF)1-α and suppresses the hypoxic response. Hypoxia signaling is thought to be proinflammatory but also attenuates cellular injury and apoptosis. Although increased hypoxic response has been noted in asthma, its functional relevance is unknown. The objectives of this study were to dissect the mechanisms and role of the hypoxic response in asthma pathophysiology. Experimental studies were conducted in mice using acute and chronic allergic models of asthma. The hypoxic response in allergically inflamed lungs was modulated by using pharmacologic PHD inhibitors (ethyl-3-4-dihydroxybenzoic acid [DHB], 1-10 mg/kg) or siRNA-mediated genetic knockdowns. Increased hypoxia response led to exacerbation of the asthma phenotype, with HIF-1α knockdown being beneficial. Chronically inflamed lungs from mice treated with 10 mg/kg DHB showed diffuse up-regulation of the hypoxia response, severe airway remodeling, and inflammation. Fatal asphyxiation during methacholine challenge was noted. However, bronchial epithelium restricted up-regulation of the hypoxia response seen with low-dose DHB (1 mg/kg) reduced epithelial injury and attenuated the asthmatic phenotype. Up-regulation of the hypoxia response was associated with increased expression of CX3CR1, a lymphocyte survival factor, and increased inflammatory cell infiltrate. This study shows that an exaggerated hypoxia response may contribute to airway inflammation, remodeling, and the development of asthma. However, the hypoxia response may also be protective of epithelial apoptosis at lower levels, and the net effects of modulating the hypoxia response may vary based on the context.","author":[{"dropping-particle":"","family":"Ahmad","given":"Tanveer","non-dropping-particle":"","parse-names":false,"suffix":""},{"dropping-particle":"","family":"Kumar","given":"Manish","non-dropping-particle":"","parse-names":false,"suffix":""},{"dropping-particle":"","family":"Mabalirajan","given":"Ulaganathan","non-dropping-particle":"","parse-names":false,"suffix":""},{"dropping-particle":"","family":"Pattnaik","given":"Bijay","non-dropping-particle":"","parse-names":false,"suffix":""},{"dropping-particle":"","family":"Aggarwal","given":"Shilpi","non-dropping-particle":"","parse-names":false,"suffix":""},{"dropping-particle":"","family":"Singh","given":"Ranjana","non-dropping-particle":"","parse-names":false,"suffix":""},{"dropping-particle":"","family":"Singh","given":"Suchita","non-dropping-particle":"","parse-names":false,"suffix":""},{"dropping-particle":"","family":"Mukerji","given":"Mitali","non-dropping-particle":"","parse-names":false,"suffix":""},{"dropping-particle":"","family":"Ghosh","given":"Balaram","non-dropping-particle":"","parse-names":false,"suffix":""},{"dropping-particle":"","family":"Agrawal","given":"Anurag","non-dropping-particle":"","parse-names":false,"suffix":""}],"container-title":"American Journal of Respiratory Cell and Molecular Biology","id":"ITEM-1","issue":"1","issued":{"date-parts":[["2012","7"]]},"page":"1-10","title":"Hypoxia Response in Asthma","type":"article-journal","volume":"47"},"uris":["http://www.mendeley.com/documents/?uuid=e572966b-115b-3bd1-926f-e1b3c88299f5"]},{"id":"ITEM-2","itemData":{"DOI":"10.1165/rcmb.2009-0137RC","ISSN":"1044-1549","abstract":"Asymmetric dimethylarginine (ADMA), an endogenous inhibitor of nitric oxide synthase (NOS), causes uncoupling of NOS leading to generation of reactive nitrogen species, such as peroxynitrite. The lung generates a significant amount of ADMA, potentially contributing to plasma ADMA levels that have been related to endothelial dysfunction. ADMA infusion causes increased collagen deposition in lungs, suggesting that it could influence the development of chronic lung diseases such as fibrosis, chronic obstructive pulmonary disease, and asthma. To explore the link between endogenous ADMA and asthma, we determined the levels of ADMA, enzymes implicated in its metabolism, and peroxynitrite in murine models of allergic airway inflammation (AAI) resembling asthma. ADMA levels and nitrosative stress were found to be positively correlated in cytosol and mitochondria during AAI. This was associated with increased expression of protein–arginine methyltransferase-2, an ADMA-synthesizing enzyme, and reduced expression of...","author":[{"dropping-particle":"","family":"Ahmad","given":"Tanveer","non-dropping-particle":"","parse-names":false,"suffix":""},{"dropping-particle":"","family":"Mabalirajan","given":"Ulaganathan","non-dropping-particle":"","parse-names":false,"suffix":""},{"dropping-particle":"","family":"Ghosh","given":"Balaram","non-dropping-particle":"","parse-names":false,"suffix":""},{"dropping-particle":"","family":"Agrawal","given":"Anurag","non-dropping-particle":"","parse-names":false,"suffix":""}],"container-title":"American Journal of Respiratory Cell and Molecular Biology","id":"ITEM-2","issue":"1","issued":{"date-parts":[["2010","1","20"]]},"page":"3-8","publisher":"American Thoracic Society","title":"Altered Asymmetric Dimethyl Arginine Metabolism in Allergically Inflamed Mouse Lungs","type":"article-journal","volume":"42"},"uris":["http://www.mendeley.com/documents/?uuid=09fc2df0-d2e6-33b2-b401-bead259d675d"]}],"mendeley":{"formattedCitation":"(1, 2)","plainTextFormattedCitation":"(1, 2)","previouslyFormattedCitation":"(1, 2)"},"properties":{"noteIndex":0},"schema":"https://github.com/citation-style-language/schema/raw/master/csl-citation.json"}</w:instrText>
      </w:r>
      <w:r w:rsidRPr="001C0F5C">
        <w:rPr>
          <w:rFonts w:ascii="Arial" w:hAnsi="Arial" w:cs="Arial"/>
          <w:sz w:val="20"/>
          <w:lang w:val="en-GB"/>
        </w:rPr>
        <w:fldChar w:fldCharType="separate"/>
      </w:r>
      <w:r w:rsidRPr="009A4608">
        <w:rPr>
          <w:rFonts w:ascii="Arial" w:hAnsi="Arial" w:cs="Arial"/>
          <w:noProof/>
          <w:sz w:val="20"/>
          <w:lang w:val="en-GB"/>
        </w:rPr>
        <w:t>(1, 2)</w:t>
      </w:r>
      <w:r w:rsidRPr="001C0F5C">
        <w:rPr>
          <w:rFonts w:ascii="Arial" w:hAnsi="Arial" w:cs="Arial"/>
          <w:sz w:val="20"/>
        </w:rPr>
        <w:fldChar w:fldCharType="end"/>
      </w:r>
      <w:r w:rsidRPr="001C0F5C">
        <w:rPr>
          <w:rFonts w:ascii="Arial" w:hAnsi="Arial" w:cs="Arial"/>
          <w:sz w:val="20"/>
          <w:lang w:val="en-GB"/>
        </w:rPr>
        <w:t xml:space="preserve">. Fixed lungs were further processed and embedded with paraffin. 5-mm paraffin embedded lung sections then stained with haematoxylin and eosin, periodic acid-Schiff, and Masson Trichrome staining to assess the lung inflammation, mucus hypersecretion and sub-epithelial fibrosis, respectively. Microphotographs were taken by Nikon microscope with camera (Model YS-100). The inflammation scoring was performed as per inflammation grade system by experimentally blind experts to find out the perivascular (PV), peribronchial (PB) lung inflammation to calculate the lung inflammation score </w:t>
      </w:r>
      <w:r w:rsidRPr="001C0F5C">
        <w:rPr>
          <w:rFonts w:ascii="Arial" w:hAnsi="Arial" w:cs="Arial"/>
          <w:sz w:val="20"/>
          <w:lang w:val="en-GB"/>
        </w:rPr>
        <w:fldChar w:fldCharType="begin" w:fldLock="1"/>
      </w:r>
      <w:r>
        <w:rPr>
          <w:rFonts w:ascii="Arial" w:hAnsi="Arial" w:cs="Arial"/>
          <w:sz w:val="20"/>
          <w:lang w:val="en-GB"/>
        </w:rPr>
        <w:instrText>ADDIN CSL_CITATION {"citationItems":[{"id":"ITEM-1","itemData":{"DOI":"10.1165/rcmb.2011-0203OC","ISSN":"1044-1549","PMID":"22312019","abstract":"Oxygen-sensing prolyl-hydroxylase (PHD)-2 negatively regulates hypoxia-inducible factor (HIF)1-α and suppresses the hypoxic response. Hypoxia signaling is thought to be proinflammatory but also attenuates cellular injury and apoptosis. Although increased hypoxic response has been noted in asthma, its functional relevance is unknown. The objectives of this study were to dissect the mechanisms and role of the hypoxic response in asthma pathophysiology. Experimental studies were conducted in mice using acute and chronic allergic models of asthma. The hypoxic response in allergically inflamed lungs was modulated by using pharmacologic PHD inhibitors (ethyl-3-4-dihydroxybenzoic acid [DHB], 1-10 mg/kg) or siRNA-mediated genetic knockdowns. Increased hypoxia response led to exacerbation of the asthma phenotype, with HIF-1α knockdown being beneficial. Chronically inflamed lungs from mice treated with 10 mg/kg DHB showed diffuse up-regulation of the hypoxia response, severe airway remodeling, and inflammation. Fatal asphyxiation during methacholine challenge was noted. However, bronchial epithelium restricted up-regulation of the hypoxia response seen with low-dose DHB (1 mg/kg) reduced epithelial injury and attenuated the asthmatic phenotype. Up-regulation of the hypoxia response was associated with increased expression of CX3CR1, a lymphocyte survival factor, and increased inflammatory cell infiltrate. This study shows that an exaggerated hypoxia response may contribute to airway inflammation, remodeling, and the development of asthma. However, the hypoxia response may also be protective of epithelial apoptosis at lower levels, and the net effects of modulating the hypoxia response may vary based on the context.","author":[{"dropping-particle":"","family":"Ahmad","given":"Tanveer","non-dropping-particle":"","parse-names":false,"suffix":""},{"dropping-particle":"","family":"Kumar","given":"Manish","non-dropping-particle":"","parse-names":false,"suffix":""},{"dropping-particle":"","family":"Mabalirajan","given":"Ulaganathan","non-dropping-particle":"","parse-names":false,"suffix":""},{"dropping-particle":"","family":"Pattnaik","given":"Bijay","non-dropping-particle":"","parse-names":false,"suffix":""},{"dropping-particle":"","family":"Aggarwal","given":"Shilpi","non-dropping-particle":"","parse-names":false,"suffix":""},{"dropping-particle":"","family":"Singh","given":"Ranjana","non-dropping-particle":"","parse-names":false,"suffix":""},{"dropping-particle":"","family":"Singh","given":"Suchita","non-dropping-particle":"","parse-names":false,"suffix":""},{"dropping-particle":"","family":"Mukerji","given":"Mitali","non-dropping-particle":"","parse-names":false,"suffix":""},{"dropping-particle":"","family":"Ghosh","given":"Balaram","non-dropping-particle":"","parse-names":false,"suffix":""},{"dropping-particle":"","family":"Agrawal","given":"Anurag","non-dropping-particle":"","parse-names":false,"suffix":""}],"container-title":"American Journal of Respiratory Cell and Molecular Biology","id":"ITEM-1","issue":"1","issued":{"date-parts":[["2012","7"]]},"page":"1-10","title":"Hypoxia Response in Asthma","type":"article-journal","volume":"47"},"uris":["http://www.mendeley.com/documents/?uuid=e572966b-115b-3bd1-926f-e1b3c88299f5"]},{"id":"ITEM-2","itemData":{"DOI":"10.1038/s41598-017-09869-9","ISSN":"20452322","PMID":"28851976","abstract":"Studies have highlighted the role of nutritional and metabolic modulators in asthma pathobiology. Steroid resistance is an important clinical problem in asthma but lacks good experimental models. Linoleic acid, a polyunsaturated fatty acid, has been linked to asthma and glucocorticoid sensitivity. Its 12/15-lipoxygenase metabolite, 13-S-hydroxyoctadecadienoic acid (HODE) induces mitochondrial dysfunction, with severe airway obstruction and neutrophilic airway inflammation. Here we show that HODE administration leads to steroid unresponsiveness in an otherwise steroid responsive model of allergic airway inflammation (AAI). HODE treatment to allergic mice further increased airway hyperresponsiveness and goblet metaplasia. Treatment with dexamethasone was associated with increased neutrophilic inflammation in HODE treated allergic mice; unlike control allergic mice that showed resolution of inflammation. HODE induced loss of steroid sensitivity was associated with increased p-NFkB in mice and reduced GR-alpha transcript levels in cultured human bronchial epithelia. In summary, HODE modifies typical AAI to recapitulate many of the phenotypic features seen in severe steroid unresponsive asthma. We speculate that since HODE is a natural metabolite, it may be relevant to the increased asthma severity and steroid insensitivity in patients who are obese or consume high fat diets. Further characterization of HODE induced steroid insensitivity may clarify the mechanisms.","author":[{"dropping-particle":"","family":"Panda","given":"Lipsa","non-dropping-particle":"","parse-names":false,"suffix":""},{"dropping-particle":"","family":"Gheware","given":"Atish","non-dropping-particle":"","parse-names":false,"suffix":""},{"dropping-particle":"","family":"Rehman","given":"Rakhshinda","non-dropping-particle":"","parse-names":false,"suffix":""},{"dropping-particle":"","family":"Yadav","given":"Manish K.","non-dropping-particle":"","parse-names":false,"suffix":""},{"dropping-particle":"","family":"Jayaraj","given":"B. S.","non-dropping-particle":"","parse-names":false,"suffix":""},{"dropping-particle":"V.","family":"Madhunapantula","given":"Subbarao","non-dropping-particle":"","parse-names":false,"suffix":""},{"dropping-particle":"","family":"Mahesh","given":"Padukudru Anand","non-dropping-particle":"","parse-names":false,"suffix":""},{"dropping-particle":"","family":"Ghosh","given":"Balaram","non-dropping-particle":"","parse-names":false,"suffix":""},{"dropping-particle":"","family":"Agrawal","given":"Anurag","non-dropping-particle":"","parse-names":false,"suffix":""},{"dropping-particle":"","family":"Mabalirajan","given":"Ulaganathan","non-dropping-particle":"","parse-names":false,"suffix":""}],"container-title":"Scientific Reports","id":"ITEM-2","issue":"1","issued":{"date-parts":[["2017"]]},"title":"Linoleic acid metabolite leads to steroid resistant asthma features partially through NF-κB","type":"article-journal","volume":"7"},"uris":["http://www.mendeley.com/documents/?uuid=8582d553-d99f-3182-b4db-64e005747fb6"]},{"id":"ITEM-3","itemData":{"ISSN":"1550-6606","PMID":"18714027","abstract":"An imbalance between Th1 and Th2 immune response is crucial for the development of pathophysiological features of asthma. A Th2-dominant response produces oxidative stress in the airways, and it is thought to be one of the crucial components of asthma pathogenesis. Although mitochondrion is a crucial organelle to produce endogenous reactive oxygen species, its involvement in this process remains unexplored as yet. We demonstrate in this study that OVA-induced experimental allergic asthma in BALB/c mice is associated with mitochondrial dysfunction, such as reduction of cytochrome c oxidase activity in lung mitochondria, reduction in the expression of subunit III of cytochrome c oxidase in bronchial epithelium, appearance of cytochrome c in the lung cytosol, decreased lung ATP levels, reduction in the expression of 17 kDa of complex I in bronchial epithelium, and mitochondrial ultrastructural changes such as loss of cristae and swelling. However, there was no change in the expression of subunits II and III of cytochrome c oxidase. Interestingly, administration of IL-4 mAb reversed these mitochondrial dysfunction and structural changes. In contrast, IFN-gamma mAb administration neither reversed nor further deteriorated the mitochondrial dysfunction and structural changes compared with control asthmatic mice administered with isotypic control Ab, although airway hyperresponsiveness deteriorated further. These results suggest that mitochondrial structural changes and dysfunction are associated with allergic asthma. These findings may help in the development of novel drug molecules targeting mitochondria for the treatment of asthma.","author":[{"dropping-particle":"","family":"Mabalirajan","given":"Ulaganathan","non-dropping-particle":"","parse-names":false,"suffix":""},{"dropping-particle":"","family":"Dinda","given":"Amit Kumar","non-dropping-particle":"","parse-names":false,"suffix":""},{"dropping-particle":"","family":"Kumar","given":"Sarvesh","non-dropping-particle":"","parse-names":false,"suffix":""},{"dropping-particle":"","family":"Roshan","given":"Reema","non-dropping-particle":"","parse-names":false,"suffix":""},{"dropping-particle":"","family":"Gupta","given":"Pooja","non-dropping-particle":"","parse-names":false,"suffix":""},{"dropping-particle":"","family":"Sharma","given":"Surendra Kumar","non-dropping-particle":"","parse-names":false,"suffix":""},{"dropping-particle":"","family":"Ghosh","given":"Balaram","non-dropping-particle":"","parse-names":false,"suffix":""}],"container-title":"Journal of immunology (Baltimore, Md. : 1950)","id":"ITEM-3","issue":"5","issued":{"date-parts":[["2008","9","1"]]},"page":"3540-8","title":"Mitochondrial structural changes and dysfunction are associated with experimental allergic asthma.","type":"article-journal","volume":"181"},"uris":["http://www.mendeley.com/documents/?uuid=2ef1f318-28a3-3e32-b0c4-32cbd5d187ce"]}],"mendeley":{"formattedCitation":"(1, 5, 7)","plainTextFormattedCitation":"(1, 5, 7)","previouslyFormattedCitation":"(1, 5, 7)"},"properties":{"noteIndex":0},"schema":"https://github.com/citation-style-language/schema/raw/master/csl-citation.json"}</w:instrText>
      </w:r>
      <w:r w:rsidRPr="001C0F5C">
        <w:rPr>
          <w:rFonts w:ascii="Arial" w:hAnsi="Arial" w:cs="Arial"/>
          <w:sz w:val="20"/>
          <w:lang w:val="en-GB"/>
        </w:rPr>
        <w:fldChar w:fldCharType="separate"/>
      </w:r>
      <w:r w:rsidRPr="009A4608">
        <w:rPr>
          <w:rFonts w:ascii="Arial" w:hAnsi="Arial" w:cs="Arial"/>
          <w:noProof/>
          <w:sz w:val="20"/>
          <w:lang w:val="en-GB"/>
        </w:rPr>
        <w:t>(1, 5, 7)</w:t>
      </w:r>
      <w:r w:rsidRPr="001C0F5C">
        <w:rPr>
          <w:rFonts w:ascii="Arial" w:hAnsi="Arial" w:cs="Arial"/>
          <w:sz w:val="20"/>
          <w:lang w:val="en-GB"/>
        </w:rPr>
        <w:fldChar w:fldCharType="end"/>
      </w:r>
      <w:r w:rsidRPr="001C0F5C">
        <w:rPr>
          <w:rFonts w:ascii="Arial" w:hAnsi="Arial" w:cs="Arial"/>
          <w:sz w:val="20"/>
          <w:lang w:val="en-GB"/>
        </w:rPr>
        <w:t>.</w:t>
      </w:r>
    </w:p>
    <w:p w14:paraId="74F75302" w14:textId="77777777" w:rsidR="00997A5D" w:rsidRPr="001C0F5C" w:rsidRDefault="00997A5D" w:rsidP="00997A5D">
      <w:pPr>
        <w:pStyle w:val="SMText"/>
        <w:spacing w:line="480" w:lineRule="auto"/>
        <w:jc w:val="both"/>
        <w:rPr>
          <w:rFonts w:ascii="Arial" w:hAnsi="Arial" w:cs="Arial"/>
          <w:b/>
          <w:sz w:val="20"/>
          <w:lang w:val="en-GB"/>
        </w:rPr>
      </w:pPr>
      <w:r w:rsidRPr="001C0F5C">
        <w:rPr>
          <w:rFonts w:ascii="Arial" w:hAnsi="Arial" w:cs="Arial"/>
          <w:b/>
          <w:sz w:val="20"/>
          <w:lang w:val="en-GB"/>
        </w:rPr>
        <w:t>Measurement of Interleukin IL-4, IL-5, IL-13, IL-17, TGF-</w:t>
      </w:r>
      <w:r w:rsidRPr="001C0F5C">
        <w:rPr>
          <w:rFonts w:ascii="Arial" w:hAnsi="Arial" w:cs="Arial"/>
          <w:b/>
          <w:sz w:val="20"/>
          <w:lang w:val="en-GB"/>
        </w:rPr>
        <w:sym w:font="Symbol" w:char="F062"/>
      </w:r>
      <w:r w:rsidRPr="001C0F5C">
        <w:rPr>
          <w:rFonts w:ascii="Arial" w:hAnsi="Arial" w:cs="Arial"/>
          <w:b/>
          <w:sz w:val="20"/>
          <w:lang w:val="en-GB"/>
        </w:rPr>
        <w:t>1, IFN-γ, PHD2 and HIF-1</w:t>
      </w:r>
      <w:r w:rsidRPr="001C0F5C">
        <w:rPr>
          <w:rFonts w:ascii="Arial" w:hAnsi="Arial" w:cs="Arial"/>
          <w:b/>
          <w:sz w:val="20"/>
          <w:lang w:val="en-GB"/>
        </w:rPr>
        <w:sym w:font="Symbol" w:char="F061"/>
      </w:r>
    </w:p>
    <w:p w14:paraId="4F387ABF" w14:textId="77777777" w:rsidR="00997A5D" w:rsidRPr="001C0F5C" w:rsidRDefault="00997A5D" w:rsidP="00997A5D">
      <w:pPr>
        <w:pStyle w:val="SMText"/>
        <w:spacing w:line="480" w:lineRule="auto"/>
        <w:jc w:val="both"/>
        <w:rPr>
          <w:rFonts w:ascii="Arial" w:hAnsi="Arial" w:cs="Arial"/>
          <w:sz w:val="20"/>
          <w:lang w:val="en-GB"/>
        </w:rPr>
      </w:pPr>
      <w:r w:rsidRPr="001C0F5C">
        <w:rPr>
          <w:rFonts w:ascii="Arial" w:hAnsi="Arial" w:cs="Arial"/>
          <w:sz w:val="20"/>
        </w:rPr>
        <w:t xml:space="preserve">Lung tissue homogenates were used for sandwich ELISA. IL-4, IL-5, </w:t>
      </w:r>
      <w:r w:rsidRPr="001C0F5C">
        <w:rPr>
          <w:rFonts w:ascii="Arial" w:hAnsi="Arial" w:cs="Arial"/>
          <w:sz w:val="20"/>
          <w:lang w:val="en-GB"/>
        </w:rPr>
        <w:t>TGF-</w:t>
      </w:r>
      <w:r w:rsidRPr="001C0F5C">
        <w:rPr>
          <w:rFonts w:ascii="Arial" w:hAnsi="Arial" w:cs="Arial"/>
          <w:sz w:val="20"/>
          <w:lang w:val="en-GB"/>
        </w:rPr>
        <w:sym w:font="Symbol" w:char="F062"/>
      </w:r>
      <w:r w:rsidRPr="001C0F5C">
        <w:rPr>
          <w:rFonts w:ascii="Arial" w:hAnsi="Arial" w:cs="Arial"/>
          <w:sz w:val="20"/>
          <w:lang w:val="en-GB"/>
        </w:rPr>
        <w:t>1, IFN-γ</w:t>
      </w:r>
      <w:r w:rsidRPr="001C0F5C">
        <w:rPr>
          <w:rFonts w:ascii="Arial" w:hAnsi="Arial" w:cs="Arial"/>
          <w:sz w:val="20"/>
        </w:rPr>
        <w:t xml:space="preserve"> (BD Biosciences), IL-13 (R &amp;D), Il-17 (ebioscience), </w:t>
      </w:r>
      <w:r w:rsidRPr="001C0F5C">
        <w:rPr>
          <w:rFonts w:ascii="Arial" w:hAnsi="Arial" w:cs="Arial"/>
          <w:sz w:val="20"/>
          <w:lang w:val="en-GB"/>
        </w:rPr>
        <w:t>PHD2 and HIF-1</w:t>
      </w:r>
      <w:r w:rsidRPr="001C0F5C">
        <w:rPr>
          <w:rFonts w:ascii="Arial" w:hAnsi="Arial" w:cs="Arial"/>
          <w:sz w:val="20"/>
          <w:lang w:val="en-GB"/>
        </w:rPr>
        <w:sym w:font="Symbol" w:char="F061"/>
      </w:r>
      <w:r w:rsidRPr="001C0F5C">
        <w:rPr>
          <w:rFonts w:ascii="Arial" w:hAnsi="Arial" w:cs="Arial"/>
          <w:sz w:val="20"/>
          <w:lang w:val="en-GB"/>
        </w:rPr>
        <w:t xml:space="preserve"> (USCN), were measured as per </w:t>
      </w:r>
      <w:r w:rsidRPr="001C0F5C">
        <w:rPr>
          <w:rFonts w:ascii="Arial" w:hAnsi="Arial" w:cs="Arial"/>
          <w:sz w:val="20"/>
        </w:rPr>
        <w:t xml:space="preserve">manufacturer’s instructions and results were expressed in picograms.  </w:t>
      </w:r>
    </w:p>
    <w:p w14:paraId="44C9D784" w14:textId="77777777" w:rsidR="00997A5D" w:rsidRPr="001C0F5C" w:rsidRDefault="00997A5D" w:rsidP="00997A5D">
      <w:pPr>
        <w:pStyle w:val="SMText"/>
        <w:spacing w:line="480" w:lineRule="auto"/>
        <w:jc w:val="both"/>
        <w:rPr>
          <w:rFonts w:ascii="Arial" w:hAnsi="Arial" w:cs="Arial"/>
          <w:b/>
          <w:sz w:val="20"/>
          <w:lang w:val="en-GB"/>
        </w:rPr>
      </w:pPr>
      <w:r w:rsidRPr="001C0F5C">
        <w:rPr>
          <w:rFonts w:ascii="Arial" w:hAnsi="Arial" w:cs="Arial"/>
          <w:b/>
          <w:sz w:val="20"/>
          <w:lang w:val="en-GB"/>
        </w:rPr>
        <w:t>Western Blotting</w:t>
      </w:r>
    </w:p>
    <w:p w14:paraId="0E5DAC89" w14:textId="77777777" w:rsidR="00997A5D" w:rsidRPr="001C0F5C" w:rsidRDefault="00997A5D" w:rsidP="00997A5D">
      <w:pPr>
        <w:pStyle w:val="SMText"/>
        <w:spacing w:line="480" w:lineRule="auto"/>
        <w:jc w:val="both"/>
        <w:rPr>
          <w:rFonts w:ascii="Arial" w:hAnsi="Arial" w:cs="Arial"/>
          <w:sz w:val="20"/>
          <w:lang w:val="en-GB"/>
        </w:rPr>
      </w:pPr>
      <w:r w:rsidRPr="001C0F5C">
        <w:rPr>
          <w:rFonts w:ascii="Arial" w:hAnsi="Arial" w:cs="Arial"/>
          <w:sz w:val="20"/>
          <w:lang w:val="en-GB"/>
        </w:rPr>
        <w:t>For western blot lung tissue lysate was used. Proteins was separated on 8-10 % sodium dodecyl sulphate-polyacrylamide gel electrophoresis (SDS-PAGE), transferred onto polyvinylidene fluoride (PVDF) membranes (Millipore Corp, USA). Transferred membrane were blocked with blocking buffer (5% or 10% bovine serum albumin “BSA” in phosphate buffered saline with tween 20) or with non-animal protein blocker (NAP, G biosciences). Incubated with primary antibody (abcam, USA or ebiotech, USA) in 1:1000 dilution, followed by HRP conjugated secondary antibody and detected with DAB-H</w:t>
      </w:r>
      <w:r w:rsidRPr="001C0F5C">
        <w:rPr>
          <w:rFonts w:ascii="Arial" w:hAnsi="Arial" w:cs="Arial"/>
          <w:sz w:val="20"/>
          <w:vertAlign w:val="subscript"/>
          <w:lang w:val="en-GB"/>
        </w:rPr>
        <w:t>2</w:t>
      </w:r>
      <w:r w:rsidRPr="001C0F5C">
        <w:rPr>
          <w:rFonts w:ascii="Arial" w:hAnsi="Arial" w:cs="Arial"/>
          <w:sz w:val="20"/>
          <w:lang w:val="en-GB"/>
        </w:rPr>
        <w:t>O</w:t>
      </w:r>
      <w:r w:rsidRPr="001C0F5C">
        <w:rPr>
          <w:rFonts w:ascii="Arial" w:hAnsi="Arial" w:cs="Arial"/>
          <w:sz w:val="20"/>
          <w:vertAlign w:val="subscript"/>
          <w:lang w:val="en-GB"/>
        </w:rPr>
        <w:t>2</w:t>
      </w:r>
      <w:r w:rsidRPr="001C0F5C">
        <w:rPr>
          <w:rFonts w:ascii="Arial" w:hAnsi="Arial" w:cs="Arial"/>
          <w:sz w:val="20"/>
          <w:lang w:val="en-GB"/>
        </w:rPr>
        <w:t xml:space="preserve"> (Sigma, USA) or by chemiluminescence (ECL) method. α-tubulin (Sigma, St. Louis, MO, USA) or </w:t>
      </w:r>
      <w:r w:rsidRPr="001C0F5C">
        <w:rPr>
          <w:rFonts w:ascii="Arial" w:hAnsi="Arial" w:cs="Arial"/>
          <w:sz w:val="20"/>
          <w:lang w:val="en-GB"/>
        </w:rPr>
        <w:sym w:font="Symbol" w:char="F062"/>
      </w:r>
      <w:r w:rsidRPr="001C0F5C">
        <w:rPr>
          <w:rFonts w:ascii="Arial" w:hAnsi="Arial" w:cs="Arial"/>
          <w:sz w:val="20"/>
          <w:lang w:val="en-GB"/>
        </w:rPr>
        <w:t>-actin was used as a loading control. Signals were detected by spot densitometry (Image J software).</w:t>
      </w:r>
    </w:p>
    <w:p w14:paraId="3AB0C57B" w14:textId="77777777" w:rsidR="00997A5D" w:rsidRPr="001C0F5C" w:rsidRDefault="00997A5D" w:rsidP="00997A5D">
      <w:pPr>
        <w:pStyle w:val="SMText"/>
        <w:spacing w:line="480" w:lineRule="auto"/>
        <w:jc w:val="both"/>
        <w:rPr>
          <w:rFonts w:ascii="Arial" w:hAnsi="Arial" w:cs="Arial"/>
          <w:b/>
          <w:sz w:val="20"/>
          <w:lang w:val="en-GB"/>
        </w:rPr>
      </w:pPr>
      <w:r w:rsidRPr="001C0F5C">
        <w:rPr>
          <w:rFonts w:ascii="Arial" w:hAnsi="Arial" w:cs="Arial"/>
          <w:b/>
          <w:sz w:val="20"/>
          <w:lang w:val="en-GB"/>
        </w:rPr>
        <w:t xml:space="preserve">Transfection, </w:t>
      </w:r>
      <w:proofErr w:type="gramStart"/>
      <w:r w:rsidRPr="001C0F5C">
        <w:rPr>
          <w:rFonts w:ascii="Arial" w:hAnsi="Arial" w:cs="Arial"/>
          <w:b/>
          <w:sz w:val="20"/>
          <w:lang w:val="en-GB"/>
        </w:rPr>
        <w:t>Immunofluorescence</w:t>
      </w:r>
      <w:proofErr w:type="gramEnd"/>
      <w:r w:rsidRPr="001C0F5C">
        <w:rPr>
          <w:rFonts w:ascii="Arial" w:hAnsi="Arial" w:cs="Arial"/>
          <w:b/>
          <w:sz w:val="20"/>
          <w:lang w:val="en-GB"/>
        </w:rPr>
        <w:t xml:space="preserve"> and imaging</w:t>
      </w:r>
    </w:p>
    <w:p w14:paraId="2A94E4FD" w14:textId="77777777" w:rsidR="00997A5D" w:rsidRPr="001C0F5C" w:rsidRDefault="00997A5D" w:rsidP="00997A5D">
      <w:pPr>
        <w:pStyle w:val="SMText"/>
        <w:spacing w:line="480" w:lineRule="auto"/>
        <w:jc w:val="both"/>
        <w:rPr>
          <w:rFonts w:ascii="Arial" w:hAnsi="Arial" w:cs="Arial"/>
          <w:sz w:val="20"/>
        </w:rPr>
      </w:pPr>
      <w:r w:rsidRPr="001C0F5C">
        <w:rPr>
          <w:rFonts w:ascii="Arial" w:hAnsi="Arial" w:cs="Arial"/>
          <w:sz w:val="20"/>
        </w:rPr>
        <w:t xml:space="preserve">Human bronchial epithelial cells (BEAS2B) were seeded on glass bottomed dish in 6-well plate and cultured in bronchial epithelial cell growth medium. Cells were transfected with GFP-Mito(mito-GFP) was purchased from </w:t>
      </w:r>
      <w:proofErr w:type="spellStart"/>
      <w:r w:rsidRPr="001C0F5C">
        <w:rPr>
          <w:rFonts w:ascii="Arial" w:hAnsi="Arial" w:cs="Arial"/>
          <w:sz w:val="20"/>
        </w:rPr>
        <w:t>addagene</w:t>
      </w:r>
      <w:proofErr w:type="spellEnd"/>
      <w:r w:rsidRPr="001C0F5C">
        <w:rPr>
          <w:rFonts w:ascii="Arial" w:hAnsi="Arial" w:cs="Arial"/>
          <w:sz w:val="20"/>
        </w:rPr>
        <w:t xml:space="preserve"> as per manufactures instruction. This was generous gift from Dr. Shital (CSIR-IGIB, Delhi). </w:t>
      </w:r>
      <w:proofErr w:type="gramStart"/>
      <w:r w:rsidRPr="001C0F5C">
        <w:rPr>
          <w:rFonts w:ascii="Arial" w:hAnsi="Arial" w:cs="Arial"/>
          <w:sz w:val="20"/>
        </w:rPr>
        <w:t>Similarly</w:t>
      </w:r>
      <w:proofErr w:type="gramEnd"/>
      <w:r w:rsidRPr="001C0F5C">
        <w:rPr>
          <w:rFonts w:ascii="Arial" w:hAnsi="Arial" w:cs="Arial"/>
          <w:sz w:val="20"/>
        </w:rPr>
        <w:t xml:space="preserve"> for immunofluorescence, after appropriate induction, cells were fixed with 2% paraformaldehyde and permeabilized with 0.1% Triton-X100 (Sigma). Blocking was done with </w:t>
      </w:r>
      <w:r w:rsidRPr="001C0F5C">
        <w:rPr>
          <w:rFonts w:ascii="Arial" w:hAnsi="Arial" w:cs="Arial"/>
          <w:sz w:val="20"/>
        </w:rPr>
        <w:lastRenderedPageBreak/>
        <w:t xml:space="preserve">1.5% BSA. These cells then were labeled with TOM 20 primary antibody (Santacruz), followed by Alexa Fluor 488 (Invitrogen) conjugated secondary antibodies. DAPI (Invitrogen) was used for nuclear staining. </w:t>
      </w:r>
    </w:p>
    <w:p w14:paraId="2D218791" w14:textId="77777777" w:rsidR="00997A5D" w:rsidRPr="001C0F5C" w:rsidRDefault="00997A5D" w:rsidP="00997A5D">
      <w:pPr>
        <w:pStyle w:val="SMText"/>
        <w:spacing w:line="480" w:lineRule="auto"/>
        <w:jc w:val="both"/>
        <w:rPr>
          <w:rFonts w:ascii="Arial" w:hAnsi="Arial" w:cs="Arial"/>
          <w:sz w:val="20"/>
        </w:rPr>
      </w:pPr>
      <w:r w:rsidRPr="001C0F5C">
        <w:rPr>
          <w:rFonts w:ascii="Arial" w:hAnsi="Arial" w:cs="Arial"/>
          <w:sz w:val="20"/>
        </w:rPr>
        <w:t xml:space="preserve">The fluorescent images were collected using point scanning laser confocal microscope system (Nikon A1R-HD, Japan; Leica TCS SP8, Germany) with 60X, 1.4N oil immersion objective lens. The imaging software NIS element AR 5.11.01 and LAX3.1.5 was used to process the raw recorded image data.  Modified version of the mitochondrial morphology plugin of ImageJ was used for automated mitochondrial morphometric analysis </w:t>
      </w:r>
      <w:r w:rsidRPr="001C0F5C">
        <w:rPr>
          <w:rFonts w:ascii="Arial" w:hAnsi="Arial" w:cs="Arial"/>
          <w:sz w:val="20"/>
        </w:rPr>
        <w:fldChar w:fldCharType="begin" w:fldLock="1"/>
      </w:r>
      <w:r>
        <w:rPr>
          <w:rFonts w:ascii="Arial" w:hAnsi="Arial" w:cs="Arial"/>
          <w:sz w:val="20"/>
        </w:rPr>
        <w:instrText xml:space="preserve">ADDIN CSL_CITATION {"citationItems":[{"id":"ITEM-1","itemData":{"DOI":"10.1016/j.acthis.2017.03.001","ISSN":"00651281","PMID":"28314612","abstract":"Mitochondria exist in a dynamic cycle of fusion and fission whose balance directly influences the morphology of the 'mitochondrial network', a term that encompasses the branched, reticular structure of fused mitochondria as well as the separate, punctate individual organelles within a eukaryotic cell. Over the past decade, the significance of the mitochondrial network has been increasingly appreciated, motivating the development of various approaches to analyze it. Here, we describe the Mitochondrial Network Analysis (MiNA) toolset, a relatively simple pair of macros making use of existing ImageJ plug-ins, allowing for semi-automated analysis of mitochondrial networks in cultured mammalian cells. MiNA is freely available at https://github.com/ScienceToolkit/MiNA. The tool incorporates optional preprocessing steps to enhance the quality of images before converting the images to binary and producing a morphological skeleton for calculating nine parameters to quantitatively capture the morphology of the mitochondrial network. The efficacy of the macro toolset is demonstrated using a sample set of images from SH-SY5Y, C2C12, and mouse embryo fibroblast (MEF) cell cultures treated under different conditions and exhibiting hyperfused, fused, and fragmented mitochondrial network morphologies.","author":[{"dropping-particle":"","family":"Valente","given":"Andrew J.","non-dropping-particle":"","parse-names":false,"suffix":""},{"dropping-particle":"","family":"Maddalena","given":"Lucas A.","non-dropping-particle":"","parse-names":false,"suffix":""},{"dropping-particle":"","family":"Robb","given":"Ellen L.","non-dropping-particle":"","parse-names":false,"suffix":""},{"dropping-particle":"","family":"Moradi","given":"Fereshteh","non-dropping-particle":"","parse-names":false,"suffix":""},{"dropping-particle":"","family":"Stuart","given":"Jeffrey A.","non-dropping-particle":"","parse-names":false,"suffix":""}],"container-title":"Acta Histochemica","id":"ITEM-1","issue":"3","issued":{"date-parts":[["2017","4"]]},"page":"315-326","title":"A simple ImageJ macro tool for analyzing mitochondrial network morphology in mammalian cell culture","type":"article-journal","volume":"119"},"uris":["http://www.mendeley.com/documents/?uuid=a12a485a-81b0-35dc-a5f1-1aa638741258"]},{"id":"ITEM-2","itemData":{"DOI":"10.1016/j.jneumeth.2016.01.008","ISSN":"01650270","PMID":"26777473","abstract":"BACKGROUND Studies of mitochondrial morphology vary in techniques. Most use one morphological parameter while others describe mitochondria qualitatively. Because mitochondria are so dynamic, a single parameter does not capture the true state of the network and may lead to erroneous conclusions. Thus, a gestalt method of analysis is warranted. NEW METHOD This work describes a method combining immunofluorescence assays with computerized image analysis to measure the mitochondrial morphology within neuritic projections of a specific population of neurons. Six parameters of mitochondrial morphology were examined utilizing ImageJ to analyze colocalized signals. RESULTS Using primary neuronal cultures from Drosophila, we tested mitochondrial morphology in neurites of dopaminergic (DA) neurons. We validate our model using mutants with known defects in mitochondrial morphology. Furthermore, we show a difference in mitochondrial morphology between cells treated as control or with a neurotoxin inducing PD (Parkinson's Disease in humans)-like pathology. We also show interactions between morphological parameters and experimental treatment. COMPARISON WITH EXISTING METHODS Our method is a significant improvement of previously described methods. Six morphometric parameters are quantified, providing a gestalt analysis of mitochondrial morphology. Also it can target specific populations of mitochondria using immunofluorescence assay and image analysis. CONCLUSIONS We found that our method adequately detects differences in mitochondrial morphology between treatment groups. We conclude that some parameters may be unique to a mutation or a disease state, and the relationship between parameters is altered by experimental treatment. We suggest at least four variables should be considered when using mitochondrial structure as an experimental endpoint.","author":[{"dropping-particle":"","family":"Wiemerslage","given":"Lyle","non-dropping-particle":"","parse-names":false,"suffix":""},{"dropping-particle":"","family":"Lee","given":"Daewoo","non-dropping-particle":"","parse-names":false,"suffix":""}],"container-title":"Journal of Neuroscience Methods","id":"ITEM-2","issued":{"date-parts":[["2016","3","15"]]},"page":"56-65","title":"Quantification of mitochondrial morphology in neurites of dopaminergic neurons using multiple parameters","type":"article-journal","volume":"262"},"uris":["http://www.mendeley.com/documents/?uuid=552be18f-31f3-3d6c-8166-4d96e4a0f598"]},{"id":"ITEM-3","itemData":{"DOI":"10.1038/nprot.2016.094","ISSN":"1754-2189","PMID":"27560174","abstract":"Mitochondria have a central role in cellular (patho)physiology, and they display a highly variable morphology that is probably coupled to their functional state. Here we present a protocol that allows unbiased and automated quantification of mitochondrial 'morphofunction' (i.e., morphology and membrane potential), cellular parameters (size, confluence) and nuclear parameters (number, morphology) in intact living primary human skin fibroblasts (PHSFs). Cells are cultured in 96-well plates and stained with tetramethyl rhodamine methyl ester (TMRM), calcein-AM (acetoxy-methyl ester) and Hoechst 33258. Next, multispectral fluorescence images are acquired using automated microscopy and processed to extract 44 descriptors. Subsequently, the descriptor data are subjected to a quality control (QC) algorithm based upon principal component analysis (PCA) and interpreted using univariate, bivariate and multivariate analysis. The protocol requires a time investment of </w:instrText>
      </w:r>
      <w:r>
        <w:rPr>
          <w:rFonts w:ascii="Cambria Math" w:hAnsi="Cambria Math" w:cs="Cambria Math"/>
          <w:sz w:val="20"/>
        </w:rPr>
        <w:instrText>∼</w:instrText>
      </w:r>
      <w:r>
        <w:rPr>
          <w:rFonts w:ascii="Arial" w:hAnsi="Arial" w:cs="Arial"/>
          <w:sz w:val="20"/>
        </w:rPr>
        <w:instrText>4 h distributed over 2 d. Although it is specifically developed for PHSFs, which are widely used in preclinical research, the protocol is portable to other cell types and can be scaled up for implementation in high-content screening.","author":[{"dropping-particle":"","family":"Iannetti","given":"Eligio F","non-dropping-particle":"","parse-names":false,"suffix":""},{"dropping-particle":"","family":"Smeitink","given":"Jan A M","non-dropping-particle":"","parse-names":false,"suffix":""},{"dropping-particle":"","family":"Beyrath","given":"Julien","non-dropping-particle":"","parse-names":false,"suffix":""},{"dropping-particle":"","family":"Willems","given":"Peter H G M","non-dropping-particle":"","parse-names":false,"suffix":""},{"dropping-particle":"","family":"Koopman","given":"Werner J H","non-dropping-particle":"","parse-names":false,"suffix":""}],"container-title":"Nature Protocols","id":"ITEM-3","issue":"9","issued":{"date-parts":[["2016","9","18"]]},"page":"1693-1710","title":"Multiplexed high-content analysis of mitochondrial morphofunction using live-cell microscopy","type":"article-journal","volume":"11"},"uris":["http://www.mendeley.com/documents/?uuid=896fe222-bad8-3898-9d02-3d37d2e720f3"]}],"mendeley":{"formattedCitation":"(4, 10, 11)","plainTextFormattedCitation":"(4, 10, 11)","previouslyFormattedCitation":"(4, 9, 10)"},"properties":{"noteIndex":0},"schema":"https://github.com/citation-style-language/schema/raw/master/csl-citation.json"}</w:instrText>
      </w:r>
      <w:r w:rsidRPr="001C0F5C">
        <w:rPr>
          <w:rFonts w:ascii="Arial" w:hAnsi="Arial" w:cs="Arial"/>
          <w:sz w:val="20"/>
        </w:rPr>
        <w:fldChar w:fldCharType="separate"/>
      </w:r>
      <w:r w:rsidRPr="009A4608">
        <w:rPr>
          <w:rFonts w:ascii="Arial" w:hAnsi="Arial" w:cs="Arial"/>
          <w:noProof/>
          <w:sz w:val="20"/>
        </w:rPr>
        <w:t>(4, 10, 11)</w:t>
      </w:r>
      <w:r w:rsidRPr="001C0F5C">
        <w:rPr>
          <w:rFonts w:ascii="Arial" w:hAnsi="Arial" w:cs="Arial"/>
          <w:sz w:val="20"/>
        </w:rPr>
        <w:fldChar w:fldCharType="end"/>
      </w:r>
      <w:r w:rsidRPr="001C0F5C">
        <w:rPr>
          <w:rFonts w:ascii="Arial" w:hAnsi="Arial" w:cs="Arial"/>
          <w:sz w:val="20"/>
        </w:rPr>
        <w:t>.</w:t>
      </w:r>
    </w:p>
    <w:p w14:paraId="7A5A8E5A" w14:textId="77777777" w:rsidR="00997A5D" w:rsidRPr="001C0F5C" w:rsidRDefault="00997A5D" w:rsidP="00997A5D">
      <w:pPr>
        <w:pStyle w:val="SMText"/>
        <w:spacing w:line="480" w:lineRule="auto"/>
        <w:jc w:val="both"/>
        <w:rPr>
          <w:rFonts w:ascii="Arial" w:hAnsi="Arial" w:cs="Arial"/>
          <w:b/>
          <w:i/>
          <w:sz w:val="20"/>
          <w:lang w:val="en-GB"/>
        </w:rPr>
      </w:pPr>
      <w:r w:rsidRPr="001C0F5C">
        <w:rPr>
          <w:rFonts w:ascii="Arial" w:hAnsi="Arial" w:cs="Arial"/>
          <w:b/>
          <w:i/>
          <w:sz w:val="20"/>
          <w:lang w:val="en-GB"/>
        </w:rPr>
        <w:t xml:space="preserve">In Vitro </w:t>
      </w:r>
      <w:r w:rsidRPr="001C0F5C">
        <w:rPr>
          <w:rFonts w:ascii="Arial" w:hAnsi="Arial" w:cs="Arial"/>
          <w:b/>
          <w:sz w:val="20"/>
          <w:lang w:val="en-GB"/>
        </w:rPr>
        <w:t>Culture of Human Bronchial and Alveolar Epithelial cells</w:t>
      </w:r>
    </w:p>
    <w:p w14:paraId="7F141A3D" w14:textId="77777777" w:rsidR="00997A5D" w:rsidRPr="001C0F5C" w:rsidRDefault="00997A5D" w:rsidP="00997A5D">
      <w:pPr>
        <w:pStyle w:val="SMText"/>
        <w:spacing w:line="480" w:lineRule="auto"/>
        <w:jc w:val="both"/>
        <w:rPr>
          <w:rFonts w:ascii="Arial" w:hAnsi="Arial" w:cs="Arial"/>
          <w:sz w:val="20"/>
          <w:lang w:val="en-GB"/>
        </w:rPr>
      </w:pPr>
      <w:r w:rsidRPr="001C0F5C">
        <w:rPr>
          <w:rFonts w:ascii="Arial" w:hAnsi="Arial" w:cs="Arial"/>
          <w:sz w:val="20"/>
          <w:lang w:val="en-GB"/>
        </w:rPr>
        <w:t xml:space="preserve">Human bronchial epithelial cells (BEAS 2B) and </w:t>
      </w:r>
      <w:r w:rsidRPr="001C0F5C">
        <w:rPr>
          <w:rFonts w:ascii="Arial" w:hAnsi="Arial" w:cs="Arial"/>
          <w:sz w:val="20"/>
        </w:rPr>
        <w:t>adenocarcinomic human alveolar basal epithelial cell line (A549) was obtained from ATCC and cultured in DMEM high glucose medium (obtained from Sigma). For the induction of cellular hypoxia stress cells were treated with DMOG (1 mM/ml, Dimethyloxallyl Glycine, Cayman, 71210) or vehicle (DMSO and distill water) as control. After 8 hours of DMOG treatment, cells were treated with AV extract (</w:t>
      </w:r>
      <w:r w:rsidRPr="001C0F5C">
        <w:rPr>
          <w:rFonts w:ascii="Arial" w:hAnsi="Arial" w:cs="Arial"/>
          <w:sz w:val="20"/>
          <w:lang w:val="en-GB"/>
        </w:rPr>
        <w:t>10</w:t>
      </w:r>
      <w:r w:rsidRPr="001C0F5C">
        <w:rPr>
          <w:rFonts w:ascii="Arial" w:hAnsi="Arial" w:cs="Arial"/>
          <w:sz w:val="20"/>
          <w:lang w:val="en-GB"/>
        </w:rPr>
        <w:sym w:font="Symbol" w:char="F06D"/>
      </w:r>
      <w:r w:rsidRPr="001C0F5C">
        <w:rPr>
          <w:rFonts w:ascii="Arial" w:hAnsi="Arial" w:cs="Arial"/>
          <w:sz w:val="20"/>
          <w:lang w:val="en-GB"/>
        </w:rPr>
        <w:t>g/ml), and Dex (10</w:t>
      </w:r>
      <w:r w:rsidRPr="001C0F5C">
        <w:rPr>
          <w:rFonts w:ascii="Arial" w:hAnsi="Arial" w:cs="Arial"/>
          <w:sz w:val="20"/>
          <w:lang w:val="en-GB"/>
        </w:rPr>
        <w:sym w:font="Symbol" w:char="F06D"/>
      </w:r>
      <w:r w:rsidRPr="001C0F5C">
        <w:rPr>
          <w:rFonts w:ascii="Arial" w:hAnsi="Arial" w:cs="Arial"/>
          <w:sz w:val="20"/>
          <w:lang w:val="en-GB"/>
        </w:rPr>
        <w:t>M/ml). After 24 hrs o treatment, cells were harvested and the levels of HIF-1</w:t>
      </w:r>
      <w:r w:rsidRPr="001C0F5C">
        <w:rPr>
          <w:rFonts w:ascii="Arial" w:hAnsi="Arial" w:cs="Arial"/>
          <w:sz w:val="20"/>
          <w:lang w:val="en-GB"/>
        </w:rPr>
        <w:sym w:font="Symbol" w:char="F061"/>
      </w:r>
      <w:r w:rsidRPr="001C0F5C">
        <w:rPr>
          <w:rFonts w:ascii="Arial" w:hAnsi="Arial" w:cs="Arial"/>
          <w:sz w:val="20"/>
          <w:lang w:val="en-GB"/>
        </w:rPr>
        <w:t xml:space="preserve"> was determined in cell lysates (USCN life Science, China) by western blot.</w:t>
      </w:r>
    </w:p>
    <w:p w14:paraId="413F86A1" w14:textId="77777777" w:rsidR="00997A5D" w:rsidRPr="001C0F5C" w:rsidRDefault="00997A5D" w:rsidP="00997A5D">
      <w:pPr>
        <w:pStyle w:val="SMText"/>
        <w:spacing w:line="480" w:lineRule="auto"/>
        <w:jc w:val="both"/>
        <w:rPr>
          <w:rFonts w:ascii="Arial" w:hAnsi="Arial" w:cs="Arial"/>
          <w:b/>
          <w:sz w:val="20"/>
          <w:lang w:val="en-GB"/>
        </w:rPr>
      </w:pPr>
      <w:r w:rsidRPr="001C0F5C">
        <w:rPr>
          <w:rFonts w:ascii="Arial" w:hAnsi="Arial" w:cs="Arial"/>
          <w:b/>
          <w:sz w:val="20"/>
          <w:lang w:val="en-GB"/>
        </w:rPr>
        <w:t>Seahorse assay experiment</w:t>
      </w:r>
    </w:p>
    <w:p w14:paraId="3D1C9AB1" w14:textId="77777777" w:rsidR="00997A5D" w:rsidRPr="001C0F5C" w:rsidRDefault="00997A5D" w:rsidP="00997A5D">
      <w:pPr>
        <w:pStyle w:val="SMText"/>
        <w:spacing w:line="480" w:lineRule="auto"/>
        <w:jc w:val="both"/>
        <w:rPr>
          <w:rFonts w:ascii="Arial" w:hAnsi="Arial" w:cs="Arial"/>
          <w:sz w:val="20"/>
          <w:lang w:val="en-GB"/>
        </w:rPr>
      </w:pPr>
      <w:r w:rsidRPr="001C0F5C">
        <w:rPr>
          <w:rFonts w:ascii="Arial" w:hAnsi="Arial" w:cs="Arial"/>
          <w:sz w:val="20"/>
          <w:lang w:val="en-GB"/>
        </w:rPr>
        <w:t xml:space="preserve">Cells were seeded in a 24-well plate of the seahorse format (sup fig), with a seeding density 40000 and 60000 cells per well per 100 μl media for BEAS-2B and A549 respectively. The wells A1, B4, C3 and D6 served as blank and were left without any cells; only media was added to these wells. After 5 hours, when the cells adhered and almost attained morphology, additional 900μl media was added to each well. For the seahorse experiment, following groups were set up: Vehicle (DMSO and distil water), DMOG alone , a DMOG (1mM; 8 hours), AV extract (24 hours), </w:t>
      </w:r>
      <w:proofErr w:type="spellStart"/>
      <w:r w:rsidRPr="001C0F5C">
        <w:rPr>
          <w:rFonts w:ascii="Arial" w:hAnsi="Arial" w:cs="Arial"/>
          <w:sz w:val="20"/>
          <w:lang w:val="en-GB"/>
        </w:rPr>
        <w:t>DMOG+Dex</w:t>
      </w:r>
      <w:proofErr w:type="spellEnd"/>
      <w:r w:rsidRPr="001C0F5C">
        <w:rPr>
          <w:rFonts w:ascii="Arial" w:hAnsi="Arial" w:cs="Arial"/>
          <w:sz w:val="20"/>
          <w:lang w:val="en-GB"/>
        </w:rPr>
        <w:t xml:space="preserve"> (10</w:t>
      </w:r>
      <w:r w:rsidRPr="001C0F5C">
        <w:rPr>
          <w:rFonts w:ascii="Arial" w:hAnsi="Arial" w:cs="Arial"/>
          <w:sz w:val="20"/>
          <w:lang w:val="en-GB"/>
        </w:rPr>
        <w:sym w:font="Symbol" w:char="F06D"/>
      </w:r>
      <w:r w:rsidRPr="001C0F5C">
        <w:rPr>
          <w:rFonts w:ascii="Arial" w:hAnsi="Arial" w:cs="Arial"/>
          <w:sz w:val="20"/>
          <w:lang w:val="en-GB"/>
        </w:rPr>
        <w:t xml:space="preserve">M/ml of Dex was added to cells after 8 hours of DMOG treatment and incubated for further 24 hours), DMOG + AV extract (AV extract is added to cells after 8 hours of DMOG treatment and incubated for further 24 hours), and </w:t>
      </w:r>
      <w:proofErr w:type="spellStart"/>
      <w:r w:rsidRPr="001C0F5C">
        <w:rPr>
          <w:rFonts w:ascii="Arial" w:hAnsi="Arial" w:cs="Arial"/>
          <w:sz w:val="20"/>
          <w:lang w:val="en-GB"/>
        </w:rPr>
        <w:t>DMOG+Dex+AV</w:t>
      </w:r>
      <w:proofErr w:type="spellEnd"/>
      <w:r w:rsidRPr="001C0F5C">
        <w:rPr>
          <w:rFonts w:ascii="Arial" w:hAnsi="Arial" w:cs="Arial"/>
          <w:sz w:val="20"/>
          <w:lang w:val="en-GB"/>
        </w:rPr>
        <w:t xml:space="preserve">. The next day, in fresh media, 1mM DMOG and corresponding volume of DMSO was added to the designated wells. After 8 hours, AV extract </w:t>
      </w:r>
      <w:r w:rsidRPr="001C0F5C">
        <w:rPr>
          <w:rFonts w:ascii="Arial" w:hAnsi="Arial" w:cs="Arial"/>
          <w:sz w:val="20"/>
        </w:rPr>
        <w:t>(</w:t>
      </w:r>
      <w:r w:rsidRPr="001C0F5C">
        <w:rPr>
          <w:rFonts w:ascii="Arial" w:hAnsi="Arial" w:cs="Arial"/>
          <w:sz w:val="20"/>
          <w:lang w:val="en-GB"/>
        </w:rPr>
        <w:t>10</w:t>
      </w:r>
      <w:r w:rsidRPr="001C0F5C">
        <w:rPr>
          <w:rFonts w:ascii="Arial" w:hAnsi="Arial" w:cs="Arial"/>
          <w:sz w:val="20"/>
          <w:lang w:val="en-GB"/>
        </w:rPr>
        <w:sym w:font="Symbol" w:char="F06D"/>
      </w:r>
      <w:r w:rsidRPr="001C0F5C">
        <w:rPr>
          <w:rFonts w:ascii="Arial" w:hAnsi="Arial" w:cs="Arial"/>
          <w:sz w:val="20"/>
          <w:lang w:val="en-GB"/>
        </w:rPr>
        <w:t xml:space="preserve">g/ml) was added to the respective wells.  After 24 hours of AV extract induction, seahorse experiment was initiated to test mitochondrial function and it was determined by XF Cell Mito Stress Test assay using </w:t>
      </w:r>
      <w:r w:rsidRPr="001C0F5C">
        <w:rPr>
          <w:rFonts w:ascii="Arial" w:hAnsi="Arial" w:cs="Arial"/>
          <w:sz w:val="20"/>
        </w:rPr>
        <w:t>manufacturer’s instructions</w:t>
      </w:r>
      <w:r w:rsidRPr="001C0F5C">
        <w:rPr>
          <w:rFonts w:ascii="Arial" w:hAnsi="Arial" w:cs="Arial"/>
          <w:sz w:val="20"/>
          <w:lang w:val="en-GB"/>
        </w:rPr>
        <w:t xml:space="preserve">. A day prior to the seahorse experiment, a sensor cartridge was hydrated in Seahorse XF Calibrant at 37°C in a </w:t>
      </w:r>
      <w:r w:rsidRPr="001C0F5C">
        <w:rPr>
          <w:rFonts w:ascii="Arial" w:hAnsi="Arial" w:cs="Arial"/>
          <w:sz w:val="20"/>
          <w:lang w:val="en-GB"/>
        </w:rPr>
        <w:lastRenderedPageBreak/>
        <w:t>non-CO</w:t>
      </w:r>
      <w:r w:rsidRPr="001C0F5C">
        <w:rPr>
          <w:rFonts w:ascii="Arial" w:hAnsi="Arial" w:cs="Arial"/>
          <w:sz w:val="20"/>
          <w:vertAlign w:val="subscript"/>
          <w:lang w:val="en-GB"/>
        </w:rPr>
        <w:t>2</w:t>
      </w:r>
      <w:r w:rsidRPr="001C0F5C">
        <w:rPr>
          <w:rFonts w:ascii="Arial" w:hAnsi="Arial" w:cs="Arial"/>
          <w:sz w:val="20"/>
          <w:lang w:val="en-GB"/>
        </w:rPr>
        <w:t xml:space="preserve"> incubator overnight. On the day of the experiment, assay medium was prepared by adding 1mM pyruvate, 2mM glutamine and 10mM glucose to the basal medium. The pH of the medium was adjusted using 0.1N NaOH and warmed to 37°C until use. After the 24 hours incubation of cells with AV extract, the cell culture media was replaced with the prepared assay medium for 1 hour. After this, the wells were washed thrice with the assay medium. Meanwhile, antibiotics were prepared and added to respective ports in a constant volume mode. Following were the final concentrations at which the inhibitors was used: Oligomycin 1μM, FCCP 2μM, Rotenone 0.5 μM. Once the plate containing cells is ready and the ports have been loaded with the inhibitors, it was placed in the seahorse instrument and run. After the run, the data was normalised with protein content in each well and analysed further on.</w:t>
      </w:r>
    </w:p>
    <w:p w14:paraId="0D6747BA" w14:textId="77777777" w:rsidR="00997A5D" w:rsidRDefault="00997A5D" w:rsidP="00997A5D">
      <w:pPr>
        <w:pStyle w:val="SMText"/>
        <w:spacing w:line="480" w:lineRule="auto"/>
        <w:jc w:val="both"/>
        <w:rPr>
          <w:rFonts w:ascii="Arial" w:hAnsi="Arial" w:cs="Arial"/>
          <w:b/>
          <w:sz w:val="20"/>
          <w:lang w:val="en-GB"/>
        </w:rPr>
      </w:pPr>
      <w:r w:rsidRPr="00A45621">
        <w:rPr>
          <w:rFonts w:ascii="Arial" w:hAnsi="Arial" w:cs="Arial"/>
          <w:b/>
          <w:sz w:val="20"/>
          <w:lang w:val="en-GB"/>
        </w:rPr>
        <w:t>Molecular Docking</w:t>
      </w:r>
    </w:p>
    <w:p w14:paraId="4E3772BA" w14:textId="77777777" w:rsidR="00997A5D" w:rsidRPr="00A45621" w:rsidRDefault="00997A5D" w:rsidP="00997A5D">
      <w:pPr>
        <w:pStyle w:val="SMText"/>
        <w:spacing w:line="480" w:lineRule="auto"/>
        <w:jc w:val="both"/>
        <w:rPr>
          <w:rFonts w:ascii="Arial" w:hAnsi="Arial" w:cs="Arial"/>
          <w:b/>
          <w:sz w:val="20"/>
          <w:lang w:val="en-GB"/>
        </w:rPr>
      </w:pPr>
      <w:r w:rsidRPr="00A45621">
        <w:rPr>
          <w:rFonts w:ascii="Arial" w:hAnsi="Arial" w:cs="Arial"/>
          <w:bCs/>
          <w:sz w:val="20"/>
          <w:lang w:val="en-GB"/>
        </w:rPr>
        <w:t xml:space="preserve">The available 3D crystal structures of hypoxia and inflammation pathway proteins such as </w:t>
      </w:r>
      <w:r>
        <w:rPr>
          <w:rFonts w:ascii="Arial" w:hAnsi="Arial" w:cs="Arial"/>
          <w:bCs/>
          <w:sz w:val="20"/>
          <w:lang w:val="en-GB"/>
        </w:rPr>
        <w:t>h</w:t>
      </w:r>
      <w:r w:rsidRPr="00A45621">
        <w:rPr>
          <w:rFonts w:ascii="Arial" w:hAnsi="Arial" w:cs="Arial"/>
          <w:bCs/>
          <w:sz w:val="20"/>
          <w:lang w:val="en-GB"/>
        </w:rPr>
        <w:t xml:space="preserve">ypoxia-inducible factor-1 alpha (HIF-1α) (1L8C), </w:t>
      </w:r>
      <w:r>
        <w:rPr>
          <w:rFonts w:ascii="Arial" w:hAnsi="Arial" w:cs="Arial"/>
          <w:bCs/>
          <w:sz w:val="20"/>
          <w:lang w:val="en-GB"/>
        </w:rPr>
        <w:t>t</w:t>
      </w:r>
      <w:r w:rsidRPr="00A45621">
        <w:rPr>
          <w:rFonts w:ascii="Arial" w:hAnsi="Arial" w:cs="Arial"/>
          <w:bCs/>
          <w:sz w:val="20"/>
          <w:lang w:val="en-GB"/>
        </w:rPr>
        <w:t xml:space="preserve">ransforming growth factor-beta (TGF-β) (2TGI), </w:t>
      </w:r>
      <w:r>
        <w:rPr>
          <w:rFonts w:ascii="Arial" w:hAnsi="Arial" w:cs="Arial"/>
          <w:bCs/>
          <w:sz w:val="20"/>
          <w:lang w:val="en-GB"/>
        </w:rPr>
        <w:t>i</w:t>
      </w:r>
      <w:r w:rsidRPr="00A45621">
        <w:rPr>
          <w:rFonts w:ascii="Arial" w:hAnsi="Arial" w:cs="Arial"/>
          <w:bCs/>
          <w:sz w:val="20"/>
          <w:lang w:val="en-GB"/>
        </w:rPr>
        <w:t xml:space="preserve">nterferon gamma (IFN-γ) (1FG9), </w:t>
      </w:r>
      <w:proofErr w:type="spellStart"/>
      <w:r>
        <w:rPr>
          <w:rFonts w:ascii="Arial" w:hAnsi="Arial" w:cs="Arial"/>
          <w:bCs/>
          <w:sz w:val="20"/>
          <w:lang w:val="en-GB"/>
        </w:rPr>
        <w:t>janus</w:t>
      </w:r>
      <w:proofErr w:type="spellEnd"/>
      <w:r>
        <w:rPr>
          <w:rFonts w:ascii="Arial" w:hAnsi="Arial" w:cs="Arial"/>
          <w:bCs/>
          <w:sz w:val="20"/>
          <w:lang w:val="en-GB"/>
        </w:rPr>
        <w:t xml:space="preserve"> kinase-1 (</w:t>
      </w:r>
      <w:r w:rsidRPr="00A45621">
        <w:rPr>
          <w:rFonts w:ascii="Arial" w:hAnsi="Arial" w:cs="Arial"/>
          <w:bCs/>
          <w:sz w:val="20"/>
          <w:lang w:val="en-GB"/>
        </w:rPr>
        <w:t>JAK</w:t>
      </w:r>
      <w:r>
        <w:rPr>
          <w:rFonts w:ascii="Arial" w:hAnsi="Arial" w:cs="Arial"/>
          <w:bCs/>
          <w:sz w:val="20"/>
          <w:lang w:val="en-GB"/>
        </w:rPr>
        <w:t>-)</w:t>
      </w:r>
      <w:r w:rsidRPr="00A45621">
        <w:rPr>
          <w:rFonts w:ascii="Arial" w:hAnsi="Arial" w:cs="Arial"/>
          <w:bCs/>
          <w:sz w:val="20"/>
          <w:lang w:val="en-GB"/>
        </w:rPr>
        <w:t xml:space="preserve">1 (6BBU), </w:t>
      </w:r>
      <w:r>
        <w:rPr>
          <w:rFonts w:ascii="Arial" w:hAnsi="Arial" w:cs="Arial"/>
          <w:bCs/>
          <w:sz w:val="20"/>
          <w:lang w:val="en-GB"/>
        </w:rPr>
        <w:t>Janus kinase-3 (</w:t>
      </w:r>
      <w:r w:rsidRPr="00A45621">
        <w:rPr>
          <w:rFonts w:ascii="Arial" w:hAnsi="Arial" w:cs="Arial"/>
          <w:bCs/>
          <w:sz w:val="20"/>
          <w:lang w:val="en-GB"/>
        </w:rPr>
        <w:t>JAK3</w:t>
      </w:r>
      <w:r>
        <w:rPr>
          <w:rFonts w:ascii="Arial" w:hAnsi="Arial" w:cs="Arial"/>
          <w:bCs/>
          <w:sz w:val="20"/>
          <w:lang w:val="en-GB"/>
        </w:rPr>
        <w:t>)</w:t>
      </w:r>
      <w:r w:rsidRPr="00A45621">
        <w:rPr>
          <w:rFonts w:ascii="Arial" w:hAnsi="Arial" w:cs="Arial"/>
          <w:bCs/>
          <w:sz w:val="20"/>
          <w:lang w:val="en-GB"/>
        </w:rPr>
        <w:t xml:space="preserve"> (3LXK), </w:t>
      </w:r>
      <w:r>
        <w:rPr>
          <w:rFonts w:ascii="Arial" w:hAnsi="Arial" w:cs="Arial"/>
          <w:bCs/>
          <w:sz w:val="20"/>
          <w:lang w:val="en-GB"/>
        </w:rPr>
        <w:t>i</w:t>
      </w:r>
      <w:r w:rsidRPr="00A45621">
        <w:rPr>
          <w:rFonts w:ascii="Arial" w:hAnsi="Arial" w:cs="Arial"/>
          <w:bCs/>
          <w:sz w:val="20"/>
          <w:lang w:val="en-GB"/>
        </w:rPr>
        <w:t xml:space="preserve">nterleukin-6 (IL-6) (1ALU) and </w:t>
      </w:r>
      <w:r>
        <w:rPr>
          <w:rFonts w:ascii="Arial" w:hAnsi="Arial" w:cs="Arial"/>
          <w:bCs/>
          <w:sz w:val="20"/>
          <w:lang w:val="en-GB"/>
        </w:rPr>
        <w:t>t</w:t>
      </w:r>
      <w:r w:rsidRPr="00A45621">
        <w:rPr>
          <w:rFonts w:ascii="Arial" w:hAnsi="Arial" w:cs="Arial"/>
          <w:bCs/>
          <w:sz w:val="20"/>
          <w:lang w:val="en-GB"/>
        </w:rPr>
        <w:t>umour Necrosis Factor alpha (TNF-α) were taken from protein data bank (PDB)</w:t>
      </w:r>
      <w:r>
        <w:rPr>
          <w:rFonts w:ascii="Arial" w:hAnsi="Arial" w:cs="Arial"/>
          <w:bCs/>
          <w:sz w:val="20"/>
          <w:lang w:val="en-GB"/>
        </w:rPr>
        <w:t xml:space="preserve"> </w:t>
      </w:r>
      <w:r>
        <w:rPr>
          <w:rFonts w:ascii="Arial" w:hAnsi="Arial" w:cs="Arial"/>
          <w:bCs/>
          <w:sz w:val="20"/>
          <w:lang w:val="en-GB"/>
        </w:rPr>
        <w:fldChar w:fldCharType="begin" w:fldLock="1"/>
      </w:r>
      <w:r>
        <w:rPr>
          <w:rFonts w:ascii="Arial" w:hAnsi="Arial" w:cs="Arial"/>
          <w:bCs/>
          <w:sz w:val="20"/>
          <w:lang w:val="en-GB"/>
        </w:rPr>
        <w:instrText>ADDIN CSL_CITATION {"citationItems":[{"id":"ITEM-1","itemData":{"DOI":"10.1093/nar/28.1.235","ISSN":"03051048","PMID":"10592235","abstract":"The Protein Data Bank (PDB; http://www.rcsb.org/pdb/) is the single worldwide archive of structural data of biological macromolecules. This paper describes the goals of the PDB, the systems in place for data deposition and access, how to obtain further information, and near-term plans for the future development of the resource.","author":[{"dropping-particle":"","family":"Berman","given":"Helen M.","non-dropping-particle":"","parse-names":false,"suffix":""},{"dropping-particle":"","family":"Westbrook","given":"John","non-dropping-particle":"","parse-names":false,"suffix":""},{"dropping-particle":"","family":"Feng","given":"Zukang","non-dropping-particle":"","parse-names":false,"suffix":""},{"dropping-particle":"","family":"Gilliland","given":"Gary","non-dropping-particle":"","parse-names":false,"suffix":""},{"dropping-particle":"","family":"Bhat","given":"T. N.","non-dropping-particle":"","parse-names":false,"suffix":""},{"dropping-particle":"","family":"Weissig","given":"Helge","non-dropping-particle":"","parse-names":false,"suffix":""},{"dropping-particle":"","family":"Shindyalov","given":"Ilya N.","non-dropping-particle":"","parse-names":false,"suffix":""},{"dropping-particle":"","family":"Bourne","given":"Philip E.","non-dropping-particle":"","parse-names":false,"suffix":""}],"container-title":"Nucleic Acids Research","id":"ITEM-1","issue":"1","issued":{"date-parts":[["2000","1","1"]]},"page":"235-242","publisher":"Oxford University Press","title":"The Protein Data Bank","type":"article","volume":"28"},"uris":["http://www.mendeley.com/documents/?uuid=568929b1-d64d-395a-ba66-b505db5fcf1b"]}],"mendeley":{"formattedCitation":"(3)","plainTextFormattedCitation":"(3)","previouslyFormattedCitation":"(3)"},"properties":{"noteIndex":0},"schema":"https://github.com/citation-style-language/schema/raw/master/csl-citation.json"}</w:instrText>
      </w:r>
      <w:r>
        <w:rPr>
          <w:rFonts w:ascii="Arial" w:hAnsi="Arial" w:cs="Arial"/>
          <w:bCs/>
          <w:sz w:val="20"/>
          <w:lang w:val="en-GB"/>
        </w:rPr>
        <w:fldChar w:fldCharType="separate"/>
      </w:r>
      <w:r w:rsidRPr="009A4608">
        <w:rPr>
          <w:rFonts w:ascii="Arial" w:hAnsi="Arial" w:cs="Arial"/>
          <w:bCs/>
          <w:noProof/>
          <w:sz w:val="20"/>
          <w:lang w:val="en-GB"/>
        </w:rPr>
        <w:t>(3)</w:t>
      </w:r>
      <w:r>
        <w:rPr>
          <w:rFonts w:ascii="Arial" w:hAnsi="Arial" w:cs="Arial"/>
          <w:bCs/>
          <w:sz w:val="20"/>
          <w:lang w:val="en-GB"/>
        </w:rPr>
        <w:fldChar w:fldCharType="end"/>
      </w:r>
      <w:r w:rsidRPr="00A45621">
        <w:rPr>
          <w:rFonts w:ascii="Arial" w:hAnsi="Arial" w:cs="Arial"/>
          <w:bCs/>
          <w:sz w:val="20"/>
          <w:lang w:val="en-GB"/>
        </w:rPr>
        <w:t xml:space="preserve">. The active regions of the proteins were identified by COACH meta-server and the results were compared with results from </w:t>
      </w:r>
      <w:proofErr w:type="spellStart"/>
      <w:r w:rsidRPr="00A45621">
        <w:rPr>
          <w:rFonts w:ascii="Arial" w:hAnsi="Arial" w:cs="Arial"/>
          <w:bCs/>
          <w:sz w:val="20"/>
          <w:lang w:val="en-GB"/>
        </w:rPr>
        <w:t>CASTp</w:t>
      </w:r>
      <w:proofErr w:type="spellEnd"/>
      <w:r w:rsidRPr="00A45621">
        <w:rPr>
          <w:rFonts w:ascii="Arial" w:hAnsi="Arial" w:cs="Arial"/>
          <w:bCs/>
          <w:sz w:val="20"/>
          <w:lang w:val="en-GB"/>
        </w:rPr>
        <w:t xml:space="preserve"> web server</w:t>
      </w:r>
      <w:r>
        <w:rPr>
          <w:rFonts w:ascii="Arial" w:hAnsi="Arial" w:cs="Arial"/>
          <w:bCs/>
          <w:sz w:val="20"/>
          <w:lang w:val="en-GB"/>
        </w:rPr>
        <w:t xml:space="preserve"> </w:t>
      </w:r>
      <w:r>
        <w:rPr>
          <w:rFonts w:ascii="Arial" w:hAnsi="Arial" w:cs="Arial"/>
          <w:bCs/>
          <w:sz w:val="20"/>
          <w:lang w:val="en-GB"/>
        </w:rPr>
        <w:fldChar w:fldCharType="begin" w:fldLock="1"/>
      </w:r>
      <w:r>
        <w:rPr>
          <w:rFonts w:ascii="Arial" w:hAnsi="Arial" w:cs="Arial"/>
          <w:bCs/>
          <w:sz w:val="20"/>
          <w:lang w:val="en-GB"/>
        </w:rPr>
        <w:instrText>ADDIN CSL_CITATION {"citationItems":[{"id":"ITEM-1","itemData":{"DOI":"10.1093/nar/gky473","ISSN":"13624962","PMID":"29860391","abstract":"Geometric and topological properties of protein structures, including surface pockets, interior cavities and cross channels, are of fundamental importance for proteins to carry out their functions. Computed Atlas of Surface Topography of proteins (CASTp) is a web server that provides online services for locating, delineating and measuring these geometric and topological properties of protein structures. It has been widely used since its inception in 2003. In this article, we present the latest version of the web server, CASTp 3.0. CASTp 3.0 continues to provide reliable and comprehensive identifications and quantifications of protein topography. In addition, it now provides: (i) imprints of the negative volumes of pockets, cavities and channels, (ii) topographic features of biological assemblies in the Protein Data Bank, (iii) improved visualization of protein structures and pockets, and (iv) more intuitive structural and annotated information, including information of secondary structure, functional sites, variant sites and other annotations of protein residues. The CASTp 3.0 web server is freely accessible at http://sts.bioe.uic.edu/castp/.","author":[{"dropping-particle":"","family":"Tian","given":"Wei","non-dropping-particle":"","parse-names":false,"suffix":""},{"dropping-particle":"","family":"Chen","given":"Chang","non-dropping-particle":"","parse-names":false,"suffix":""},{"dropping-particle":"","family":"Lei","given":"Xue","non-dropping-particle":"","parse-names":false,"suffix":""},{"dropping-particle":"","family":"Zhao","given":"Jieling","non-dropping-particle":"","parse-names":false,"suffix":""},{"dropping-particle":"","family":"Liang","given":"Jie","non-dropping-particle":"","parse-names":false,"suffix":""}],"container-title":"Nucleic Acids Research","id":"ITEM-1","issue":"W1","issued":{"date-parts":[["2018","7","2"]]},"page":"W363-W367","publisher":"Oxford University Press","title":"CASTp 3.0: Computed atlas of surface topography of proteins","type":"article-journal","volume":"46"},"uris":["http://www.mendeley.com/documents/?uuid=d39b6a3f-e5f1-330f-a03f-550fdd50eddc"]}],"mendeley":{"formattedCitation":"(9)","plainTextFormattedCitation":"(9)"},"properties":{"noteIndex":0},"schema":"https://github.com/citation-style-language/schema/raw/master/csl-citation.json"}</w:instrText>
      </w:r>
      <w:r>
        <w:rPr>
          <w:rFonts w:ascii="Arial" w:hAnsi="Arial" w:cs="Arial"/>
          <w:bCs/>
          <w:sz w:val="20"/>
          <w:lang w:val="en-GB"/>
        </w:rPr>
        <w:fldChar w:fldCharType="separate"/>
      </w:r>
      <w:r w:rsidRPr="009A4608">
        <w:rPr>
          <w:rFonts w:ascii="Arial" w:hAnsi="Arial" w:cs="Arial"/>
          <w:bCs/>
          <w:noProof/>
          <w:sz w:val="20"/>
          <w:lang w:val="en-GB"/>
        </w:rPr>
        <w:t>(9)</w:t>
      </w:r>
      <w:r>
        <w:rPr>
          <w:rFonts w:ascii="Arial" w:hAnsi="Arial" w:cs="Arial"/>
          <w:bCs/>
          <w:sz w:val="20"/>
          <w:lang w:val="en-GB"/>
        </w:rPr>
        <w:fldChar w:fldCharType="end"/>
      </w:r>
      <w:r w:rsidRPr="00A45621">
        <w:rPr>
          <w:rFonts w:ascii="Arial" w:hAnsi="Arial" w:cs="Arial"/>
          <w:bCs/>
          <w:sz w:val="20"/>
          <w:lang w:val="en-GB"/>
        </w:rPr>
        <w:t xml:space="preserve">. In Schrodinger suite, all the target proteins were prepared using protein preparation wizard that included optimization followed by minimization of heavy atoms of proteins. The energy minimized 3D structures of all the ligands were prepared using </w:t>
      </w:r>
      <w:proofErr w:type="spellStart"/>
      <w:r w:rsidRPr="00A45621">
        <w:rPr>
          <w:rFonts w:ascii="Arial" w:hAnsi="Arial" w:cs="Arial"/>
          <w:bCs/>
          <w:sz w:val="20"/>
          <w:lang w:val="en-GB"/>
        </w:rPr>
        <w:t>LigPrep</w:t>
      </w:r>
      <w:proofErr w:type="spellEnd"/>
      <w:r w:rsidRPr="00A45621">
        <w:rPr>
          <w:rFonts w:ascii="Arial" w:hAnsi="Arial" w:cs="Arial"/>
          <w:bCs/>
          <w:sz w:val="20"/>
          <w:lang w:val="en-GB"/>
        </w:rPr>
        <w:t xml:space="preserve">. The best pose of ligands that fit well in the protein cavity was carried out using OPLS3 force field with Glide package in Extra Precision mode (XP) mode. According to the size of binding cavity of the proteins, the coordinates x, </w:t>
      </w:r>
      <w:proofErr w:type="gramStart"/>
      <w:r w:rsidRPr="00A45621">
        <w:rPr>
          <w:rFonts w:ascii="Arial" w:hAnsi="Arial" w:cs="Arial"/>
          <w:bCs/>
          <w:sz w:val="20"/>
          <w:lang w:val="en-GB"/>
        </w:rPr>
        <w:t>y</w:t>
      </w:r>
      <w:proofErr w:type="gramEnd"/>
      <w:r w:rsidRPr="00A45621">
        <w:rPr>
          <w:rFonts w:ascii="Arial" w:hAnsi="Arial" w:cs="Arial"/>
          <w:bCs/>
          <w:sz w:val="20"/>
          <w:lang w:val="en-GB"/>
        </w:rPr>
        <w:t xml:space="preserve"> and z of the grid box were chosen with the grid resolution of 1 Å for calculations using </w:t>
      </w:r>
      <w:proofErr w:type="spellStart"/>
      <w:r w:rsidRPr="00A45621">
        <w:rPr>
          <w:rFonts w:ascii="Arial" w:hAnsi="Arial" w:cs="Arial"/>
          <w:bCs/>
          <w:sz w:val="20"/>
          <w:lang w:val="en-GB"/>
        </w:rPr>
        <w:t>AutoDock</w:t>
      </w:r>
      <w:proofErr w:type="spellEnd"/>
      <w:r w:rsidRPr="00A45621">
        <w:rPr>
          <w:rFonts w:ascii="Arial" w:hAnsi="Arial" w:cs="Arial"/>
          <w:bCs/>
          <w:sz w:val="20"/>
          <w:lang w:val="en-GB"/>
        </w:rPr>
        <w:t xml:space="preserve"> vina package.</w:t>
      </w:r>
    </w:p>
    <w:p w14:paraId="40392056" w14:textId="77777777" w:rsidR="00997A5D" w:rsidRPr="001C0F5C" w:rsidRDefault="00997A5D" w:rsidP="00997A5D">
      <w:pPr>
        <w:pStyle w:val="SMText"/>
        <w:spacing w:line="480" w:lineRule="auto"/>
        <w:jc w:val="both"/>
        <w:rPr>
          <w:rFonts w:ascii="Arial" w:hAnsi="Arial" w:cs="Arial"/>
          <w:b/>
          <w:sz w:val="20"/>
          <w:lang w:val="en-GB"/>
        </w:rPr>
      </w:pPr>
      <w:r w:rsidRPr="001C0F5C">
        <w:rPr>
          <w:rFonts w:ascii="Arial" w:hAnsi="Arial" w:cs="Arial"/>
          <w:b/>
          <w:sz w:val="20"/>
          <w:lang w:val="en-GB"/>
        </w:rPr>
        <w:t>Statistical analysis</w:t>
      </w:r>
    </w:p>
    <w:p w14:paraId="6A9A6A1E" w14:textId="77777777" w:rsidR="00997A5D" w:rsidRPr="001C0F5C" w:rsidRDefault="00997A5D" w:rsidP="00997A5D">
      <w:pPr>
        <w:pStyle w:val="SMText"/>
        <w:spacing w:line="480" w:lineRule="auto"/>
        <w:jc w:val="both"/>
        <w:rPr>
          <w:rFonts w:ascii="Arial" w:hAnsi="Arial" w:cs="Arial"/>
          <w:sz w:val="20"/>
          <w:lang w:val="en-GB"/>
        </w:rPr>
      </w:pPr>
      <w:r w:rsidRPr="001C0F5C">
        <w:rPr>
          <w:rFonts w:ascii="Arial" w:hAnsi="Arial" w:cs="Arial"/>
          <w:sz w:val="20"/>
          <w:lang w:val="en-GB"/>
        </w:rPr>
        <w:t xml:space="preserve">All data represents mean ± SEM; n= 3-7 each group; *p &lt;0.05, **p &lt;0.01, ***p &lt;0.001. p-value &gt; 0.05 is considered non-significant (NS).  Statistical significance of the differences between paired groups was determined with a two-tailed Student's t test. One-way or two way analysis of variance was used to compare multiple groups and was evaluated further with a nonparametric Mann-Whitney rank-sum test or Kruskal - </w:t>
      </w:r>
      <w:proofErr w:type="spellStart"/>
      <w:r w:rsidRPr="001C0F5C">
        <w:rPr>
          <w:rFonts w:ascii="Arial" w:hAnsi="Arial" w:cs="Arial"/>
          <w:sz w:val="20"/>
          <w:lang w:val="en-GB"/>
        </w:rPr>
        <w:t>wallis</w:t>
      </w:r>
      <w:proofErr w:type="spellEnd"/>
      <w:r w:rsidRPr="001C0F5C">
        <w:rPr>
          <w:rFonts w:ascii="Arial" w:hAnsi="Arial" w:cs="Arial"/>
          <w:sz w:val="20"/>
          <w:lang w:val="en-GB"/>
        </w:rPr>
        <w:t xml:space="preserve"> test wherever appropriate.</w:t>
      </w:r>
    </w:p>
    <w:p w14:paraId="40E5E9CC" w14:textId="77777777" w:rsidR="00997A5D" w:rsidRDefault="00997A5D" w:rsidP="00997A5D">
      <w:pPr>
        <w:spacing w:line="480" w:lineRule="auto"/>
        <w:rPr>
          <w:rFonts w:ascii="Arial" w:hAnsi="Arial" w:cs="Arial"/>
          <w:sz w:val="20"/>
        </w:rPr>
      </w:pPr>
    </w:p>
    <w:p w14:paraId="4F471C56" w14:textId="77777777" w:rsidR="00997A5D" w:rsidRDefault="00997A5D" w:rsidP="00997A5D">
      <w:pPr>
        <w:spacing w:line="480" w:lineRule="auto"/>
        <w:rPr>
          <w:rFonts w:ascii="Arial" w:hAnsi="Arial" w:cs="Arial"/>
          <w:sz w:val="20"/>
        </w:rPr>
      </w:pPr>
    </w:p>
    <w:p w14:paraId="7616F84A" w14:textId="77777777" w:rsidR="00997A5D" w:rsidRPr="00ED47C6" w:rsidRDefault="00997A5D" w:rsidP="00997A5D">
      <w:pPr>
        <w:spacing w:line="480" w:lineRule="auto"/>
        <w:rPr>
          <w:rFonts w:ascii="Arial" w:hAnsi="Arial" w:cs="Arial"/>
          <w:b/>
          <w:bCs/>
          <w:sz w:val="20"/>
        </w:rPr>
      </w:pPr>
      <w:r w:rsidRPr="00ED47C6">
        <w:rPr>
          <w:rFonts w:ascii="Arial" w:hAnsi="Arial" w:cs="Arial"/>
          <w:b/>
          <w:bCs/>
          <w:sz w:val="20"/>
        </w:rPr>
        <w:lastRenderedPageBreak/>
        <w:t>Supplementary figures</w:t>
      </w:r>
    </w:p>
    <w:p w14:paraId="6A40220C" w14:textId="77777777" w:rsidR="00997A5D" w:rsidRPr="001C0F5C" w:rsidRDefault="00997A5D" w:rsidP="00997A5D">
      <w:pPr>
        <w:pStyle w:val="SMcaption"/>
        <w:spacing w:line="480" w:lineRule="auto"/>
        <w:rPr>
          <w:rFonts w:ascii="Arial" w:hAnsi="Arial" w:cs="Arial"/>
          <w:b/>
          <w:bCs/>
          <w:noProof/>
        </w:rPr>
      </w:pPr>
      <w:r w:rsidRPr="00D01DCF">
        <w:rPr>
          <w:rFonts w:ascii="Arial" w:hAnsi="Arial" w:cs="Arial"/>
          <w:b/>
          <w:bCs/>
          <w:noProof/>
        </w:rPr>
        <w:drawing>
          <wp:inline distT="0" distB="0" distL="0" distR="0" wp14:anchorId="12D5384D" wp14:editId="18DD95C0">
            <wp:extent cx="5727700" cy="8313420"/>
            <wp:effectExtent l="12700" t="12700" r="1270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8313420"/>
                    </a:xfrm>
                    <a:prstGeom prst="rect">
                      <a:avLst/>
                    </a:prstGeom>
                    <a:ln>
                      <a:solidFill>
                        <a:schemeClr val="tx1"/>
                      </a:solidFill>
                    </a:ln>
                  </pic:spPr>
                </pic:pic>
              </a:graphicData>
            </a:graphic>
          </wp:inline>
        </w:drawing>
      </w:r>
    </w:p>
    <w:p w14:paraId="3967073E" w14:textId="77777777" w:rsidR="00997A5D" w:rsidRPr="001C0F5C" w:rsidRDefault="00997A5D" w:rsidP="00997A5D">
      <w:pPr>
        <w:pStyle w:val="SMcaption"/>
        <w:spacing w:line="480" w:lineRule="auto"/>
        <w:rPr>
          <w:rFonts w:ascii="Arial" w:hAnsi="Arial" w:cs="Arial"/>
          <w:sz w:val="20"/>
        </w:rPr>
      </w:pPr>
    </w:p>
    <w:p w14:paraId="408DAA0B" w14:textId="77777777" w:rsidR="00997A5D" w:rsidRPr="001C0F5C" w:rsidRDefault="00997A5D" w:rsidP="00997A5D">
      <w:pPr>
        <w:pStyle w:val="SMcaption"/>
        <w:spacing w:line="480" w:lineRule="auto"/>
        <w:jc w:val="both"/>
        <w:rPr>
          <w:rFonts w:ascii="Arial" w:hAnsi="Arial" w:cs="Arial"/>
          <w:b/>
          <w:bCs/>
          <w:sz w:val="20"/>
          <w:lang w:val="en-GB"/>
        </w:rPr>
      </w:pPr>
      <w:r w:rsidRPr="001C0F5C">
        <w:rPr>
          <w:rFonts w:ascii="Arial" w:hAnsi="Arial" w:cs="Arial"/>
          <w:b/>
          <w:bCs/>
          <w:sz w:val="20"/>
          <w:lang w:val="en-GB"/>
        </w:rPr>
        <w:t>Fig. S1. Non-linear effect (U shape curve effect) of AV on physiological parameters of acute asthma</w:t>
      </w:r>
      <w:r w:rsidRPr="001C0F5C">
        <w:rPr>
          <w:rFonts w:ascii="Arial" w:hAnsi="Arial" w:cs="Arial"/>
          <w:sz w:val="20"/>
          <w:lang w:val="en-GB"/>
        </w:rPr>
        <w:t xml:space="preserve">. </w:t>
      </w:r>
      <w:r w:rsidRPr="001C0F5C">
        <w:rPr>
          <w:rFonts w:ascii="Arial" w:hAnsi="Arial" w:cs="Arial"/>
          <w:b/>
          <w:bCs/>
          <w:sz w:val="20"/>
          <w:lang w:val="en-GB"/>
        </w:rPr>
        <w:t xml:space="preserve">(A) </w:t>
      </w:r>
      <w:r w:rsidRPr="001C0F5C">
        <w:rPr>
          <w:rFonts w:ascii="Arial" w:hAnsi="Arial" w:cs="Arial"/>
          <w:sz w:val="20"/>
          <w:lang w:val="en-GB"/>
        </w:rPr>
        <w:t>LC-MS analysis of</w:t>
      </w:r>
      <w:r w:rsidRPr="001C0F5C">
        <w:rPr>
          <w:rFonts w:ascii="Arial" w:hAnsi="Arial" w:cs="Arial"/>
          <w:b/>
          <w:bCs/>
          <w:sz w:val="20"/>
          <w:lang w:val="en-GB"/>
        </w:rPr>
        <w:t xml:space="preserve">  </w:t>
      </w:r>
      <w:r w:rsidRPr="001C0F5C">
        <w:rPr>
          <w:rFonts w:ascii="Arial" w:hAnsi="Arial" w:cs="Arial"/>
          <w:sz w:val="20"/>
          <w:lang w:val="en-GB"/>
        </w:rPr>
        <w:t>aqueous extract of</w:t>
      </w:r>
      <w:r w:rsidRPr="001C0F5C">
        <w:rPr>
          <w:rFonts w:ascii="Arial" w:hAnsi="Arial" w:cs="Arial"/>
          <w:b/>
          <w:bCs/>
          <w:sz w:val="20"/>
          <w:lang w:val="en-GB"/>
        </w:rPr>
        <w:t xml:space="preserve"> </w:t>
      </w:r>
      <w:r w:rsidRPr="001C0F5C">
        <w:rPr>
          <w:rFonts w:ascii="Arial" w:hAnsi="Arial" w:cs="Arial"/>
          <w:bCs/>
          <w:i/>
          <w:iCs/>
          <w:sz w:val="20"/>
        </w:rPr>
        <w:t xml:space="preserve">Adhatoda Vasica </w:t>
      </w:r>
      <w:r w:rsidRPr="001C0F5C">
        <w:rPr>
          <w:rFonts w:ascii="Arial" w:hAnsi="Arial" w:cs="Arial"/>
          <w:sz w:val="20"/>
        </w:rPr>
        <w:t xml:space="preserve">using </w:t>
      </w:r>
      <w:r w:rsidRPr="001C0F5C">
        <w:rPr>
          <w:rFonts w:ascii="Arial" w:hAnsi="Arial" w:cs="Arial"/>
          <w:bCs/>
          <w:sz w:val="20"/>
        </w:rPr>
        <w:t xml:space="preserve">(+)-ESI-MS for identification of Quinazoline alkaloids. </w:t>
      </w:r>
      <w:r w:rsidRPr="001C0F5C">
        <w:rPr>
          <w:rFonts w:ascii="Arial" w:hAnsi="Arial" w:cs="Arial"/>
          <w:b/>
          <w:bCs/>
          <w:sz w:val="20"/>
          <w:lang w:val="en-GB"/>
        </w:rPr>
        <w:t>(B and F)</w:t>
      </w:r>
      <w:r w:rsidRPr="001C0F5C">
        <w:rPr>
          <w:rFonts w:ascii="Arial" w:hAnsi="Arial" w:cs="Arial"/>
          <w:sz w:val="20"/>
          <w:lang w:val="en-GB"/>
        </w:rPr>
        <w:t xml:space="preserve"> AV shows U shape curve effect on increased airway resistance in Ova allergic mice in dose dependent manner from D0 to D4. </w:t>
      </w:r>
      <w:r w:rsidRPr="001C0F5C">
        <w:rPr>
          <w:rFonts w:ascii="Arial" w:hAnsi="Arial" w:cs="Arial"/>
          <w:b/>
          <w:bCs/>
          <w:sz w:val="20"/>
          <w:lang w:val="en-GB"/>
        </w:rPr>
        <w:t>(C to E)</w:t>
      </w:r>
      <w:r w:rsidRPr="001C0F5C">
        <w:rPr>
          <w:rFonts w:ascii="Arial" w:hAnsi="Arial" w:cs="Arial"/>
          <w:sz w:val="20"/>
          <w:lang w:val="en-GB"/>
        </w:rPr>
        <w:t xml:space="preserve"> Representative photomicrographs of mouse lung tissues stained with (C) H&amp;E (4X magnification), (D) PAS (10X magnification),  and (E) MT (10X magnification) staining respectively. Black arrow indicates positive staining in respect to </w:t>
      </w:r>
      <w:proofErr w:type="gramStart"/>
      <w:r w:rsidRPr="001C0F5C">
        <w:rPr>
          <w:rFonts w:ascii="Arial" w:hAnsi="Arial" w:cs="Arial"/>
          <w:sz w:val="20"/>
          <w:lang w:val="en-GB"/>
        </w:rPr>
        <w:t>particular stain</w:t>
      </w:r>
      <w:proofErr w:type="gramEnd"/>
      <w:r w:rsidRPr="001C0F5C">
        <w:rPr>
          <w:rFonts w:ascii="Arial" w:hAnsi="Arial" w:cs="Arial"/>
          <w:sz w:val="20"/>
          <w:lang w:val="en-GB"/>
        </w:rPr>
        <w:t>. (</w:t>
      </w:r>
      <w:r w:rsidRPr="001C0F5C">
        <w:rPr>
          <w:rFonts w:ascii="Arial" w:hAnsi="Arial" w:cs="Arial"/>
          <w:b/>
          <w:sz w:val="20"/>
          <w:lang w:val="en-GB"/>
        </w:rPr>
        <w:t>G)</w:t>
      </w:r>
      <w:r w:rsidRPr="001C0F5C">
        <w:rPr>
          <w:rFonts w:ascii="Arial" w:hAnsi="Arial" w:cs="Arial"/>
          <w:sz w:val="20"/>
          <w:lang w:val="en-GB"/>
        </w:rPr>
        <w:t xml:space="preserve"> Quantification of peribronchial and perivascular inflammation of lung tissues stained with H&amp;E in using inflammation grade scoring system. </w:t>
      </w:r>
      <w:r w:rsidRPr="001C0F5C">
        <w:rPr>
          <w:rFonts w:ascii="Arial" w:hAnsi="Arial" w:cs="Arial"/>
          <w:b/>
          <w:bCs/>
          <w:sz w:val="20"/>
          <w:lang w:val="en-GB"/>
        </w:rPr>
        <w:t>(H and I)</w:t>
      </w:r>
      <w:r w:rsidRPr="001C0F5C">
        <w:rPr>
          <w:rFonts w:ascii="Arial" w:hAnsi="Arial" w:cs="Arial"/>
          <w:sz w:val="20"/>
          <w:lang w:val="en-GB"/>
        </w:rPr>
        <w:t xml:space="preserve"> Densitometric analysis of  mouse lung tissues stained with PAS and MT to measure mucus metaplasia and collagen deposition respectively using ImageJ. (</w:t>
      </w:r>
      <w:r w:rsidRPr="001C0F5C">
        <w:rPr>
          <w:rFonts w:ascii="Arial" w:hAnsi="Arial" w:cs="Arial"/>
          <w:b/>
          <w:sz w:val="20"/>
          <w:lang w:val="en-GB"/>
        </w:rPr>
        <w:t>J)</w:t>
      </w:r>
      <w:r w:rsidRPr="001C0F5C">
        <w:rPr>
          <w:rFonts w:ascii="Arial" w:hAnsi="Arial" w:cs="Arial"/>
          <w:sz w:val="20"/>
          <w:lang w:val="en-GB"/>
        </w:rPr>
        <w:t xml:space="preserve"> Eosinophil abundance in mouse BAL fluid. (</w:t>
      </w:r>
      <w:r w:rsidRPr="001C0F5C">
        <w:rPr>
          <w:rFonts w:ascii="Arial" w:hAnsi="Arial" w:cs="Arial"/>
          <w:b/>
          <w:sz w:val="20"/>
          <w:lang w:val="en-GB"/>
        </w:rPr>
        <w:t>K)</w:t>
      </w:r>
      <w:r w:rsidRPr="001C0F5C">
        <w:rPr>
          <w:rFonts w:ascii="Arial" w:hAnsi="Arial" w:cs="Arial"/>
          <w:sz w:val="20"/>
          <w:lang w:val="en-GB"/>
        </w:rPr>
        <w:t xml:space="preserve"> ELISA analysis for TGF-</w:t>
      </w:r>
      <w:r w:rsidRPr="001C0F5C">
        <w:rPr>
          <w:rFonts w:ascii="Arial" w:hAnsi="Arial" w:cs="Arial"/>
          <w:sz w:val="20"/>
          <w:lang w:val="en-GB"/>
        </w:rPr>
        <w:sym w:font="Symbol" w:char="F062"/>
      </w:r>
      <w:r w:rsidRPr="001C0F5C">
        <w:rPr>
          <w:rFonts w:ascii="Arial" w:hAnsi="Arial" w:cs="Arial"/>
          <w:sz w:val="20"/>
          <w:lang w:val="en-GB"/>
        </w:rPr>
        <w:t xml:space="preserve">1 levels in mice lung homogenate. Data are shown as mean </w:t>
      </w:r>
      <w:r w:rsidRPr="001C0F5C">
        <w:rPr>
          <w:rFonts w:ascii="Arial" w:hAnsi="Arial" w:cs="Arial"/>
          <w:sz w:val="20"/>
          <w:lang w:val="en-GB"/>
        </w:rPr>
        <w:sym w:font="Symbol" w:char="F0B1"/>
      </w:r>
      <w:r w:rsidRPr="001C0F5C">
        <w:rPr>
          <w:rFonts w:ascii="Arial" w:hAnsi="Arial" w:cs="Arial"/>
          <w:sz w:val="20"/>
          <w:lang w:val="en-GB"/>
        </w:rPr>
        <w:t>SEM of three to seven mice per group and representative from at least two independent experiments. Significance denoted by *</w:t>
      </w:r>
      <w:r w:rsidRPr="001C0F5C">
        <w:rPr>
          <w:rFonts w:ascii="Arial" w:hAnsi="Arial" w:cs="Arial"/>
          <w:i/>
          <w:iCs/>
          <w:sz w:val="20"/>
          <w:lang w:val="en-GB"/>
        </w:rPr>
        <w:t>P</w:t>
      </w:r>
      <w:r w:rsidRPr="001C0F5C">
        <w:rPr>
          <w:rFonts w:ascii="Arial" w:hAnsi="Arial" w:cs="Arial"/>
          <w:sz w:val="20"/>
          <w:lang w:val="en-GB"/>
        </w:rPr>
        <w:t xml:space="preserve"> </w:t>
      </w:r>
      <w:r w:rsidRPr="001C0F5C">
        <w:rPr>
          <w:rFonts w:ascii="Arial" w:hAnsi="Arial" w:cs="Arial"/>
          <w:sz w:val="20"/>
          <w:lang w:val="en-GB"/>
        </w:rPr>
        <w:sym w:font="Symbol" w:char="F0A3"/>
      </w:r>
      <w:r w:rsidRPr="001C0F5C">
        <w:rPr>
          <w:rFonts w:ascii="Arial" w:hAnsi="Arial" w:cs="Arial"/>
          <w:sz w:val="20"/>
          <w:lang w:val="en-GB"/>
        </w:rPr>
        <w:t>0.05,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0.01,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0.001 and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 xml:space="preserve">0.000; by two way ANOVA (B) and ordinary one way ANOVA (G to K). </w:t>
      </w:r>
      <w:r w:rsidRPr="001C0F5C">
        <w:rPr>
          <w:rFonts w:ascii="Arial" w:hAnsi="Arial" w:cs="Arial"/>
          <w:b/>
          <w:bCs/>
          <w:sz w:val="20"/>
          <w:lang w:val="en-GB"/>
        </w:rPr>
        <w:t>Ova-</w:t>
      </w:r>
      <w:r w:rsidRPr="001C0F5C">
        <w:rPr>
          <w:rFonts w:ascii="Arial" w:hAnsi="Arial" w:cs="Arial"/>
          <w:sz w:val="20"/>
          <w:lang w:val="en-GB"/>
        </w:rPr>
        <w:t xml:space="preserve"> chicken egg albumin, </w:t>
      </w:r>
      <w:r w:rsidRPr="001C0F5C">
        <w:rPr>
          <w:rFonts w:ascii="Arial" w:hAnsi="Arial" w:cs="Arial"/>
          <w:b/>
          <w:bCs/>
          <w:sz w:val="20"/>
          <w:lang w:val="en-GB"/>
        </w:rPr>
        <w:t>Sham</w:t>
      </w:r>
      <w:r w:rsidRPr="001C0F5C">
        <w:rPr>
          <w:rFonts w:ascii="Arial" w:hAnsi="Arial" w:cs="Arial"/>
          <w:sz w:val="20"/>
          <w:lang w:val="en-GB"/>
        </w:rPr>
        <w:t xml:space="preserve">- vehicle (PBS), </w:t>
      </w:r>
      <w:r w:rsidRPr="001C0F5C">
        <w:rPr>
          <w:rFonts w:ascii="Arial" w:hAnsi="Arial" w:cs="Arial"/>
          <w:b/>
          <w:bCs/>
          <w:sz w:val="20"/>
          <w:lang w:val="en-GB"/>
        </w:rPr>
        <w:t>Dex</w:t>
      </w:r>
      <w:r w:rsidRPr="001C0F5C">
        <w:rPr>
          <w:rFonts w:ascii="Arial" w:hAnsi="Arial" w:cs="Arial"/>
          <w:sz w:val="20"/>
          <w:lang w:val="en-GB"/>
        </w:rPr>
        <w:t xml:space="preserve">- Dexamethasone (0.75mg/kg), </w:t>
      </w:r>
      <w:r w:rsidRPr="001C0F5C">
        <w:rPr>
          <w:rFonts w:ascii="Arial" w:hAnsi="Arial" w:cs="Arial"/>
          <w:b/>
          <w:sz w:val="20"/>
          <w:lang w:val="en-GB"/>
        </w:rPr>
        <w:t>AV-</w:t>
      </w:r>
      <w:r w:rsidRPr="001C0F5C">
        <w:rPr>
          <w:rFonts w:ascii="Arial" w:hAnsi="Arial" w:cs="Arial"/>
          <w:i/>
          <w:sz w:val="20"/>
          <w:lang w:val="en-GB"/>
        </w:rPr>
        <w:t>Adhatoda Vasica</w:t>
      </w:r>
      <w:r w:rsidRPr="001C0F5C">
        <w:rPr>
          <w:rFonts w:ascii="Arial" w:hAnsi="Arial" w:cs="Arial"/>
          <w:sz w:val="20"/>
          <w:lang w:val="en-GB"/>
        </w:rPr>
        <w:t xml:space="preserve"> extract, </w:t>
      </w:r>
      <w:r w:rsidRPr="001C0F5C">
        <w:rPr>
          <w:rFonts w:ascii="Arial" w:hAnsi="Arial" w:cs="Arial"/>
          <w:b/>
          <w:bCs/>
          <w:sz w:val="20"/>
          <w:lang w:val="en-GB"/>
        </w:rPr>
        <w:t>D0</w:t>
      </w:r>
      <w:r w:rsidRPr="001C0F5C">
        <w:rPr>
          <w:rFonts w:ascii="Arial" w:hAnsi="Arial" w:cs="Arial"/>
          <w:sz w:val="20"/>
          <w:lang w:val="en-GB"/>
        </w:rPr>
        <w:t xml:space="preserve">- AV 0.130mg/kg, </w:t>
      </w:r>
      <w:r w:rsidRPr="001C0F5C">
        <w:rPr>
          <w:rFonts w:ascii="Arial" w:hAnsi="Arial" w:cs="Arial"/>
          <w:b/>
          <w:bCs/>
          <w:sz w:val="20"/>
          <w:lang w:val="en-GB"/>
        </w:rPr>
        <w:t>D1</w:t>
      </w:r>
      <w:r w:rsidRPr="001C0F5C">
        <w:rPr>
          <w:rFonts w:ascii="Arial" w:hAnsi="Arial" w:cs="Arial"/>
          <w:sz w:val="20"/>
          <w:lang w:val="en-GB"/>
        </w:rPr>
        <w:t xml:space="preserve">- AV 65mg/kg, </w:t>
      </w:r>
      <w:r w:rsidRPr="001C0F5C">
        <w:rPr>
          <w:rFonts w:ascii="Arial" w:hAnsi="Arial" w:cs="Arial"/>
          <w:b/>
          <w:bCs/>
          <w:sz w:val="20"/>
          <w:lang w:val="en-GB"/>
        </w:rPr>
        <w:t>D2</w:t>
      </w:r>
      <w:r w:rsidRPr="001C0F5C">
        <w:rPr>
          <w:rFonts w:ascii="Arial" w:hAnsi="Arial" w:cs="Arial"/>
          <w:sz w:val="20"/>
          <w:lang w:val="en-GB"/>
        </w:rPr>
        <w:t xml:space="preserve">- AV 130 mg/kg, </w:t>
      </w:r>
      <w:r w:rsidRPr="001C0F5C">
        <w:rPr>
          <w:rFonts w:ascii="Arial" w:hAnsi="Arial" w:cs="Arial"/>
          <w:b/>
          <w:bCs/>
          <w:sz w:val="20"/>
          <w:lang w:val="en-GB"/>
        </w:rPr>
        <w:t>D3</w:t>
      </w:r>
      <w:r w:rsidRPr="001C0F5C">
        <w:rPr>
          <w:rFonts w:ascii="Arial" w:hAnsi="Arial" w:cs="Arial"/>
          <w:sz w:val="20"/>
          <w:lang w:val="en-GB"/>
        </w:rPr>
        <w:t xml:space="preserve">- AV 195 mg/kg and </w:t>
      </w:r>
      <w:r w:rsidRPr="001C0F5C">
        <w:rPr>
          <w:rFonts w:ascii="Arial" w:hAnsi="Arial" w:cs="Arial"/>
          <w:b/>
          <w:bCs/>
          <w:sz w:val="20"/>
          <w:lang w:val="en-GB"/>
        </w:rPr>
        <w:t>D4</w:t>
      </w:r>
      <w:r w:rsidRPr="001C0F5C">
        <w:rPr>
          <w:rFonts w:ascii="Arial" w:hAnsi="Arial" w:cs="Arial"/>
          <w:sz w:val="20"/>
          <w:lang w:val="en-GB"/>
        </w:rPr>
        <w:t xml:space="preserve">- AV 260mg/kg. </w:t>
      </w:r>
    </w:p>
    <w:p w14:paraId="15C13DA4" w14:textId="77777777" w:rsidR="00997A5D" w:rsidRPr="001C0F5C" w:rsidRDefault="00997A5D" w:rsidP="00997A5D">
      <w:pPr>
        <w:pStyle w:val="SMcaption"/>
        <w:spacing w:line="480" w:lineRule="auto"/>
        <w:jc w:val="both"/>
        <w:rPr>
          <w:rFonts w:ascii="Arial" w:hAnsi="Arial" w:cs="Arial"/>
          <w:sz w:val="20"/>
        </w:rPr>
      </w:pPr>
      <w:r w:rsidRPr="000E6905">
        <w:rPr>
          <w:rFonts w:ascii="Arial" w:hAnsi="Arial" w:cs="Arial"/>
          <w:noProof/>
          <w:sz w:val="20"/>
        </w:rPr>
        <w:lastRenderedPageBreak/>
        <w:drawing>
          <wp:inline distT="0" distB="0" distL="0" distR="0" wp14:anchorId="07C6ADF0" wp14:editId="6C0B72BA">
            <wp:extent cx="5486400" cy="7739380"/>
            <wp:effectExtent l="12700" t="12700" r="1270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7739380"/>
                    </a:xfrm>
                    <a:prstGeom prst="rect">
                      <a:avLst/>
                    </a:prstGeom>
                    <a:ln>
                      <a:solidFill>
                        <a:schemeClr val="tx1"/>
                      </a:solidFill>
                    </a:ln>
                  </pic:spPr>
                </pic:pic>
              </a:graphicData>
            </a:graphic>
          </wp:inline>
        </w:drawing>
      </w:r>
    </w:p>
    <w:p w14:paraId="316687A8" w14:textId="77777777" w:rsidR="00997A5D" w:rsidRPr="001C0F5C" w:rsidRDefault="00997A5D" w:rsidP="00997A5D">
      <w:pPr>
        <w:pStyle w:val="SMcaption"/>
        <w:spacing w:line="480" w:lineRule="auto"/>
        <w:rPr>
          <w:rFonts w:ascii="Arial" w:hAnsi="Arial" w:cs="Arial"/>
          <w:sz w:val="20"/>
        </w:rPr>
      </w:pPr>
    </w:p>
    <w:p w14:paraId="456F1205" w14:textId="77777777" w:rsidR="00997A5D" w:rsidRDefault="00997A5D" w:rsidP="00997A5D">
      <w:pPr>
        <w:pStyle w:val="SMcaption"/>
        <w:spacing w:line="480" w:lineRule="auto"/>
        <w:jc w:val="both"/>
        <w:rPr>
          <w:rFonts w:ascii="Arial" w:hAnsi="Arial" w:cs="Arial"/>
          <w:sz w:val="20"/>
          <w:lang w:val="en-GB"/>
        </w:rPr>
      </w:pPr>
      <w:r w:rsidRPr="001C0F5C">
        <w:rPr>
          <w:rFonts w:ascii="Arial" w:hAnsi="Arial" w:cs="Arial"/>
          <w:b/>
          <w:bCs/>
          <w:sz w:val="20"/>
        </w:rPr>
        <w:t>Figure S2: AV restores the HIF-1</w:t>
      </w:r>
      <w:r w:rsidRPr="001C0F5C">
        <w:rPr>
          <w:rFonts w:ascii="Cambria Math" w:hAnsi="Cambria Math" w:cs="Cambria Math"/>
          <w:b/>
          <w:bCs/>
          <w:sz w:val="20"/>
        </w:rPr>
        <w:t>⍺</w:t>
      </w:r>
      <w:r w:rsidRPr="001C0F5C">
        <w:rPr>
          <w:rFonts w:ascii="Arial" w:hAnsi="Arial" w:cs="Arial"/>
          <w:b/>
          <w:bCs/>
          <w:sz w:val="20"/>
        </w:rPr>
        <w:t xml:space="preserve"> induced increased airway inflammation in mitochondria dependent manner</w:t>
      </w:r>
      <w:r w:rsidRPr="001C0F5C">
        <w:rPr>
          <w:rFonts w:ascii="Arial" w:hAnsi="Arial" w:cs="Arial"/>
          <w:sz w:val="20"/>
        </w:rPr>
        <w:t>. (A) ELISA analysis for HIF-1</w:t>
      </w:r>
      <w:r w:rsidRPr="001C0F5C">
        <w:rPr>
          <w:rFonts w:ascii="Cambria Math" w:hAnsi="Cambria Math" w:cs="Cambria Math"/>
          <w:sz w:val="20"/>
        </w:rPr>
        <w:t>⍺</w:t>
      </w:r>
      <w:r w:rsidRPr="001C0F5C">
        <w:rPr>
          <w:rFonts w:ascii="Arial" w:hAnsi="Arial" w:cs="Arial"/>
          <w:sz w:val="20"/>
        </w:rPr>
        <w:t xml:space="preserve"> levels in mice lung tissue  homogenate (</w:t>
      </w:r>
      <w:r w:rsidRPr="001C0F5C">
        <w:rPr>
          <w:rFonts w:ascii="Arial" w:hAnsi="Arial" w:cs="Arial"/>
          <w:i/>
          <w:iCs/>
          <w:sz w:val="20"/>
        </w:rPr>
        <w:t xml:space="preserve">n </w:t>
      </w:r>
      <w:r w:rsidRPr="001C0F5C">
        <w:rPr>
          <w:rFonts w:ascii="Arial" w:hAnsi="Arial" w:cs="Arial"/>
          <w:sz w:val="20"/>
        </w:rPr>
        <w:t xml:space="preserve">= 3 to 7). </w:t>
      </w:r>
      <w:r w:rsidRPr="001C0F5C">
        <w:rPr>
          <w:rFonts w:ascii="Arial" w:hAnsi="Arial" w:cs="Arial"/>
          <w:b/>
          <w:sz w:val="20"/>
        </w:rPr>
        <w:lastRenderedPageBreak/>
        <w:t>(B)</w:t>
      </w:r>
      <w:r w:rsidRPr="001C0F5C">
        <w:rPr>
          <w:rFonts w:ascii="Arial" w:hAnsi="Arial" w:cs="Arial"/>
          <w:sz w:val="20"/>
        </w:rPr>
        <w:t xml:space="preserve"> Representative western blot for HIF-1</w:t>
      </w:r>
      <w:r w:rsidRPr="001C0F5C">
        <w:rPr>
          <w:rFonts w:ascii="Cambria Math" w:hAnsi="Cambria Math" w:cs="Cambria Math"/>
          <w:sz w:val="20"/>
        </w:rPr>
        <w:t>⍺</w:t>
      </w:r>
      <w:r w:rsidRPr="001C0F5C">
        <w:rPr>
          <w:rFonts w:ascii="Arial" w:hAnsi="Arial" w:cs="Arial"/>
          <w:sz w:val="20"/>
        </w:rPr>
        <w:t xml:space="preserve"> abundance in lung tissue lysate of Ova allergic mice treated with Dex or AV in dose dependent manner. </w:t>
      </w:r>
      <w:r w:rsidRPr="001C0F5C">
        <w:rPr>
          <w:rFonts w:ascii="Arial" w:hAnsi="Arial" w:cs="Arial"/>
          <w:b/>
          <w:bCs/>
          <w:sz w:val="20"/>
        </w:rPr>
        <w:t>(C)</w:t>
      </w:r>
      <w:r w:rsidRPr="001C0F5C">
        <w:rPr>
          <w:rFonts w:ascii="Arial" w:hAnsi="Arial" w:cs="Arial"/>
          <w:sz w:val="20"/>
        </w:rPr>
        <w:t xml:space="preserve"> Correlation analysis  of airway peribronchial inflammation with HIF-1</w:t>
      </w:r>
      <w:r w:rsidRPr="001C0F5C">
        <w:rPr>
          <w:rFonts w:ascii="Cambria Math" w:hAnsi="Cambria Math" w:cs="Cambria Math"/>
          <w:sz w:val="20"/>
        </w:rPr>
        <w:t>⍺</w:t>
      </w:r>
      <w:r w:rsidRPr="001C0F5C">
        <w:rPr>
          <w:rFonts w:ascii="Arial" w:hAnsi="Arial" w:cs="Arial"/>
          <w:sz w:val="20"/>
        </w:rPr>
        <w:t xml:space="preserve"> levels in mice lung after AV-D0, D2, and D4 treatment. </w:t>
      </w:r>
      <w:r w:rsidRPr="001C0F5C">
        <w:rPr>
          <w:rFonts w:ascii="Arial" w:hAnsi="Arial" w:cs="Arial"/>
          <w:b/>
          <w:sz w:val="20"/>
        </w:rPr>
        <w:t>(D)</w:t>
      </w:r>
      <w:r w:rsidRPr="001C0F5C">
        <w:rPr>
          <w:rFonts w:ascii="Arial" w:hAnsi="Arial" w:cs="Arial"/>
          <w:sz w:val="20"/>
        </w:rPr>
        <w:t xml:space="preserve"> qPCR for </w:t>
      </w:r>
      <w:r w:rsidRPr="001C0F5C">
        <w:rPr>
          <w:rFonts w:ascii="Arial" w:hAnsi="Arial" w:cs="Arial"/>
          <w:i/>
          <w:iCs/>
          <w:sz w:val="20"/>
        </w:rPr>
        <w:t>PHD2</w:t>
      </w:r>
      <w:r w:rsidRPr="001C0F5C">
        <w:rPr>
          <w:rFonts w:ascii="Arial" w:hAnsi="Arial" w:cs="Arial"/>
          <w:sz w:val="20"/>
        </w:rPr>
        <w:t xml:space="preserve"> mRNA levels in mice lung RNA samples. </w:t>
      </w:r>
      <w:r w:rsidRPr="001C0F5C">
        <w:rPr>
          <w:rFonts w:ascii="Arial" w:hAnsi="Arial" w:cs="Arial"/>
          <w:sz w:val="20"/>
          <w:lang w:val="en-GB"/>
        </w:rPr>
        <w:t xml:space="preserve">Data are shown as mean </w:t>
      </w:r>
      <w:r w:rsidRPr="001C0F5C">
        <w:rPr>
          <w:rFonts w:ascii="Arial" w:hAnsi="Arial" w:cs="Arial"/>
          <w:sz w:val="20"/>
          <w:lang w:val="en-GB"/>
        </w:rPr>
        <w:sym w:font="Symbol" w:char="F0B1"/>
      </w:r>
      <w:r w:rsidRPr="001C0F5C">
        <w:rPr>
          <w:rFonts w:ascii="Arial" w:hAnsi="Arial" w:cs="Arial"/>
          <w:sz w:val="20"/>
          <w:lang w:val="en-GB"/>
        </w:rPr>
        <w:t xml:space="preserve">SEM (A to D).  </w:t>
      </w:r>
      <w:r w:rsidRPr="001C0F5C">
        <w:rPr>
          <w:rFonts w:ascii="Arial" w:hAnsi="Arial" w:cs="Arial"/>
          <w:b/>
          <w:sz w:val="20"/>
        </w:rPr>
        <w:t>(E)</w:t>
      </w:r>
      <w:r w:rsidRPr="001C0F5C">
        <w:rPr>
          <w:rFonts w:ascii="Arial" w:hAnsi="Arial" w:cs="Arial"/>
          <w:sz w:val="20"/>
        </w:rPr>
        <w:t xml:space="preserve"> </w:t>
      </w:r>
      <w:r w:rsidRPr="001C0F5C">
        <w:rPr>
          <w:rFonts w:ascii="Arial" w:hAnsi="Arial" w:cs="Arial"/>
          <w:sz w:val="20"/>
          <w:lang w:val="en-GB"/>
        </w:rPr>
        <w:t>Western blot for HIF-1</w:t>
      </w:r>
      <w:r w:rsidRPr="001C0F5C">
        <w:rPr>
          <w:rFonts w:ascii="Arial" w:hAnsi="Arial" w:cs="Arial"/>
          <w:sz w:val="20"/>
          <w:lang w:val="en-GB"/>
        </w:rPr>
        <w:sym w:font="Symbol" w:char="F061"/>
      </w:r>
      <w:r w:rsidRPr="001C0F5C">
        <w:rPr>
          <w:rFonts w:ascii="Arial" w:hAnsi="Arial" w:cs="Arial"/>
          <w:sz w:val="20"/>
          <w:lang w:val="en-GB"/>
        </w:rPr>
        <w:t xml:space="preserve"> abundance in BEAS2B cell lysate. </w:t>
      </w:r>
      <w:r w:rsidRPr="001C0F5C">
        <w:rPr>
          <w:rFonts w:ascii="Arial" w:hAnsi="Arial" w:cs="Arial"/>
          <w:b/>
          <w:bCs/>
          <w:sz w:val="20"/>
        </w:rPr>
        <w:t xml:space="preserve">(F to I) </w:t>
      </w:r>
      <w:r w:rsidRPr="001C0F5C">
        <w:rPr>
          <w:rFonts w:ascii="Arial" w:hAnsi="Arial" w:cs="Arial"/>
          <w:sz w:val="20"/>
        </w:rPr>
        <w:t>Morphological analysis of</w:t>
      </w:r>
      <w:r w:rsidRPr="001C0F5C">
        <w:rPr>
          <w:rFonts w:ascii="Arial" w:hAnsi="Arial" w:cs="Arial"/>
          <w:b/>
          <w:bCs/>
          <w:sz w:val="20"/>
        </w:rPr>
        <w:t xml:space="preserve"> </w:t>
      </w:r>
      <w:r w:rsidRPr="001C0F5C">
        <w:rPr>
          <w:rFonts w:ascii="Arial" w:hAnsi="Arial" w:cs="Arial"/>
          <w:sz w:val="20"/>
          <w:lang w:val="en-GB"/>
        </w:rPr>
        <w:t xml:space="preserve">mitochondria of BEAS2B cells transfected with mitochondria targeted-GFP (mito-GFP)  for assessment of </w:t>
      </w:r>
      <w:r w:rsidRPr="001C0F5C">
        <w:rPr>
          <w:rFonts w:ascii="Arial" w:hAnsi="Arial" w:cs="Arial"/>
          <w:sz w:val="20"/>
        </w:rPr>
        <w:t xml:space="preserve">mitochondrial network (F), mean branch length (G), area (H), its individual number (I). </w:t>
      </w:r>
      <w:r w:rsidRPr="001C0F5C">
        <w:rPr>
          <w:rFonts w:ascii="Arial" w:hAnsi="Arial" w:cs="Arial"/>
          <w:sz w:val="20"/>
          <w:lang w:val="en-GB"/>
        </w:rPr>
        <w:t xml:space="preserve">Data are shown as mean </w:t>
      </w:r>
      <w:r w:rsidRPr="001C0F5C">
        <w:rPr>
          <w:rFonts w:ascii="Arial" w:hAnsi="Arial" w:cs="Arial"/>
          <w:sz w:val="20"/>
          <w:lang w:val="en-GB"/>
        </w:rPr>
        <w:sym w:font="Symbol" w:char="F0B1"/>
      </w:r>
      <w:r w:rsidRPr="001C0F5C">
        <w:rPr>
          <w:rFonts w:ascii="Arial" w:hAnsi="Arial" w:cs="Arial"/>
          <w:sz w:val="20"/>
          <w:lang w:val="en-GB"/>
        </w:rPr>
        <w:t xml:space="preserve">SEM of thirty or more cells per group and representative of two independent experiments (E to I). </w:t>
      </w:r>
      <w:r w:rsidRPr="001C0F5C" w:rsidDel="002D29C0">
        <w:rPr>
          <w:rFonts w:ascii="Arial" w:hAnsi="Arial" w:cs="Arial"/>
          <w:sz w:val="20"/>
          <w:lang w:val="en-GB"/>
        </w:rPr>
        <w:t xml:space="preserve"> </w:t>
      </w:r>
      <w:r w:rsidRPr="001C0F5C">
        <w:rPr>
          <w:rFonts w:ascii="Arial" w:hAnsi="Arial" w:cs="Arial"/>
          <w:sz w:val="20"/>
          <w:lang w:val="en-GB"/>
        </w:rPr>
        <w:t>Significance denoted by *</w:t>
      </w:r>
      <w:r w:rsidRPr="001C0F5C">
        <w:rPr>
          <w:rFonts w:ascii="Arial" w:hAnsi="Arial" w:cs="Arial"/>
          <w:i/>
          <w:iCs/>
          <w:sz w:val="20"/>
          <w:lang w:val="en-GB"/>
        </w:rPr>
        <w:t>P</w:t>
      </w:r>
      <w:r w:rsidRPr="001C0F5C">
        <w:rPr>
          <w:rFonts w:ascii="Arial" w:hAnsi="Arial" w:cs="Arial"/>
          <w:sz w:val="20"/>
          <w:lang w:val="en-GB"/>
        </w:rPr>
        <w:t xml:space="preserve"> </w:t>
      </w:r>
      <w:r w:rsidRPr="001C0F5C">
        <w:rPr>
          <w:rFonts w:ascii="Arial" w:hAnsi="Arial" w:cs="Arial"/>
          <w:sz w:val="20"/>
          <w:lang w:val="en-GB"/>
        </w:rPr>
        <w:sym w:font="Symbol" w:char="F0A3"/>
      </w:r>
      <w:r w:rsidRPr="001C0F5C">
        <w:rPr>
          <w:rFonts w:ascii="Arial" w:hAnsi="Arial" w:cs="Arial"/>
          <w:sz w:val="20"/>
          <w:lang w:val="en-GB"/>
        </w:rPr>
        <w:t>0.05,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0.01, and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 xml:space="preserve">0.001; by ordinary one way ANOVA (A), Unpaired t test with Welch’s correction (D), ordinary one way ANOVA with Tukey’s multiple correction test (F to I).  </w:t>
      </w:r>
      <w:r w:rsidRPr="001C0F5C">
        <w:rPr>
          <w:rFonts w:ascii="Arial" w:hAnsi="Arial" w:cs="Arial"/>
          <w:b/>
          <w:sz w:val="20"/>
          <w:lang w:val="en-GB"/>
        </w:rPr>
        <w:t>Sham</w:t>
      </w:r>
      <w:r w:rsidRPr="001C0F5C">
        <w:rPr>
          <w:rFonts w:ascii="Arial" w:hAnsi="Arial" w:cs="Arial"/>
          <w:sz w:val="20"/>
          <w:lang w:val="en-GB"/>
        </w:rPr>
        <w:t xml:space="preserve">- vehicle (PBS), </w:t>
      </w:r>
      <w:r w:rsidRPr="001C0F5C">
        <w:rPr>
          <w:rFonts w:ascii="Arial" w:hAnsi="Arial" w:cs="Arial"/>
          <w:b/>
          <w:sz w:val="20"/>
          <w:lang w:val="en-GB"/>
        </w:rPr>
        <w:t>Dex</w:t>
      </w:r>
      <w:r w:rsidRPr="001C0F5C">
        <w:rPr>
          <w:rFonts w:ascii="Arial" w:hAnsi="Arial" w:cs="Arial"/>
          <w:sz w:val="20"/>
          <w:lang w:val="en-GB"/>
        </w:rPr>
        <w:t xml:space="preserve">- Dexamethasone (0.75mg/kg), </w:t>
      </w:r>
      <w:r w:rsidRPr="001C0F5C">
        <w:rPr>
          <w:rFonts w:ascii="Arial" w:hAnsi="Arial" w:cs="Arial"/>
          <w:b/>
          <w:sz w:val="20"/>
          <w:lang w:val="en-GB"/>
        </w:rPr>
        <w:t>AV-</w:t>
      </w:r>
      <w:r w:rsidRPr="001C0F5C">
        <w:rPr>
          <w:rFonts w:ascii="Arial" w:hAnsi="Arial" w:cs="Arial"/>
          <w:i/>
          <w:sz w:val="20"/>
        </w:rPr>
        <w:t>Adhatoda Vasica</w:t>
      </w:r>
      <w:r w:rsidRPr="001C0F5C">
        <w:rPr>
          <w:rFonts w:ascii="Arial" w:hAnsi="Arial" w:cs="Arial"/>
          <w:sz w:val="20"/>
        </w:rPr>
        <w:t xml:space="preserve"> extract, </w:t>
      </w:r>
      <w:r w:rsidRPr="001C0F5C">
        <w:rPr>
          <w:rFonts w:ascii="Arial" w:hAnsi="Arial" w:cs="Arial"/>
          <w:b/>
          <w:bCs/>
          <w:sz w:val="20"/>
        </w:rPr>
        <w:t>AV-</w:t>
      </w:r>
      <w:r w:rsidRPr="001C0F5C">
        <w:rPr>
          <w:rFonts w:ascii="Arial" w:hAnsi="Arial" w:cs="Arial"/>
          <w:b/>
          <w:sz w:val="20"/>
          <w:lang w:val="en-GB"/>
        </w:rPr>
        <w:t>D0</w:t>
      </w:r>
      <w:r w:rsidRPr="001C0F5C">
        <w:rPr>
          <w:rFonts w:ascii="Arial" w:hAnsi="Arial" w:cs="Arial"/>
          <w:sz w:val="20"/>
          <w:lang w:val="en-GB"/>
        </w:rPr>
        <w:t xml:space="preserve">- AV 0.130mg/kg, </w:t>
      </w:r>
      <w:r w:rsidRPr="001C0F5C">
        <w:rPr>
          <w:rFonts w:ascii="Arial" w:hAnsi="Arial" w:cs="Arial"/>
          <w:b/>
          <w:bCs/>
          <w:sz w:val="20"/>
        </w:rPr>
        <w:t>AV-</w:t>
      </w:r>
      <w:r w:rsidRPr="001C0F5C">
        <w:rPr>
          <w:rFonts w:ascii="Arial" w:hAnsi="Arial" w:cs="Arial"/>
          <w:b/>
          <w:sz w:val="20"/>
          <w:lang w:val="en-GB"/>
        </w:rPr>
        <w:t>D1</w:t>
      </w:r>
      <w:r w:rsidRPr="001C0F5C">
        <w:rPr>
          <w:rFonts w:ascii="Arial" w:hAnsi="Arial" w:cs="Arial"/>
          <w:sz w:val="20"/>
          <w:lang w:val="en-GB"/>
        </w:rPr>
        <w:t xml:space="preserve">- AV 65mg/kg, </w:t>
      </w:r>
      <w:r w:rsidRPr="001C0F5C">
        <w:rPr>
          <w:rFonts w:ascii="Arial" w:hAnsi="Arial" w:cs="Arial"/>
          <w:b/>
          <w:bCs/>
          <w:sz w:val="20"/>
        </w:rPr>
        <w:t>AV-</w:t>
      </w:r>
      <w:r w:rsidRPr="001C0F5C">
        <w:rPr>
          <w:rFonts w:ascii="Arial" w:hAnsi="Arial" w:cs="Arial"/>
          <w:b/>
          <w:sz w:val="20"/>
          <w:lang w:val="en-GB"/>
        </w:rPr>
        <w:t>D2</w:t>
      </w:r>
      <w:r w:rsidRPr="001C0F5C">
        <w:rPr>
          <w:rFonts w:ascii="Arial" w:hAnsi="Arial" w:cs="Arial"/>
          <w:sz w:val="20"/>
          <w:lang w:val="en-GB"/>
        </w:rPr>
        <w:t xml:space="preserve">- AV 130 mg/kg, </w:t>
      </w:r>
      <w:r w:rsidRPr="001C0F5C">
        <w:rPr>
          <w:rFonts w:ascii="Arial" w:hAnsi="Arial" w:cs="Arial"/>
          <w:b/>
          <w:bCs/>
          <w:sz w:val="20"/>
        </w:rPr>
        <w:t>AV-</w:t>
      </w:r>
      <w:r w:rsidRPr="001C0F5C">
        <w:rPr>
          <w:rFonts w:ascii="Arial" w:hAnsi="Arial" w:cs="Arial"/>
          <w:b/>
          <w:sz w:val="20"/>
          <w:lang w:val="en-GB"/>
        </w:rPr>
        <w:t>D3</w:t>
      </w:r>
      <w:r w:rsidRPr="001C0F5C">
        <w:rPr>
          <w:rFonts w:ascii="Arial" w:hAnsi="Arial" w:cs="Arial"/>
          <w:sz w:val="20"/>
          <w:lang w:val="en-GB"/>
        </w:rPr>
        <w:t xml:space="preserve">- AV 195 mg/kg and </w:t>
      </w:r>
      <w:r w:rsidRPr="001C0F5C">
        <w:rPr>
          <w:rFonts w:ascii="Arial" w:hAnsi="Arial" w:cs="Arial"/>
          <w:b/>
          <w:bCs/>
          <w:sz w:val="20"/>
        </w:rPr>
        <w:t>AV-</w:t>
      </w:r>
      <w:r w:rsidRPr="001C0F5C">
        <w:rPr>
          <w:rFonts w:ascii="Arial" w:hAnsi="Arial" w:cs="Arial"/>
          <w:b/>
          <w:sz w:val="20"/>
          <w:lang w:val="en-GB"/>
        </w:rPr>
        <w:t>D4</w:t>
      </w:r>
      <w:r w:rsidRPr="001C0F5C">
        <w:rPr>
          <w:rFonts w:ascii="Arial" w:hAnsi="Arial" w:cs="Arial"/>
          <w:sz w:val="20"/>
          <w:lang w:val="en-GB"/>
        </w:rPr>
        <w:t xml:space="preserve">- AV 260mg/kg, </w:t>
      </w:r>
      <w:r w:rsidRPr="001C0F5C">
        <w:rPr>
          <w:rFonts w:ascii="Arial" w:hAnsi="Arial" w:cs="Arial"/>
          <w:b/>
          <w:bCs/>
          <w:sz w:val="20"/>
        </w:rPr>
        <w:t>Veh-</w:t>
      </w:r>
      <w:r w:rsidRPr="001C0F5C">
        <w:rPr>
          <w:rFonts w:ascii="Arial" w:hAnsi="Arial" w:cs="Arial"/>
          <w:sz w:val="20"/>
        </w:rPr>
        <w:t xml:space="preserve"> Vehicle (sterile distill water +DMSO), </w:t>
      </w:r>
      <w:r w:rsidRPr="001C0F5C">
        <w:rPr>
          <w:rFonts w:ascii="Arial" w:hAnsi="Arial" w:cs="Arial"/>
          <w:b/>
          <w:sz w:val="20"/>
          <w:lang w:val="en-GB"/>
        </w:rPr>
        <w:t>BEAS-2B</w:t>
      </w:r>
      <w:r w:rsidRPr="001C0F5C">
        <w:rPr>
          <w:rFonts w:ascii="Arial" w:hAnsi="Arial" w:cs="Arial"/>
          <w:sz w:val="20"/>
          <w:lang w:val="en-GB"/>
        </w:rPr>
        <w:t xml:space="preserve">- normal human bronchial epithelium cells, </w:t>
      </w:r>
      <w:r w:rsidRPr="001C0F5C">
        <w:rPr>
          <w:rFonts w:ascii="Arial" w:hAnsi="Arial" w:cs="Arial"/>
          <w:b/>
          <w:bCs/>
          <w:sz w:val="20"/>
          <w:lang w:val="en-GB"/>
        </w:rPr>
        <w:t>DMOG</w:t>
      </w:r>
      <w:r w:rsidRPr="001C0F5C">
        <w:rPr>
          <w:rFonts w:ascii="Arial" w:hAnsi="Arial" w:cs="Arial"/>
          <w:sz w:val="20"/>
          <w:lang w:val="en-GB"/>
        </w:rPr>
        <w:t xml:space="preserve">- dimethyloxaloylglycine, </w:t>
      </w:r>
      <w:r w:rsidRPr="001C0F5C">
        <w:rPr>
          <w:rFonts w:ascii="Arial" w:hAnsi="Arial" w:cs="Arial"/>
          <w:b/>
          <w:sz w:val="20"/>
          <w:lang w:val="en-GB"/>
        </w:rPr>
        <w:t>DMOG+AV</w:t>
      </w:r>
      <w:r w:rsidRPr="001C0F5C">
        <w:rPr>
          <w:rFonts w:ascii="Arial" w:hAnsi="Arial" w:cs="Arial"/>
          <w:sz w:val="20"/>
          <w:lang w:val="en-GB"/>
        </w:rPr>
        <w:t xml:space="preserve">- DMOG+10µg/ml. of </w:t>
      </w:r>
      <w:r w:rsidRPr="001C0F5C">
        <w:rPr>
          <w:rFonts w:ascii="Arial" w:hAnsi="Arial" w:cs="Arial"/>
          <w:iCs/>
          <w:sz w:val="20"/>
          <w:lang w:val="en-GB"/>
        </w:rPr>
        <w:t>AV</w:t>
      </w:r>
      <w:r w:rsidRPr="001C0F5C">
        <w:rPr>
          <w:rFonts w:ascii="Arial" w:hAnsi="Arial" w:cs="Arial"/>
          <w:sz w:val="20"/>
          <w:lang w:val="en-GB"/>
        </w:rPr>
        <w:t xml:space="preserve">, </w:t>
      </w:r>
      <w:proofErr w:type="spellStart"/>
      <w:r w:rsidRPr="001C0F5C">
        <w:rPr>
          <w:rFonts w:ascii="Arial" w:hAnsi="Arial" w:cs="Arial"/>
          <w:b/>
          <w:bCs/>
          <w:sz w:val="20"/>
          <w:lang w:val="en-GB"/>
        </w:rPr>
        <w:t>DMOG+Dex</w:t>
      </w:r>
      <w:proofErr w:type="spellEnd"/>
      <w:r w:rsidRPr="001C0F5C">
        <w:rPr>
          <w:rFonts w:ascii="Arial" w:hAnsi="Arial" w:cs="Arial"/>
          <w:sz w:val="20"/>
          <w:lang w:val="en-GB"/>
        </w:rPr>
        <w:t xml:space="preserve">- DMOG+10nM of Dex, </w:t>
      </w:r>
      <w:r w:rsidRPr="001C0F5C">
        <w:rPr>
          <w:rFonts w:ascii="Arial" w:hAnsi="Arial" w:cs="Arial"/>
          <w:b/>
          <w:sz w:val="20"/>
          <w:lang w:val="en-GB"/>
        </w:rPr>
        <w:t>DMOG+Dex+AV</w:t>
      </w:r>
      <w:r w:rsidRPr="001C0F5C">
        <w:rPr>
          <w:rFonts w:ascii="Arial" w:hAnsi="Arial" w:cs="Arial"/>
          <w:sz w:val="20"/>
          <w:lang w:val="en-GB"/>
        </w:rPr>
        <w:t>-DMOG+10nM of Dex+10 µg/ml of AV</w:t>
      </w:r>
      <w:r w:rsidRPr="001C0F5C">
        <w:rPr>
          <w:rFonts w:ascii="Arial" w:hAnsi="Arial" w:cs="Arial"/>
          <w:b/>
          <w:bCs/>
          <w:sz w:val="20"/>
          <w:lang w:val="en-GB"/>
        </w:rPr>
        <w:t>, DMOG 8hrs</w:t>
      </w:r>
      <w:r w:rsidRPr="001C0F5C">
        <w:rPr>
          <w:rFonts w:ascii="Arial" w:hAnsi="Arial" w:cs="Arial"/>
          <w:sz w:val="20"/>
          <w:lang w:val="en-GB"/>
        </w:rPr>
        <w:t xml:space="preserve">- DMOG treatment for 8 hours. </w:t>
      </w:r>
    </w:p>
    <w:p w14:paraId="5113296D" w14:textId="77777777" w:rsidR="00997A5D" w:rsidRDefault="00997A5D" w:rsidP="00997A5D">
      <w:pPr>
        <w:pStyle w:val="SMcaption"/>
        <w:spacing w:line="480" w:lineRule="auto"/>
        <w:jc w:val="both"/>
        <w:rPr>
          <w:rFonts w:ascii="Arial" w:hAnsi="Arial" w:cs="Arial"/>
          <w:sz w:val="20"/>
          <w:lang w:val="en-GB"/>
        </w:rPr>
      </w:pPr>
    </w:p>
    <w:p w14:paraId="67290BBE" w14:textId="77777777" w:rsidR="00997A5D" w:rsidRPr="001C0F5C" w:rsidRDefault="00997A5D" w:rsidP="00997A5D">
      <w:pPr>
        <w:pStyle w:val="SMcaption"/>
        <w:spacing w:line="480" w:lineRule="auto"/>
        <w:jc w:val="both"/>
        <w:rPr>
          <w:rFonts w:ascii="Arial" w:hAnsi="Arial" w:cs="Arial"/>
          <w:b/>
          <w:bCs/>
          <w:sz w:val="20"/>
        </w:rPr>
      </w:pPr>
      <w:r w:rsidRPr="000E6905">
        <w:rPr>
          <w:rFonts w:ascii="Arial" w:hAnsi="Arial" w:cs="Arial"/>
          <w:b/>
          <w:bCs/>
          <w:noProof/>
          <w:sz w:val="20"/>
        </w:rPr>
        <w:lastRenderedPageBreak/>
        <w:drawing>
          <wp:inline distT="0" distB="0" distL="0" distR="0" wp14:anchorId="0E3D3FA9" wp14:editId="5EBFF40F">
            <wp:extent cx="5486400" cy="7871460"/>
            <wp:effectExtent l="12700" t="12700" r="12700"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7871460"/>
                    </a:xfrm>
                    <a:prstGeom prst="rect">
                      <a:avLst/>
                    </a:prstGeom>
                    <a:ln>
                      <a:solidFill>
                        <a:schemeClr val="tx1"/>
                      </a:solidFill>
                    </a:ln>
                  </pic:spPr>
                </pic:pic>
              </a:graphicData>
            </a:graphic>
          </wp:inline>
        </w:drawing>
      </w:r>
    </w:p>
    <w:p w14:paraId="2CB46D5D" w14:textId="77777777" w:rsidR="00997A5D" w:rsidRPr="001C0F5C" w:rsidRDefault="00997A5D" w:rsidP="00997A5D">
      <w:pPr>
        <w:pStyle w:val="SMcaption"/>
        <w:spacing w:line="480" w:lineRule="auto"/>
        <w:jc w:val="both"/>
        <w:rPr>
          <w:rFonts w:ascii="Arial" w:hAnsi="Arial" w:cs="Arial"/>
          <w:sz w:val="20"/>
        </w:rPr>
      </w:pPr>
    </w:p>
    <w:p w14:paraId="20D44D7F" w14:textId="77777777" w:rsidR="00997A5D" w:rsidRDefault="00997A5D" w:rsidP="00997A5D">
      <w:pPr>
        <w:pStyle w:val="SMcaption"/>
        <w:spacing w:line="480" w:lineRule="auto"/>
        <w:jc w:val="both"/>
        <w:rPr>
          <w:rFonts w:ascii="Arial" w:hAnsi="Arial" w:cs="Arial"/>
          <w:sz w:val="20"/>
          <w:lang w:val="en-GB"/>
        </w:rPr>
      </w:pPr>
      <w:r w:rsidRPr="001C0F5C">
        <w:rPr>
          <w:rFonts w:ascii="Arial" w:hAnsi="Arial" w:cs="Arial"/>
          <w:b/>
          <w:bCs/>
          <w:sz w:val="20"/>
        </w:rPr>
        <w:t xml:space="preserve">Figure S3: </w:t>
      </w:r>
      <w:r w:rsidRPr="001C0F5C">
        <w:rPr>
          <w:rFonts w:ascii="Arial" w:hAnsi="Arial" w:cs="Arial"/>
          <w:b/>
          <w:sz w:val="20"/>
          <w:lang w:val="en-GB"/>
        </w:rPr>
        <w:t xml:space="preserve">AV treatment rescues cellular hypoxia induced mitochondrial dysfunction in adenocarcinomic human alveolar basal epithelial cells. </w:t>
      </w:r>
      <w:r w:rsidRPr="001C0F5C">
        <w:rPr>
          <w:rFonts w:ascii="Arial" w:hAnsi="Arial" w:cs="Arial"/>
          <w:b/>
          <w:bCs/>
          <w:sz w:val="20"/>
        </w:rPr>
        <w:t xml:space="preserve">(A) </w:t>
      </w:r>
      <w:r w:rsidRPr="001C0F5C">
        <w:rPr>
          <w:rFonts w:ascii="Arial" w:hAnsi="Arial" w:cs="Arial"/>
          <w:sz w:val="20"/>
          <w:lang w:val="en-GB"/>
        </w:rPr>
        <w:t xml:space="preserve">Representative OCR levels  linked with </w:t>
      </w:r>
      <w:r w:rsidRPr="001C0F5C">
        <w:rPr>
          <w:rFonts w:ascii="Arial" w:hAnsi="Arial" w:cs="Arial"/>
          <w:sz w:val="20"/>
          <w:lang w:val="en-GB"/>
        </w:rPr>
        <w:lastRenderedPageBreak/>
        <w:t xml:space="preserve">Basal respiration, ATP production and at Maximum respiration indicated by fold change value as compare to vehicle (sterile distil water) group in </w:t>
      </w:r>
      <w:r w:rsidRPr="001C0F5C">
        <w:rPr>
          <w:rFonts w:ascii="Arial" w:hAnsi="Arial" w:cs="Arial"/>
          <w:bCs/>
          <w:sz w:val="20"/>
          <w:lang w:val="en-GB"/>
        </w:rPr>
        <w:t xml:space="preserve">adenocarcinomic human alveolar basal epithelial cells (A549). </w:t>
      </w:r>
      <w:r w:rsidRPr="001C0F5C">
        <w:rPr>
          <w:rFonts w:ascii="Arial" w:hAnsi="Arial" w:cs="Arial"/>
          <w:sz w:val="20"/>
          <w:lang w:val="en-GB"/>
        </w:rPr>
        <w:t xml:space="preserve">Significance denoted by $ indicates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0.0001 compared to Veh group and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0.01 and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 xml:space="preserve">0.0001 compared DMOG group. </w:t>
      </w:r>
      <w:r w:rsidRPr="001C0F5C">
        <w:rPr>
          <w:rFonts w:ascii="Arial" w:hAnsi="Arial" w:cs="Arial"/>
          <w:b/>
          <w:bCs/>
          <w:sz w:val="20"/>
          <w:lang w:val="en-GB"/>
        </w:rPr>
        <w:t>(B)</w:t>
      </w:r>
      <w:r w:rsidRPr="001C0F5C">
        <w:rPr>
          <w:rFonts w:ascii="Arial" w:hAnsi="Arial" w:cs="Arial"/>
          <w:sz w:val="20"/>
          <w:lang w:val="en-GB"/>
        </w:rPr>
        <w:t xml:space="preserve"> Representative confocal images of cells labelled with mitochondria specific TOM20 show in green, with nuclear stain (DAPI) in blue. Boxed areas in the image are magnified to show typical changes in mitochondria after each treatment and condition. </w:t>
      </w:r>
      <w:r w:rsidRPr="001C0F5C">
        <w:rPr>
          <w:rFonts w:ascii="Arial" w:hAnsi="Arial" w:cs="Arial"/>
          <w:b/>
          <w:bCs/>
          <w:sz w:val="20"/>
          <w:lang w:val="en-GB"/>
        </w:rPr>
        <w:t>(C to F)</w:t>
      </w:r>
      <w:r w:rsidRPr="001C0F5C">
        <w:rPr>
          <w:rFonts w:ascii="Arial" w:hAnsi="Arial" w:cs="Arial"/>
          <w:sz w:val="20"/>
          <w:lang w:val="en-GB"/>
        </w:rPr>
        <w:t xml:space="preserve"> Dot plot showing statistical score of mitochondrial elongation (C),</w:t>
      </w:r>
      <w:r w:rsidRPr="001C0F5C">
        <w:rPr>
          <w:rFonts w:ascii="Arial" w:hAnsi="Arial" w:cs="Arial"/>
          <w:b/>
          <w:bCs/>
          <w:sz w:val="20"/>
          <w:lang w:val="en-GB"/>
        </w:rPr>
        <w:t xml:space="preserve"> </w:t>
      </w:r>
      <w:r w:rsidRPr="001C0F5C">
        <w:rPr>
          <w:rFonts w:ascii="Arial" w:hAnsi="Arial" w:cs="Arial"/>
          <w:sz w:val="20"/>
          <w:lang w:val="en-GB"/>
        </w:rPr>
        <w:t xml:space="preserve">mitochondrial network (D), area (E) and its individual numbers per cell (F).  Data are shown as mean </w:t>
      </w:r>
      <w:r w:rsidRPr="001C0F5C">
        <w:rPr>
          <w:rFonts w:ascii="Arial" w:hAnsi="Arial" w:cs="Arial"/>
          <w:sz w:val="20"/>
          <w:lang w:val="en-GB"/>
        </w:rPr>
        <w:sym w:font="Symbol" w:char="F0B1"/>
      </w:r>
      <w:r w:rsidRPr="001C0F5C">
        <w:rPr>
          <w:rFonts w:ascii="Arial" w:hAnsi="Arial" w:cs="Arial"/>
          <w:sz w:val="20"/>
          <w:lang w:val="en-GB"/>
        </w:rPr>
        <w:t>SEM of thirty or more cells per group. Significance denoted by *</w:t>
      </w:r>
      <w:r w:rsidRPr="001C0F5C">
        <w:rPr>
          <w:rFonts w:ascii="Arial" w:hAnsi="Arial" w:cs="Arial"/>
          <w:i/>
          <w:iCs/>
          <w:sz w:val="20"/>
          <w:lang w:val="en-GB"/>
        </w:rPr>
        <w:t>P</w:t>
      </w:r>
      <w:r w:rsidRPr="001C0F5C">
        <w:rPr>
          <w:rFonts w:ascii="Arial" w:hAnsi="Arial" w:cs="Arial"/>
          <w:sz w:val="20"/>
          <w:lang w:val="en-GB"/>
        </w:rPr>
        <w:t xml:space="preserve"> </w:t>
      </w:r>
      <w:r w:rsidRPr="001C0F5C">
        <w:rPr>
          <w:rFonts w:ascii="Arial" w:hAnsi="Arial" w:cs="Arial"/>
          <w:sz w:val="20"/>
          <w:lang w:val="en-GB"/>
        </w:rPr>
        <w:sym w:font="Symbol" w:char="F0A3"/>
      </w:r>
      <w:r w:rsidRPr="001C0F5C">
        <w:rPr>
          <w:rFonts w:ascii="Arial" w:hAnsi="Arial" w:cs="Arial"/>
          <w:sz w:val="20"/>
          <w:lang w:val="en-GB"/>
        </w:rPr>
        <w:t>0.05,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0.01,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0.001 and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 xml:space="preserve">0.0001, by two way ANOVA with Tukey’s multiple correction test (A), ordinary one way ANOVA with Tukey’s multiple correction test (C to F). </w:t>
      </w:r>
      <w:r w:rsidRPr="001C0F5C">
        <w:rPr>
          <w:rFonts w:ascii="Arial" w:hAnsi="Arial" w:cs="Arial"/>
          <w:b/>
          <w:bCs/>
          <w:sz w:val="20"/>
          <w:lang w:val="en-GB"/>
        </w:rPr>
        <w:t>OCR-</w:t>
      </w:r>
      <w:r w:rsidRPr="001C0F5C">
        <w:rPr>
          <w:rFonts w:ascii="Arial" w:hAnsi="Arial" w:cs="Arial"/>
          <w:sz w:val="20"/>
          <w:lang w:val="en-GB"/>
        </w:rPr>
        <w:t xml:space="preserve"> oxygen consumption rate,</w:t>
      </w:r>
      <w:r w:rsidRPr="001C0F5C">
        <w:rPr>
          <w:rFonts w:ascii="Arial" w:hAnsi="Arial" w:cs="Arial"/>
          <w:b/>
          <w:sz w:val="20"/>
          <w:lang w:val="en-GB"/>
        </w:rPr>
        <w:t xml:space="preserve"> DMOG</w:t>
      </w:r>
      <w:r w:rsidRPr="001C0F5C">
        <w:rPr>
          <w:rFonts w:ascii="Arial" w:hAnsi="Arial" w:cs="Arial"/>
          <w:sz w:val="20"/>
          <w:lang w:val="en-GB"/>
        </w:rPr>
        <w:t xml:space="preserve">- dimethyloxaloylglycine, </w:t>
      </w:r>
      <w:r w:rsidRPr="001C0F5C">
        <w:rPr>
          <w:rFonts w:ascii="Arial" w:hAnsi="Arial" w:cs="Arial"/>
          <w:b/>
          <w:sz w:val="20"/>
          <w:lang w:val="en-GB"/>
        </w:rPr>
        <w:t>DMOG+AV</w:t>
      </w:r>
      <w:r w:rsidRPr="001C0F5C">
        <w:rPr>
          <w:rFonts w:ascii="Arial" w:hAnsi="Arial" w:cs="Arial"/>
          <w:sz w:val="20"/>
          <w:lang w:val="en-GB"/>
        </w:rPr>
        <w:t xml:space="preserve">- DMOG+10µg/ml. </w:t>
      </w:r>
      <w:r w:rsidRPr="001C0F5C">
        <w:rPr>
          <w:rFonts w:ascii="Arial" w:hAnsi="Arial" w:cs="Arial"/>
          <w:i/>
          <w:sz w:val="20"/>
          <w:lang w:val="en-GB"/>
        </w:rPr>
        <w:t>Adhatoda Vasica</w:t>
      </w:r>
      <w:r w:rsidRPr="001C0F5C">
        <w:rPr>
          <w:rFonts w:ascii="Arial" w:hAnsi="Arial" w:cs="Arial"/>
          <w:sz w:val="20"/>
          <w:lang w:val="en-GB"/>
        </w:rPr>
        <w:t xml:space="preserve"> extract, </w:t>
      </w:r>
      <w:proofErr w:type="spellStart"/>
      <w:r w:rsidRPr="001C0F5C">
        <w:rPr>
          <w:rFonts w:ascii="Arial" w:hAnsi="Arial" w:cs="Arial"/>
          <w:b/>
          <w:sz w:val="20"/>
          <w:lang w:val="en-GB"/>
        </w:rPr>
        <w:t>DMOG+Dex</w:t>
      </w:r>
      <w:proofErr w:type="spellEnd"/>
      <w:r w:rsidRPr="001C0F5C">
        <w:rPr>
          <w:rFonts w:ascii="Arial" w:hAnsi="Arial" w:cs="Arial"/>
          <w:sz w:val="20"/>
          <w:lang w:val="en-GB"/>
        </w:rPr>
        <w:t xml:space="preserve">- DMOG+10nM of Dexamethasone, </w:t>
      </w:r>
      <w:r w:rsidRPr="001C0F5C">
        <w:rPr>
          <w:rFonts w:ascii="Arial" w:hAnsi="Arial" w:cs="Arial"/>
          <w:b/>
          <w:sz w:val="20"/>
          <w:lang w:val="en-GB"/>
        </w:rPr>
        <w:t>DMOG+Dex+AV</w:t>
      </w:r>
      <w:r w:rsidRPr="001C0F5C">
        <w:rPr>
          <w:rFonts w:ascii="Arial" w:hAnsi="Arial" w:cs="Arial"/>
          <w:sz w:val="20"/>
          <w:lang w:val="en-GB"/>
        </w:rPr>
        <w:t xml:space="preserve">-DMOG+10nM of Dexamethasone+10µg/ml. </w:t>
      </w:r>
      <w:r w:rsidRPr="001C0F5C">
        <w:rPr>
          <w:rFonts w:ascii="Arial" w:hAnsi="Arial" w:cs="Arial"/>
          <w:i/>
          <w:sz w:val="20"/>
          <w:lang w:val="en-GB"/>
        </w:rPr>
        <w:t>Adhatoda Vasica</w:t>
      </w:r>
      <w:r w:rsidRPr="001C0F5C">
        <w:rPr>
          <w:rFonts w:ascii="Arial" w:hAnsi="Arial" w:cs="Arial"/>
          <w:sz w:val="20"/>
          <w:lang w:val="en-GB"/>
        </w:rPr>
        <w:t xml:space="preserve"> extract, </w:t>
      </w:r>
      <w:r w:rsidRPr="001C0F5C">
        <w:rPr>
          <w:rFonts w:ascii="Arial" w:hAnsi="Arial" w:cs="Arial"/>
          <w:b/>
          <w:sz w:val="20"/>
          <w:lang w:val="en-GB"/>
        </w:rPr>
        <w:t>DMOG 8hrs</w:t>
      </w:r>
      <w:r w:rsidRPr="001C0F5C">
        <w:rPr>
          <w:rFonts w:ascii="Arial" w:hAnsi="Arial" w:cs="Arial"/>
          <w:sz w:val="20"/>
          <w:lang w:val="en-GB"/>
        </w:rPr>
        <w:t>- DMOG treatment for 8 hours.</w:t>
      </w:r>
    </w:p>
    <w:p w14:paraId="0BADCA45" w14:textId="77777777" w:rsidR="00997A5D" w:rsidRDefault="00997A5D" w:rsidP="00997A5D">
      <w:pPr>
        <w:pStyle w:val="SMcaption"/>
        <w:spacing w:line="480" w:lineRule="auto"/>
        <w:jc w:val="both"/>
        <w:rPr>
          <w:rFonts w:ascii="Arial" w:hAnsi="Arial" w:cs="Arial"/>
          <w:sz w:val="20"/>
          <w:lang w:val="en-GB"/>
        </w:rPr>
      </w:pPr>
    </w:p>
    <w:p w14:paraId="25357755" w14:textId="77777777" w:rsidR="00997A5D" w:rsidRPr="001C0F5C" w:rsidRDefault="00997A5D" w:rsidP="00997A5D">
      <w:pPr>
        <w:pStyle w:val="SMcaption"/>
        <w:spacing w:line="480" w:lineRule="auto"/>
        <w:jc w:val="both"/>
        <w:rPr>
          <w:rFonts w:ascii="Arial" w:hAnsi="Arial" w:cs="Arial"/>
          <w:b/>
          <w:bCs/>
          <w:sz w:val="20"/>
        </w:rPr>
      </w:pPr>
      <w:r w:rsidRPr="000E6905">
        <w:rPr>
          <w:rFonts w:ascii="Arial" w:hAnsi="Arial" w:cs="Arial"/>
          <w:b/>
          <w:bCs/>
          <w:noProof/>
          <w:sz w:val="20"/>
        </w:rPr>
        <w:lastRenderedPageBreak/>
        <w:drawing>
          <wp:inline distT="0" distB="0" distL="0" distR="0" wp14:anchorId="0502D019" wp14:editId="57F61118">
            <wp:extent cx="5486400" cy="7811770"/>
            <wp:effectExtent l="12700" t="12700" r="12700"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7811770"/>
                    </a:xfrm>
                    <a:prstGeom prst="rect">
                      <a:avLst/>
                    </a:prstGeom>
                    <a:ln>
                      <a:solidFill>
                        <a:schemeClr val="tx1"/>
                      </a:solidFill>
                    </a:ln>
                  </pic:spPr>
                </pic:pic>
              </a:graphicData>
            </a:graphic>
          </wp:inline>
        </w:drawing>
      </w:r>
    </w:p>
    <w:p w14:paraId="0F2FCF8C" w14:textId="77777777" w:rsidR="00997A5D" w:rsidRPr="001C0F5C" w:rsidRDefault="00997A5D" w:rsidP="00997A5D">
      <w:pPr>
        <w:pStyle w:val="SMcaption"/>
        <w:spacing w:line="480" w:lineRule="auto"/>
        <w:jc w:val="both"/>
        <w:rPr>
          <w:rFonts w:ascii="Arial" w:hAnsi="Arial" w:cs="Arial"/>
          <w:sz w:val="20"/>
        </w:rPr>
      </w:pPr>
    </w:p>
    <w:p w14:paraId="3839F544" w14:textId="77777777" w:rsidR="00997A5D" w:rsidRPr="001C0F5C" w:rsidRDefault="00997A5D" w:rsidP="00997A5D">
      <w:pPr>
        <w:pStyle w:val="SMcaption"/>
        <w:spacing w:line="480" w:lineRule="auto"/>
        <w:jc w:val="both"/>
        <w:rPr>
          <w:rFonts w:ascii="Arial" w:hAnsi="Arial" w:cs="Arial"/>
          <w:b/>
          <w:bCs/>
          <w:sz w:val="20"/>
        </w:rPr>
      </w:pPr>
      <w:r w:rsidRPr="001C0F5C">
        <w:rPr>
          <w:rFonts w:ascii="Arial" w:hAnsi="Arial" w:cs="Arial"/>
          <w:b/>
          <w:bCs/>
          <w:sz w:val="20"/>
        </w:rPr>
        <w:t>Figure S4: AV resolves the chemically induced severe corticosteroid insensitive airway inflammation. (A)</w:t>
      </w:r>
      <w:r w:rsidRPr="001C0F5C">
        <w:rPr>
          <w:rFonts w:ascii="Arial" w:hAnsi="Arial" w:cs="Arial"/>
          <w:sz w:val="20"/>
        </w:rPr>
        <w:t xml:space="preserve"> Quantification of Peribronchial and Perivascular inflammation of lung tissues stained </w:t>
      </w:r>
      <w:r w:rsidRPr="001C0F5C">
        <w:rPr>
          <w:rFonts w:ascii="Arial" w:hAnsi="Arial" w:cs="Arial"/>
          <w:sz w:val="20"/>
        </w:rPr>
        <w:lastRenderedPageBreak/>
        <w:t xml:space="preserve">with H&amp;E by inflammation scoring grade method. </w:t>
      </w:r>
      <w:r w:rsidRPr="001C0F5C">
        <w:rPr>
          <w:rFonts w:ascii="Arial" w:hAnsi="Arial" w:cs="Arial"/>
          <w:b/>
          <w:bCs/>
          <w:sz w:val="20"/>
        </w:rPr>
        <w:t>(B</w:t>
      </w:r>
      <w:r w:rsidRPr="001C0F5C">
        <w:rPr>
          <w:rFonts w:ascii="Arial" w:hAnsi="Arial" w:cs="Arial"/>
          <w:sz w:val="20"/>
        </w:rPr>
        <w:t xml:space="preserve">.) </w:t>
      </w:r>
      <w:r w:rsidRPr="001C0F5C">
        <w:rPr>
          <w:rFonts w:ascii="Arial" w:hAnsi="Arial" w:cs="Arial"/>
          <w:sz w:val="20"/>
          <w:lang w:val="en-GB"/>
        </w:rPr>
        <w:t>Densitometric analysis of  mouse lung tissues stained with PAS to measure goblet hyperplasia in severe asthmatic mice using ImageJ</w:t>
      </w:r>
      <w:r w:rsidRPr="001C0F5C" w:rsidDel="00440970">
        <w:rPr>
          <w:rFonts w:ascii="Arial" w:hAnsi="Arial" w:cs="Arial"/>
          <w:sz w:val="20"/>
        </w:rPr>
        <w:t xml:space="preserve"> </w:t>
      </w:r>
      <w:r w:rsidRPr="001C0F5C">
        <w:rPr>
          <w:rFonts w:ascii="Arial" w:hAnsi="Arial" w:cs="Arial"/>
          <w:b/>
          <w:bCs/>
          <w:sz w:val="20"/>
        </w:rPr>
        <w:t xml:space="preserve">(C to E) </w:t>
      </w:r>
      <w:r w:rsidRPr="001C0F5C">
        <w:rPr>
          <w:rFonts w:ascii="Arial" w:hAnsi="Arial" w:cs="Arial"/>
          <w:sz w:val="20"/>
        </w:rPr>
        <w:t>ELISA for</w:t>
      </w:r>
      <w:r w:rsidRPr="001C0F5C">
        <w:rPr>
          <w:rFonts w:ascii="Arial" w:hAnsi="Arial" w:cs="Arial"/>
          <w:b/>
          <w:bCs/>
          <w:sz w:val="20"/>
        </w:rPr>
        <w:t xml:space="preserve"> </w:t>
      </w:r>
      <w:r w:rsidRPr="001C0F5C">
        <w:rPr>
          <w:rFonts w:ascii="Arial" w:hAnsi="Arial" w:cs="Arial"/>
          <w:sz w:val="20"/>
        </w:rPr>
        <w:t>IL-13, TNF-</w:t>
      </w:r>
      <w:r w:rsidRPr="001C0F5C">
        <w:rPr>
          <w:rFonts w:ascii="Arial" w:hAnsi="Arial" w:cs="Arial"/>
          <w:sz w:val="20"/>
        </w:rPr>
        <w:sym w:font="Symbol" w:char="F061"/>
      </w:r>
      <w:r w:rsidRPr="001C0F5C">
        <w:rPr>
          <w:rFonts w:ascii="Arial" w:hAnsi="Arial" w:cs="Arial"/>
          <w:sz w:val="20"/>
        </w:rPr>
        <w:t xml:space="preserve"> and IFN-</w:t>
      </w:r>
      <w:r w:rsidRPr="001C0F5C">
        <w:rPr>
          <w:rFonts w:ascii="Arial" w:hAnsi="Arial" w:cs="Arial"/>
          <w:sz w:val="20"/>
        </w:rPr>
        <w:sym w:font="Symbol" w:char="F067"/>
      </w:r>
      <w:r w:rsidRPr="001C0F5C">
        <w:rPr>
          <w:rFonts w:ascii="Arial" w:hAnsi="Arial" w:cs="Arial"/>
          <w:sz w:val="20"/>
        </w:rPr>
        <w:t xml:space="preserve"> cytokine  levels measured in lung tissue lysate of severe asthmatic mice. </w:t>
      </w:r>
      <w:r w:rsidRPr="001C0F5C">
        <w:rPr>
          <w:rFonts w:ascii="Arial" w:hAnsi="Arial" w:cs="Arial"/>
          <w:sz w:val="20"/>
          <w:lang w:val="en-GB"/>
        </w:rPr>
        <w:t xml:space="preserve">Data are shown as mean </w:t>
      </w:r>
      <w:r w:rsidRPr="001C0F5C">
        <w:rPr>
          <w:rFonts w:ascii="Arial" w:hAnsi="Arial" w:cs="Arial"/>
          <w:sz w:val="20"/>
          <w:lang w:val="en-GB"/>
        </w:rPr>
        <w:sym w:font="Symbol" w:char="F0B1"/>
      </w:r>
      <w:r w:rsidRPr="001C0F5C">
        <w:rPr>
          <w:rFonts w:ascii="Arial" w:hAnsi="Arial" w:cs="Arial"/>
          <w:sz w:val="20"/>
          <w:lang w:val="en-GB"/>
        </w:rPr>
        <w:t xml:space="preserve">SEM of three to five mice per group and representative of two independent </w:t>
      </w:r>
      <w:proofErr w:type="gramStart"/>
      <w:r w:rsidRPr="001C0F5C">
        <w:rPr>
          <w:rFonts w:ascii="Arial" w:hAnsi="Arial" w:cs="Arial"/>
          <w:sz w:val="20"/>
          <w:lang w:val="en-GB"/>
        </w:rPr>
        <w:t>experiment..</w:t>
      </w:r>
      <w:proofErr w:type="gramEnd"/>
      <w:r w:rsidRPr="001C0F5C">
        <w:rPr>
          <w:rFonts w:ascii="Arial" w:hAnsi="Arial" w:cs="Arial"/>
          <w:sz w:val="20"/>
          <w:lang w:val="en-GB"/>
        </w:rPr>
        <w:t xml:space="preserve"> Significance denoted by *</w:t>
      </w:r>
      <w:r w:rsidRPr="001C0F5C">
        <w:rPr>
          <w:rFonts w:ascii="Arial" w:hAnsi="Arial" w:cs="Arial"/>
          <w:i/>
          <w:iCs/>
          <w:sz w:val="20"/>
          <w:lang w:val="en-GB"/>
        </w:rPr>
        <w:t>P</w:t>
      </w:r>
      <w:r w:rsidRPr="001C0F5C">
        <w:rPr>
          <w:rFonts w:ascii="Arial" w:hAnsi="Arial" w:cs="Arial"/>
          <w:sz w:val="20"/>
          <w:lang w:val="en-GB"/>
        </w:rPr>
        <w:t xml:space="preserve"> </w:t>
      </w:r>
      <w:r w:rsidRPr="001C0F5C">
        <w:rPr>
          <w:rFonts w:ascii="Arial" w:hAnsi="Arial" w:cs="Arial"/>
          <w:sz w:val="20"/>
          <w:lang w:val="en-GB"/>
        </w:rPr>
        <w:sym w:font="Symbol" w:char="F0A3"/>
      </w:r>
      <w:r w:rsidRPr="001C0F5C">
        <w:rPr>
          <w:rFonts w:ascii="Arial" w:hAnsi="Arial" w:cs="Arial"/>
          <w:sz w:val="20"/>
          <w:lang w:val="en-GB"/>
        </w:rPr>
        <w:t>0.05,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0.01,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0.001  and ***</w:t>
      </w:r>
      <w:r w:rsidRPr="001C0F5C">
        <w:rPr>
          <w:rFonts w:ascii="Arial" w:hAnsi="Arial" w:cs="Arial"/>
          <w:i/>
          <w:iCs/>
          <w:sz w:val="20"/>
          <w:lang w:val="en-GB"/>
        </w:rPr>
        <w:t>P</w:t>
      </w:r>
      <w:r w:rsidRPr="001C0F5C">
        <w:rPr>
          <w:rFonts w:ascii="Arial" w:hAnsi="Arial" w:cs="Arial"/>
          <w:sz w:val="20"/>
          <w:lang w:val="en-GB"/>
        </w:rPr>
        <w:sym w:font="Symbol" w:char="F0A3"/>
      </w:r>
      <w:r w:rsidRPr="001C0F5C">
        <w:rPr>
          <w:rFonts w:ascii="Arial" w:hAnsi="Arial" w:cs="Arial"/>
          <w:sz w:val="20"/>
          <w:lang w:val="en-GB"/>
        </w:rPr>
        <w:t xml:space="preserve">0.001; by ordinary one way ANOVA. </w:t>
      </w:r>
      <w:r w:rsidRPr="001C0F5C">
        <w:rPr>
          <w:rFonts w:ascii="Arial" w:hAnsi="Arial" w:cs="Arial"/>
          <w:b/>
          <w:sz w:val="20"/>
          <w:lang w:val="en-GB"/>
        </w:rPr>
        <w:t>Ova-</w:t>
      </w:r>
      <w:r w:rsidRPr="001C0F5C">
        <w:rPr>
          <w:rFonts w:ascii="Arial" w:hAnsi="Arial" w:cs="Arial"/>
          <w:sz w:val="20"/>
          <w:lang w:val="en-GB"/>
        </w:rPr>
        <w:t xml:space="preserve"> chicken egg albumin, </w:t>
      </w:r>
      <w:r w:rsidRPr="001C0F5C">
        <w:rPr>
          <w:rFonts w:ascii="Arial" w:hAnsi="Arial" w:cs="Arial"/>
          <w:b/>
          <w:sz w:val="20"/>
          <w:lang w:val="en-GB"/>
        </w:rPr>
        <w:t>Sham-</w:t>
      </w:r>
      <w:r w:rsidRPr="001C0F5C">
        <w:rPr>
          <w:rFonts w:ascii="Arial" w:hAnsi="Arial" w:cs="Arial"/>
          <w:sz w:val="20"/>
          <w:lang w:val="en-GB"/>
        </w:rPr>
        <w:t xml:space="preserve"> vehicle (PBS), </w:t>
      </w:r>
      <w:r w:rsidRPr="001C0F5C">
        <w:rPr>
          <w:rFonts w:ascii="Arial" w:hAnsi="Arial" w:cs="Arial"/>
          <w:b/>
          <w:sz w:val="20"/>
          <w:lang w:val="en-GB"/>
        </w:rPr>
        <w:t>DHB</w:t>
      </w:r>
      <w:r w:rsidRPr="001C0F5C">
        <w:rPr>
          <w:rFonts w:ascii="Arial" w:hAnsi="Arial" w:cs="Arial"/>
          <w:sz w:val="20"/>
          <w:lang w:val="en-GB"/>
        </w:rPr>
        <w:t xml:space="preserve">- ethyl, 3,4 -dihydroxy benzoic acid (10mg/kg), </w:t>
      </w:r>
      <w:r w:rsidRPr="001C0F5C">
        <w:rPr>
          <w:rFonts w:ascii="Arial" w:hAnsi="Arial" w:cs="Arial"/>
          <w:b/>
          <w:sz w:val="20"/>
          <w:lang w:val="en-GB"/>
        </w:rPr>
        <w:t>Dex-</w:t>
      </w:r>
      <w:r w:rsidRPr="001C0F5C">
        <w:rPr>
          <w:rFonts w:ascii="Arial" w:hAnsi="Arial" w:cs="Arial"/>
          <w:sz w:val="20"/>
          <w:lang w:val="en-GB"/>
        </w:rPr>
        <w:t xml:space="preserve"> Dexamethasone (0.75mg/kg), </w:t>
      </w:r>
      <w:r w:rsidRPr="001C0F5C">
        <w:rPr>
          <w:rFonts w:ascii="Arial" w:hAnsi="Arial" w:cs="Arial"/>
          <w:b/>
          <w:sz w:val="20"/>
          <w:lang w:val="en-GB"/>
        </w:rPr>
        <w:t>AV-D2</w:t>
      </w:r>
      <w:r w:rsidRPr="001C0F5C">
        <w:rPr>
          <w:rFonts w:ascii="Arial" w:hAnsi="Arial" w:cs="Arial"/>
          <w:sz w:val="20"/>
          <w:lang w:val="en-GB"/>
        </w:rPr>
        <w:t xml:space="preserve">- </w:t>
      </w:r>
      <w:r w:rsidRPr="001C0F5C">
        <w:rPr>
          <w:rFonts w:ascii="Arial" w:hAnsi="Arial" w:cs="Arial"/>
          <w:i/>
          <w:sz w:val="20"/>
          <w:lang w:val="en-GB"/>
        </w:rPr>
        <w:t>Adhatoda Vasica</w:t>
      </w:r>
      <w:r w:rsidRPr="001C0F5C">
        <w:rPr>
          <w:rFonts w:ascii="Arial" w:hAnsi="Arial" w:cs="Arial"/>
          <w:sz w:val="20"/>
          <w:lang w:val="en-GB"/>
        </w:rPr>
        <w:t xml:space="preserve"> extract (130mg/kg).</w:t>
      </w:r>
    </w:p>
    <w:p w14:paraId="22830F84" w14:textId="77777777" w:rsidR="00997A5D" w:rsidRDefault="00997A5D" w:rsidP="00997A5D">
      <w:pPr>
        <w:pStyle w:val="SMcaption"/>
        <w:spacing w:line="480" w:lineRule="auto"/>
        <w:jc w:val="both"/>
        <w:rPr>
          <w:rFonts w:ascii="Arial" w:hAnsi="Arial" w:cs="Arial"/>
          <w:sz w:val="20"/>
        </w:rPr>
      </w:pPr>
    </w:p>
    <w:p w14:paraId="18F6FE51" w14:textId="77777777" w:rsidR="00997A5D" w:rsidRPr="001C0F5C" w:rsidRDefault="00997A5D" w:rsidP="00997A5D">
      <w:pPr>
        <w:pStyle w:val="SMcaption"/>
        <w:spacing w:line="480" w:lineRule="auto"/>
        <w:jc w:val="both"/>
        <w:rPr>
          <w:rFonts w:ascii="Arial" w:hAnsi="Arial" w:cs="Arial"/>
          <w:sz w:val="20"/>
        </w:rPr>
      </w:pPr>
      <w:r w:rsidRPr="000E6905">
        <w:rPr>
          <w:rFonts w:ascii="Arial" w:hAnsi="Arial" w:cs="Arial"/>
          <w:noProof/>
          <w:sz w:val="20"/>
        </w:rPr>
        <w:lastRenderedPageBreak/>
        <w:drawing>
          <wp:inline distT="0" distB="0" distL="0" distR="0" wp14:anchorId="15FAA089" wp14:editId="4AED60F1">
            <wp:extent cx="5891389" cy="8020881"/>
            <wp:effectExtent l="12700" t="12700" r="14605"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92305" cy="8022128"/>
                    </a:xfrm>
                    <a:prstGeom prst="rect">
                      <a:avLst/>
                    </a:prstGeom>
                    <a:ln>
                      <a:solidFill>
                        <a:schemeClr val="tx1"/>
                      </a:solidFill>
                    </a:ln>
                  </pic:spPr>
                </pic:pic>
              </a:graphicData>
            </a:graphic>
          </wp:inline>
        </w:drawing>
      </w:r>
    </w:p>
    <w:p w14:paraId="56872837" w14:textId="77777777" w:rsidR="00997A5D" w:rsidRPr="00714506" w:rsidRDefault="00997A5D" w:rsidP="00997A5D">
      <w:pPr>
        <w:pStyle w:val="SMcaption"/>
        <w:spacing w:line="480" w:lineRule="auto"/>
        <w:jc w:val="both"/>
        <w:rPr>
          <w:rFonts w:ascii="Arial" w:hAnsi="Arial" w:cs="Arial"/>
          <w:bCs/>
          <w:sz w:val="20"/>
        </w:rPr>
      </w:pPr>
      <w:r w:rsidRPr="001C0F5C">
        <w:rPr>
          <w:rFonts w:ascii="Arial" w:hAnsi="Arial" w:cs="Arial"/>
          <w:b/>
          <w:bCs/>
          <w:sz w:val="20"/>
        </w:rPr>
        <w:t xml:space="preserve">Figure S5: AV resolves the </w:t>
      </w:r>
      <w:r w:rsidRPr="001C0F5C">
        <w:rPr>
          <w:rFonts w:ascii="Arial" w:hAnsi="Arial" w:cs="Arial"/>
          <w:b/>
          <w:bCs/>
          <w:i/>
          <w:iCs/>
          <w:sz w:val="20"/>
        </w:rPr>
        <w:t>PHD2</w:t>
      </w:r>
      <w:r w:rsidRPr="001C0F5C">
        <w:rPr>
          <w:rFonts w:ascii="Arial" w:hAnsi="Arial" w:cs="Arial"/>
          <w:b/>
          <w:bCs/>
          <w:sz w:val="20"/>
        </w:rPr>
        <w:t xml:space="preserve"> siRNA induced severe corticosteroid insensitive airway inflammation. </w:t>
      </w:r>
      <w:r w:rsidRPr="001C0F5C">
        <w:rPr>
          <w:rFonts w:ascii="Arial" w:hAnsi="Arial" w:cs="Arial"/>
          <w:b/>
          <w:sz w:val="20"/>
        </w:rPr>
        <w:t xml:space="preserve">(A) </w:t>
      </w:r>
      <w:r w:rsidRPr="001C0F5C">
        <w:rPr>
          <w:rFonts w:ascii="Arial" w:hAnsi="Arial" w:cs="Arial"/>
          <w:bCs/>
          <w:sz w:val="20"/>
        </w:rPr>
        <w:t xml:space="preserve">Quantification of Peribronchial inflammation of lung tissues stained with H&amp;E by </w:t>
      </w:r>
      <w:r w:rsidRPr="001C0F5C">
        <w:rPr>
          <w:rFonts w:ascii="Arial" w:hAnsi="Arial" w:cs="Arial"/>
          <w:bCs/>
          <w:sz w:val="20"/>
        </w:rPr>
        <w:lastRenderedPageBreak/>
        <w:t xml:space="preserve">inflammation scoring grade method. </w:t>
      </w:r>
      <w:r w:rsidRPr="001C0F5C">
        <w:rPr>
          <w:rFonts w:ascii="Arial" w:hAnsi="Arial" w:cs="Arial"/>
          <w:b/>
          <w:sz w:val="20"/>
        </w:rPr>
        <w:t>(B)</w:t>
      </w:r>
      <w:r w:rsidRPr="001C0F5C">
        <w:rPr>
          <w:rFonts w:ascii="Arial" w:hAnsi="Arial" w:cs="Arial"/>
          <w:bCs/>
          <w:sz w:val="20"/>
        </w:rPr>
        <w:t xml:space="preserve"> </w:t>
      </w:r>
      <w:r w:rsidRPr="001C0F5C">
        <w:rPr>
          <w:rFonts w:ascii="Arial" w:hAnsi="Arial" w:cs="Arial"/>
          <w:sz w:val="20"/>
          <w:lang w:val="en-GB"/>
        </w:rPr>
        <w:t>Densitometric analysis of  mouse lung tissues stained with PAS to mucus metaplasia in severe asthmatic mice using ImageJ</w:t>
      </w:r>
      <w:r w:rsidRPr="001C0F5C">
        <w:rPr>
          <w:rFonts w:ascii="Arial" w:hAnsi="Arial" w:cs="Arial"/>
          <w:bCs/>
          <w:sz w:val="20"/>
        </w:rPr>
        <w:t xml:space="preserve">. </w:t>
      </w:r>
      <w:r w:rsidRPr="001C0F5C">
        <w:rPr>
          <w:rFonts w:ascii="Arial" w:hAnsi="Arial" w:cs="Arial"/>
          <w:b/>
          <w:sz w:val="20"/>
        </w:rPr>
        <w:t xml:space="preserve">(C to E) </w:t>
      </w:r>
      <w:r w:rsidRPr="001C0F5C">
        <w:rPr>
          <w:rFonts w:ascii="Arial" w:hAnsi="Arial" w:cs="Arial"/>
          <w:sz w:val="20"/>
        </w:rPr>
        <w:t xml:space="preserve">ELISA analysis of IL-13 (C), </w:t>
      </w:r>
      <w:r w:rsidRPr="001C0F5C">
        <w:rPr>
          <w:rFonts w:ascii="Arial" w:hAnsi="Arial" w:cs="Arial"/>
          <w:bCs/>
          <w:sz w:val="20"/>
        </w:rPr>
        <w:t xml:space="preserve">KC (D)  and IL-6 (E)  cytokine levels  </w:t>
      </w:r>
      <w:r w:rsidRPr="001C0F5C">
        <w:rPr>
          <w:rFonts w:ascii="Arial" w:hAnsi="Arial" w:cs="Arial"/>
          <w:sz w:val="20"/>
        </w:rPr>
        <w:t xml:space="preserve">in lung tissue lysate of severe asthmatic mice. </w:t>
      </w:r>
      <w:r w:rsidRPr="001C0F5C">
        <w:rPr>
          <w:rFonts w:ascii="Arial" w:hAnsi="Arial" w:cs="Arial"/>
          <w:b/>
          <w:sz w:val="20"/>
        </w:rPr>
        <w:t>(F)</w:t>
      </w:r>
      <w:r w:rsidRPr="001C0F5C">
        <w:rPr>
          <w:rFonts w:ascii="Arial" w:hAnsi="Arial" w:cs="Arial"/>
          <w:bCs/>
          <w:sz w:val="20"/>
        </w:rPr>
        <w:t xml:space="preserve"> Representative photomicrographs of mouse lung tissues stained with PAS  to check mucin levels. Arrow indicates positive staining for mucin. </w:t>
      </w:r>
      <w:r w:rsidRPr="001C0F5C">
        <w:rPr>
          <w:rFonts w:ascii="Arial" w:hAnsi="Arial" w:cs="Arial"/>
          <w:sz w:val="20"/>
          <w:lang w:val="en-GB"/>
        </w:rPr>
        <w:t xml:space="preserve">Data are shown as mean </w:t>
      </w:r>
      <w:r w:rsidRPr="001C0F5C">
        <w:rPr>
          <w:rFonts w:ascii="Arial" w:hAnsi="Arial" w:cs="Arial"/>
          <w:sz w:val="20"/>
          <w:lang w:val="en-GB"/>
        </w:rPr>
        <w:sym w:font="Symbol" w:char="F0B1"/>
      </w:r>
      <w:r w:rsidRPr="001C0F5C">
        <w:rPr>
          <w:rFonts w:ascii="Arial" w:hAnsi="Arial" w:cs="Arial"/>
          <w:sz w:val="20"/>
          <w:lang w:val="en-GB"/>
        </w:rPr>
        <w:t>SEM of five to eight mice per group and representative of two independent experiments.</w:t>
      </w:r>
      <w:r w:rsidRPr="001C0F5C">
        <w:rPr>
          <w:rFonts w:ascii="Arial" w:hAnsi="Arial" w:cs="Arial"/>
          <w:bCs/>
          <w:sz w:val="20"/>
        </w:rPr>
        <w:t xml:space="preserve"> Significance indicated by *</w:t>
      </w:r>
      <w:r w:rsidRPr="001C0F5C">
        <w:rPr>
          <w:rFonts w:ascii="Arial" w:hAnsi="Arial" w:cs="Arial"/>
          <w:bCs/>
          <w:i/>
          <w:iCs/>
          <w:sz w:val="20"/>
        </w:rPr>
        <w:t>P</w:t>
      </w:r>
      <w:r w:rsidRPr="001C0F5C">
        <w:rPr>
          <w:rFonts w:ascii="Arial" w:hAnsi="Arial" w:cs="Arial"/>
          <w:bCs/>
          <w:sz w:val="20"/>
        </w:rPr>
        <w:t xml:space="preserve"> ≤ 0.05, **</w:t>
      </w:r>
      <w:r w:rsidRPr="001C0F5C">
        <w:rPr>
          <w:rFonts w:ascii="Arial" w:hAnsi="Arial" w:cs="Arial"/>
          <w:bCs/>
          <w:i/>
          <w:iCs/>
          <w:sz w:val="20"/>
        </w:rPr>
        <w:t>P</w:t>
      </w:r>
      <w:r w:rsidRPr="001C0F5C">
        <w:rPr>
          <w:rFonts w:ascii="Arial" w:hAnsi="Arial" w:cs="Arial"/>
          <w:bCs/>
          <w:sz w:val="20"/>
        </w:rPr>
        <w:t xml:space="preserve"> ≤ 0.01, ***</w:t>
      </w:r>
      <w:r w:rsidRPr="001C0F5C">
        <w:rPr>
          <w:rFonts w:ascii="Arial" w:hAnsi="Arial" w:cs="Arial"/>
          <w:bCs/>
          <w:i/>
          <w:iCs/>
          <w:sz w:val="20"/>
        </w:rPr>
        <w:t>P</w:t>
      </w:r>
      <w:r w:rsidRPr="001C0F5C">
        <w:rPr>
          <w:rFonts w:ascii="Arial" w:hAnsi="Arial" w:cs="Arial"/>
          <w:bCs/>
          <w:sz w:val="20"/>
        </w:rPr>
        <w:t xml:space="preserve"> ≤ 0.001  and ***</w:t>
      </w:r>
      <w:r w:rsidRPr="001C0F5C">
        <w:rPr>
          <w:rFonts w:ascii="Arial" w:hAnsi="Arial" w:cs="Arial"/>
          <w:bCs/>
          <w:i/>
          <w:iCs/>
          <w:sz w:val="20"/>
        </w:rPr>
        <w:t>P</w:t>
      </w:r>
      <w:r w:rsidRPr="001C0F5C">
        <w:rPr>
          <w:rFonts w:ascii="Arial" w:hAnsi="Arial" w:cs="Arial"/>
          <w:bCs/>
          <w:sz w:val="20"/>
        </w:rPr>
        <w:t xml:space="preserve"> ≤ 0.001; </w:t>
      </w:r>
      <w:r w:rsidRPr="001C0F5C">
        <w:rPr>
          <w:rFonts w:ascii="Arial" w:hAnsi="Arial" w:cs="Arial"/>
          <w:sz w:val="20"/>
          <w:lang w:val="en-GB"/>
        </w:rPr>
        <w:t xml:space="preserve">by ordinary </w:t>
      </w:r>
      <w:proofErr w:type="gramStart"/>
      <w:r w:rsidRPr="001C0F5C">
        <w:rPr>
          <w:rFonts w:ascii="Arial" w:hAnsi="Arial" w:cs="Arial"/>
          <w:sz w:val="20"/>
          <w:lang w:val="en-GB"/>
        </w:rPr>
        <w:t>one way</w:t>
      </w:r>
      <w:proofErr w:type="gramEnd"/>
      <w:r w:rsidRPr="001C0F5C">
        <w:rPr>
          <w:rFonts w:ascii="Arial" w:hAnsi="Arial" w:cs="Arial"/>
          <w:sz w:val="20"/>
          <w:lang w:val="en-GB"/>
        </w:rPr>
        <w:t xml:space="preserve"> ANOVA</w:t>
      </w:r>
      <w:r w:rsidRPr="001C0F5C">
        <w:rPr>
          <w:rFonts w:ascii="Arial" w:hAnsi="Arial" w:cs="Arial"/>
          <w:bCs/>
          <w:sz w:val="20"/>
        </w:rPr>
        <w:t xml:space="preserve">. </w:t>
      </w:r>
      <w:r w:rsidRPr="001C0F5C">
        <w:rPr>
          <w:rFonts w:ascii="Arial" w:hAnsi="Arial" w:cs="Arial"/>
          <w:b/>
          <w:bCs/>
          <w:sz w:val="20"/>
        </w:rPr>
        <w:t>Ova-</w:t>
      </w:r>
      <w:r w:rsidRPr="001C0F5C">
        <w:rPr>
          <w:rFonts w:ascii="Arial" w:hAnsi="Arial" w:cs="Arial"/>
          <w:bCs/>
          <w:sz w:val="20"/>
        </w:rPr>
        <w:t xml:space="preserve"> chicken egg albumin, </w:t>
      </w:r>
      <w:r w:rsidRPr="001C0F5C">
        <w:rPr>
          <w:rFonts w:ascii="Arial" w:hAnsi="Arial" w:cs="Arial"/>
          <w:b/>
          <w:bCs/>
          <w:sz w:val="20"/>
        </w:rPr>
        <w:t>Sham-</w:t>
      </w:r>
      <w:r w:rsidRPr="001C0F5C">
        <w:rPr>
          <w:rFonts w:ascii="Arial" w:hAnsi="Arial" w:cs="Arial"/>
          <w:bCs/>
          <w:sz w:val="20"/>
        </w:rPr>
        <w:t xml:space="preserve"> vehicle (PBS), </w:t>
      </w:r>
      <w:proofErr w:type="spellStart"/>
      <w:r w:rsidRPr="001C0F5C">
        <w:rPr>
          <w:rFonts w:ascii="Arial" w:hAnsi="Arial" w:cs="Arial"/>
          <w:b/>
          <w:bCs/>
          <w:sz w:val="20"/>
        </w:rPr>
        <w:t>Scrm</w:t>
      </w:r>
      <w:proofErr w:type="spellEnd"/>
      <w:r w:rsidRPr="001C0F5C">
        <w:rPr>
          <w:rFonts w:ascii="Arial" w:hAnsi="Arial" w:cs="Arial"/>
          <w:b/>
          <w:bCs/>
          <w:sz w:val="20"/>
        </w:rPr>
        <w:t xml:space="preserve"> siRNA-</w:t>
      </w:r>
      <w:r w:rsidRPr="001C0F5C">
        <w:rPr>
          <w:rFonts w:ascii="Arial" w:hAnsi="Arial" w:cs="Arial"/>
          <w:bCs/>
          <w:sz w:val="20"/>
        </w:rPr>
        <w:t xml:space="preserve"> scrambled siRNA- 90 </w:t>
      </w:r>
      <w:r w:rsidRPr="001C0F5C">
        <w:rPr>
          <w:rFonts w:ascii="Arial" w:hAnsi="Arial" w:cs="Arial"/>
          <w:bCs/>
          <w:sz w:val="20"/>
        </w:rPr>
        <w:sym w:font="Symbol" w:char="F06D"/>
      </w:r>
      <w:r w:rsidRPr="001C0F5C">
        <w:rPr>
          <w:rFonts w:ascii="Arial" w:hAnsi="Arial" w:cs="Arial"/>
          <w:bCs/>
          <w:sz w:val="20"/>
        </w:rPr>
        <w:t xml:space="preserve">g/mice, </w:t>
      </w:r>
      <w:r w:rsidRPr="001C0F5C">
        <w:rPr>
          <w:rFonts w:ascii="Arial" w:hAnsi="Arial" w:cs="Arial"/>
          <w:b/>
          <w:bCs/>
          <w:sz w:val="20"/>
        </w:rPr>
        <w:t>PHD2 siRNA-</w:t>
      </w:r>
      <w:r w:rsidRPr="001C0F5C">
        <w:rPr>
          <w:rFonts w:ascii="Arial" w:hAnsi="Arial" w:cs="Arial"/>
          <w:bCs/>
          <w:sz w:val="20"/>
        </w:rPr>
        <w:t xml:space="preserve"> mouse specific PHD2 siRNA 90</w:t>
      </w:r>
      <w:r w:rsidRPr="001C0F5C">
        <w:rPr>
          <w:rFonts w:ascii="Arial" w:hAnsi="Arial" w:cs="Arial"/>
          <w:bCs/>
          <w:sz w:val="20"/>
        </w:rPr>
        <w:sym w:font="Symbol" w:char="F06D"/>
      </w:r>
      <w:r w:rsidRPr="001C0F5C">
        <w:rPr>
          <w:rFonts w:ascii="Arial" w:hAnsi="Arial" w:cs="Arial"/>
          <w:bCs/>
          <w:sz w:val="20"/>
        </w:rPr>
        <w:t xml:space="preserve">g/mice., </w:t>
      </w:r>
      <w:r w:rsidRPr="001C0F5C">
        <w:rPr>
          <w:rFonts w:ascii="Arial" w:hAnsi="Arial" w:cs="Arial"/>
          <w:b/>
          <w:bCs/>
          <w:sz w:val="20"/>
        </w:rPr>
        <w:t>Dex-</w:t>
      </w:r>
      <w:r w:rsidRPr="001C0F5C">
        <w:rPr>
          <w:rFonts w:ascii="Arial" w:hAnsi="Arial" w:cs="Arial"/>
          <w:bCs/>
          <w:sz w:val="20"/>
        </w:rPr>
        <w:t xml:space="preserve"> Dexamethasone (0.75mg/kg), </w:t>
      </w:r>
      <w:r w:rsidRPr="001C0F5C">
        <w:rPr>
          <w:rFonts w:ascii="Arial" w:hAnsi="Arial" w:cs="Arial"/>
          <w:b/>
          <w:bCs/>
          <w:sz w:val="20"/>
        </w:rPr>
        <w:t>AV-D2-</w:t>
      </w:r>
      <w:r w:rsidRPr="001C0F5C">
        <w:rPr>
          <w:rFonts w:ascii="Arial" w:hAnsi="Arial" w:cs="Arial"/>
          <w:bCs/>
          <w:i/>
          <w:sz w:val="20"/>
        </w:rPr>
        <w:t>Adhatoda Vasica</w:t>
      </w:r>
      <w:r w:rsidRPr="001C0F5C">
        <w:rPr>
          <w:rFonts w:ascii="Arial" w:hAnsi="Arial" w:cs="Arial"/>
          <w:bCs/>
          <w:sz w:val="20"/>
        </w:rPr>
        <w:t xml:space="preserve"> extract (130mg/kg)</w:t>
      </w:r>
    </w:p>
    <w:p w14:paraId="1A1EA810" w14:textId="77777777" w:rsidR="00997A5D" w:rsidRDefault="00997A5D" w:rsidP="00997A5D">
      <w:pPr>
        <w:spacing w:line="480" w:lineRule="auto"/>
        <w:rPr>
          <w:rFonts w:ascii="Arial" w:hAnsi="Arial" w:cs="Arial"/>
          <w:b/>
          <w:kern w:val="28"/>
          <w:sz w:val="20"/>
          <w:szCs w:val="15"/>
        </w:rPr>
      </w:pPr>
    </w:p>
    <w:p w14:paraId="25223EBD" w14:textId="77777777" w:rsidR="00997A5D" w:rsidRDefault="00997A5D" w:rsidP="00997A5D">
      <w:pPr>
        <w:spacing w:line="480" w:lineRule="auto"/>
        <w:rPr>
          <w:rFonts w:ascii="Arial" w:hAnsi="Arial" w:cs="Arial"/>
          <w:b/>
          <w:kern w:val="28"/>
          <w:sz w:val="20"/>
          <w:szCs w:val="15"/>
        </w:rPr>
      </w:pPr>
      <w:r w:rsidRPr="00301BBB">
        <w:rPr>
          <w:rFonts w:ascii="Arial" w:hAnsi="Arial" w:cs="Arial"/>
          <w:b/>
          <w:noProof/>
          <w:kern w:val="28"/>
          <w:sz w:val="20"/>
          <w:szCs w:val="15"/>
        </w:rPr>
        <w:lastRenderedPageBreak/>
        <w:drawing>
          <wp:inline distT="0" distB="0" distL="0" distR="0" wp14:anchorId="0FACC7BC" wp14:editId="72772407">
            <wp:extent cx="5727700" cy="8226325"/>
            <wp:effectExtent l="12700" t="12700" r="1270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8226325"/>
                    </a:xfrm>
                    <a:prstGeom prst="rect">
                      <a:avLst/>
                    </a:prstGeom>
                    <a:ln>
                      <a:solidFill>
                        <a:schemeClr val="tx1"/>
                      </a:solidFill>
                    </a:ln>
                  </pic:spPr>
                </pic:pic>
              </a:graphicData>
            </a:graphic>
          </wp:inline>
        </w:drawing>
      </w:r>
    </w:p>
    <w:p w14:paraId="2DCD92BB" w14:textId="77777777" w:rsidR="00997A5D" w:rsidRDefault="00997A5D" w:rsidP="00997A5D">
      <w:pPr>
        <w:spacing w:line="480" w:lineRule="auto"/>
        <w:rPr>
          <w:rFonts w:ascii="Arial" w:hAnsi="Arial" w:cs="Arial"/>
          <w:b/>
          <w:bCs/>
          <w:sz w:val="20"/>
          <w:szCs w:val="20"/>
        </w:rPr>
      </w:pPr>
      <w:r w:rsidRPr="001517CA">
        <w:rPr>
          <w:rFonts w:ascii="Arial" w:hAnsi="Arial" w:cs="Arial"/>
          <w:b/>
          <w:bCs/>
          <w:noProof/>
          <w:sz w:val="20"/>
          <w:szCs w:val="20"/>
        </w:rPr>
        <w:lastRenderedPageBreak/>
        <w:drawing>
          <wp:inline distT="0" distB="0" distL="0" distR="0" wp14:anchorId="5FAE0B3D" wp14:editId="32F2162D">
            <wp:extent cx="5727700" cy="2570480"/>
            <wp:effectExtent l="12700" t="12700" r="1270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2570480"/>
                    </a:xfrm>
                    <a:prstGeom prst="rect">
                      <a:avLst/>
                    </a:prstGeom>
                    <a:ln>
                      <a:solidFill>
                        <a:schemeClr val="tx1"/>
                      </a:solidFill>
                    </a:ln>
                  </pic:spPr>
                </pic:pic>
              </a:graphicData>
            </a:graphic>
          </wp:inline>
        </w:drawing>
      </w:r>
    </w:p>
    <w:p w14:paraId="4282E102" w14:textId="77777777" w:rsidR="00997A5D" w:rsidRPr="006671B4" w:rsidRDefault="00997A5D" w:rsidP="00997A5D">
      <w:pPr>
        <w:pStyle w:val="NormalWeb"/>
        <w:spacing w:after="0" w:line="480" w:lineRule="auto"/>
        <w:jc w:val="both"/>
        <w:rPr>
          <w:rFonts w:ascii="Arial" w:hAnsi="Arial" w:cs="Arial"/>
          <w:b/>
          <w:sz w:val="20"/>
          <w:szCs w:val="20"/>
        </w:rPr>
      </w:pPr>
      <w:r w:rsidRPr="006671B4">
        <w:rPr>
          <w:rFonts w:ascii="Arial" w:hAnsi="Arial" w:cs="Arial"/>
          <w:b/>
          <w:bCs/>
          <w:sz w:val="20"/>
          <w:szCs w:val="20"/>
        </w:rPr>
        <w:t xml:space="preserve">Figure S6. Interaction of key lead compounds of AV extract with proteins of hypoxia and inflammation pathway. </w:t>
      </w:r>
      <w:r w:rsidRPr="006671B4">
        <w:rPr>
          <w:rFonts w:ascii="Arial" w:hAnsi="Arial" w:cs="Arial"/>
          <w:sz w:val="20"/>
          <w:szCs w:val="20"/>
        </w:rPr>
        <w:t>(</w:t>
      </w:r>
      <w:r w:rsidRPr="006671B4">
        <w:rPr>
          <w:rFonts w:ascii="Arial" w:hAnsi="Arial" w:cs="Arial"/>
          <w:b/>
          <w:bCs/>
          <w:sz w:val="20"/>
          <w:szCs w:val="20"/>
        </w:rPr>
        <w:t>A</w:t>
      </w:r>
      <w:r w:rsidRPr="006671B4">
        <w:rPr>
          <w:rFonts w:ascii="Arial" w:hAnsi="Arial" w:cs="Arial"/>
          <w:sz w:val="20"/>
          <w:szCs w:val="20"/>
        </w:rPr>
        <w:t>)</w:t>
      </w:r>
      <w:r w:rsidRPr="006671B4">
        <w:rPr>
          <w:rFonts w:ascii="Arial" w:hAnsi="Arial" w:cs="Arial"/>
          <w:b/>
          <w:bCs/>
          <w:sz w:val="20"/>
          <w:szCs w:val="20"/>
        </w:rPr>
        <w:t xml:space="preserve"> </w:t>
      </w:r>
      <w:r w:rsidRPr="006671B4">
        <w:rPr>
          <w:rFonts w:ascii="Arial" w:hAnsi="Arial" w:cs="Arial"/>
          <w:sz w:val="20"/>
          <w:szCs w:val="20"/>
        </w:rPr>
        <w:t xml:space="preserve">3-Dimensional structures of constituents of </w:t>
      </w:r>
      <w:r w:rsidRPr="006671B4">
        <w:rPr>
          <w:rFonts w:ascii="Arial" w:hAnsi="Arial" w:cs="Arial"/>
          <w:i/>
          <w:iCs/>
          <w:sz w:val="20"/>
          <w:szCs w:val="20"/>
        </w:rPr>
        <w:t>Adhatoda Vasica</w:t>
      </w:r>
      <w:r w:rsidRPr="006671B4">
        <w:rPr>
          <w:rFonts w:ascii="Arial" w:hAnsi="Arial" w:cs="Arial"/>
          <w:sz w:val="20"/>
          <w:szCs w:val="20"/>
        </w:rPr>
        <w:t xml:space="preserve">. </w:t>
      </w:r>
      <w:r w:rsidRPr="006671B4">
        <w:rPr>
          <w:rFonts w:ascii="Arial" w:hAnsi="Arial" w:cs="Arial"/>
          <w:b/>
          <w:bCs/>
          <w:sz w:val="20"/>
          <w:szCs w:val="20"/>
        </w:rPr>
        <w:t xml:space="preserve"> </w:t>
      </w:r>
      <w:r w:rsidRPr="006671B4">
        <w:rPr>
          <w:rFonts w:ascii="Arial" w:hAnsi="Arial" w:cs="Arial"/>
          <w:sz w:val="20"/>
          <w:szCs w:val="20"/>
        </w:rPr>
        <w:t>(</w:t>
      </w:r>
      <w:r w:rsidRPr="006671B4">
        <w:rPr>
          <w:rFonts w:ascii="Arial" w:hAnsi="Arial" w:cs="Arial"/>
          <w:b/>
          <w:bCs/>
          <w:sz w:val="20"/>
          <w:szCs w:val="20"/>
        </w:rPr>
        <w:t>B</w:t>
      </w:r>
      <w:r w:rsidRPr="006671B4">
        <w:rPr>
          <w:rFonts w:ascii="Arial" w:hAnsi="Arial" w:cs="Arial"/>
          <w:sz w:val="20"/>
          <w:szCs w:val="20"/>
        </w:rPr>
        <w:t>)</w:t>
      </w:r>
      <w:r w:rsidRPr="006671B4">
        <w:rPr>
          <w:rFonts w:ascii="Arial" w:hAnsi="Arial" w:cs="Arial"/>
          <w:b/>
          <w:bCs/>
          <w:sz w:val="20"/>
          <w:szCs w:val="20"/>
        </w:rPr>
        <w:t xml:space="preserve"> </w:t>
      </w:r>
      <w:r w:rsidRPr="006671B4">
        <w:rPr>
          <w:rFonts w:ascii="Arial" w:hAnsi="Arial" w:cs="Arial"/>
          <w:color w:val="000000" w:themeColor="text1"/>
          <w:kern w:val="24"/>
          <w:sz w:val="20"/>
          <w:szCs w:val="20"/>
        </w:rPr>
        <w:t xml:space="preserve">Interaction of </w:t>
      </w:r>
      <w:r w:rsidRPr="006671B4">
        <w:rPr>
          <w:rFonts w:ascii="Arial" w:hAnsi="Arial" w:cs="Arial"/>
          <w:color w:val="000000"/>
          <w:sz w:val="20"/>
          <w:szCs w:val="20"/>
        </w:rPr>
        <w:t>Luteolin-6,8-di-C-glucoside</w:t>
      </w:r>
      <w:r w:rsidRPr="006671B4">
        <w:rPr>
          <w:rFonts w:ascii="Arial" w:hAnsi="Arial" w:cs="Arial"/>
          <w:color w:val="000000" w:themeColor="text1"/>
          <w:kern w:val="24"/>
          <w:sz w:val="20"/>
          <w:szCs w:val="20"/>
        </w:rPr>
        <w:t xml:space="preserve"> with </w:t>
      </w:r>
      <w:r w:rsidRPr="006671B4">
        <w:rPr>
          <w:rFonts w:ascii="Arial" w:hAnsi="Arial" w:cs="Arial"/>
          <w:sz w:val="20"/>
          <w:szCs w:val="20"/>
        </w:rPr>
        <w:t>HIF-1α. (</w:t>
      </w:r>
      <w:r w:rsidRPr="006671B4">
        <w:rPr>
          <w:rFonts w:ascii="Arial" w:hAnsi="Arial" w:cs="Arial"/>
          <w:b/>
          <w:bCs/>
          <w:sz w:val="20"/>
          <w:szCs w:val="20"/>
        </w:rPr>
        <w:t>C</w:t>
      </w:r>
      <w:r w:rsidRPr="006671B4">
        <w:rPr>
          <w:rFonts w:ascii="Arial" w:hAnsi="Arial" w:cs="Arial"/>
          <w:sz w:val="20"/>
          <w:szCs w:val="20"/>
        </w:rPr>
        <w:t xml:space="preserve">) </w:t>
      </w:r>
      <w:r w:rsidRPr="006671B4">
        <w:rPr>
          <w:rFonts w:ascii="Arial" w:hAnsi="Arial" w:cs="Arial"/>
          <w:color w:val="000000" w:themeColor="text1"/>
          <w:kern w:val="24"/>
          <w:sz w:val="20"/>
          <w:szCs w:val="20"/>
        </w:rPr>
        <w:t xml:space="preserve">Interaction of </w:t>
      </w:r>
      <w:r w:rsidRPr="006671B4">
        <w:rPr>
          <w:rFonts w:ascii="Arial" w:hAnsi="Arial" w:cs="Arial"/>
          <w:color w:val="000000"/>
          <w:sz w:val="20"/>
          <w:szCs w:val="20"/>
        </w:rPr>
        <w:t>Luteolin-6,8-di-C-glucoside</w:t>
      </w:r>
      <w:r w:rsidRPr="006671B4">
        <w:rPr>
          <w:rFonts w:ascii="Arial" w:hAnsi="Arial" w:cs="Arial"/>
          <w:color w:val="000000" w:themeColor="text1"/>
          <w:kern w:val="24"/>
          <w:sz w:val="20"/>
          <w:szCs w:val="20"/>
        </w:rPr>
        <w:t xml:space="preserve"> with </w:t>
      </w:r>
      <w:r w:rsidRPr="006671B4">
        <w:rPr>
          <w:rFonts w:ascii="Arial" w:hAnsi="Arial" w:cs="Arial"/>
          <w:sz w:val="20"/>
          <w:szCs w:val="20"/>
        </w:rPr>
        <w:t>IL-6. (</w:t>
      </w:r>
      <w:r w:rsidRPr="006671B4">
        <w:rPr>
          <w:rFonts w:ascii="Arial" w:hAnsi="Arial" w:cs="Arial"/>
          <w:b/>
          <w:bCs/>
          <w:sz w:val="20"/>
          <w:szCs w:val="20"/>
        </w:rPr>
        <w:t>D</w:t>
      </w:r>
      <w:r w:rsidRPr="006671B4">
        <w:rPr>
          <w:rFonts w:ascii="Arial" w:hAnsi="Arial" w:cs="Arial"/>
          <w:sz w:val="20"/>
          <w:szCs w:val="20"/>
        </w:rPr>
        <w:t xml:space="preserve">) </w:t>
      </w:r>
      <w:r w:rsidRPr="006671B4">
        <w:rPr>
          <w:rFonts w:ascii="Arial" w:hAnsi="Arial" w:cs="Arial"/>
          <w:color w:val="000000" w:themeColor="text1"/>
          <w:kern w:val="24"/>
          <w:sz w:val="20"/>
          <w:szCs w:val="20"/>
        </w:rPr>
        <w:t xml:space="preserve">Interaction of </w:t>
      </w:r>
      <w:r w:rsidRPr="006671B4">
        <w:rPr>
          <w:rFonts w:ascii="Arial" w:hAnsi="Arial" w:cs="Arial"/>
          <w:sz w:val="20"/>
          <w:szCs w:val="20"/>
        </w:rPr>
        <w:t>Kaempferol-3-O-rutinoside</w:t>
      </w:r>
      <w:r w:rsidRPr="006671B4">
        <w:rPr>
          <w:rFonts w:ascii="Arial" w:hAnsi="Arial" w:cs="Arial"/>
          <w:color w:val="000000" w:themeColor="text1"/>
          <w:kern w:val="24"/>
          <w:sz w:val="20"/>
          <w:szCs w:val="20"/>
        </w:rPr>
        <w:t xml:space="preserve"> with </w:t>
      </w:r>
      <w:r w:rsidRPr="006671B4">
        <w:rPr>
          <w:rFonts w:ascii="Arial" w:hAnsi="Arial" w:cs="Arial"/>
          <w:sz w:val="20"/>
          <w:szCs w:val="20"/>
        </w:rPr>
        <w:t>TGF-β. (</w:t>
      </w:r>
      <w:r w:rsidRPr="006671B4">
        <w:rPr>
          <w:rFonts w:ascii="Arial" w:hAnsi="Arial" w:cs="Arial"/>
          <w:b/>
          <w:bCs/>
          <w:sz w:val="20"/>
          <w:szCs w:val="20"/>
        </w:rPr>
        <w:t>E</w:t>
      </w:r>
      <w:r w:rsidRPr="006671B4">
        <w:rPr>
          <w:rFonts w:ascii="Arial" w:hAnsi="Arial" w:cs="Arial"/>
          <w:sz w:val="20"/>
          <w:szCs w:val="20"/>
        </w:rPr>
        <w:t xml:space="preserve">) </w:t>
      </w:r>
      <w:r w:rsidRPr="006671B4">
        <w:rPr>
          <w:rFonts w:ascii="Arial" w:hAnsi="Arial" w:cs="Arial"/>
          <w:color w:val="000000" w:themeColor="text1"/>
          <w:kern w:val="24"/>
          <w:sz w:val="20"/>
          <w:szCs w:val="20"/>
        </w:rPr>
        <w:t xml:space="preserve">Interaction of </w:t>
      </w:r>
      <w:r w:rsidRPr="006671B4">
        <w:rPr>
          <w:rFonts w:ascii="Arial" w:hAnsi="Arial" w:cs="Arial"/>
          <w:color w:val="000000"/>
          <w:sz w:val="20"/>
          <w:szCs w:val="20"/>
        </w:rPr>
        <w:t>Luteolin-6,8-di-C-glucoside</w:t>
      </w:r>
      <w:r w:rsidRPr="006671B4">
        <w:rPr>
          <w:rFonts w:ascii="Arial" w:hAnsi="Arial" w:cs="Arial"/>
          <w:color w:val="000000" w:themeColor="text1"/>
          <w:kern w:val="24"/>
          <w:sz w:val="20"/>
          <w:szCs w:val="20"/>
        </w:rPr>
        <w:t xml:space="preserve"> with JAK-1 (</w:t>
      </w:r>
      <w:r w:rsidRPr="006671B4">
        <w:rPr>
          <w:rFonts w:ascii="Arial" w:hAnsi="Arial" w:cs="Arial"/>
          <w:b/>
          <w:bCs/>
          <w:color w:val="000000" w:themeColor="text1"/>
          <w:kern w:val="24"/>
          <w:sz w:val="20"/>
          <w:szCs w:val="20"/>
        </w:rPr>
        <w:t>F</w:t>
      </w:r>
      <w:r w:rsidRPr="006671B4">
        <w:rPr>
          <w:rFonts w:ascii="Arial" w:hAnsi="Arial" w:cs="Arial"/>
          <w:color w:val="000000" w:themeColor="text1"/>
          <w:kern w:val="24"/>
          <w:sz w:val="20"/>
          <w:szCs w:val="20"/>
        </w:rPr>
        <w:t xml:space="preserve">) Interaction of </w:t>
      </w:r>
      <w:r w:rsidRPr="006671B4">
        <w:rPr>
          <w:rFonts w:ascii="Arial" w:hAnsi="Arial" w:cs="Arial"/>
          <w:sz w:val="20"/>
          <w:szCs w:val="20"/>
        </w:rPr>
        <w:t>Apigenin-8-C-arabinoside</w:t>
      </w:r>
      <w:r w:rsidRPr="006671B4">
        <w:rPr>
          <w:rFonts w:ascii="Arial" w:hAnsi="Arial" w:cs="Arial"/>
          <w:color w:val="000000" w:themeColor="text1"/>
          <w:kern w:val="24"/>
          <w:sz w:val="20"/>
          <w:szCs w:val="20"/>
        </w:rPr>
        <w:t xml:space="preserve"> with JAK-3.  (</w:t>
      </w:r>
      <w:r w:rsidRPr="006671B4">
        <w:rPr>
          <w:rFonts w:ascii="Arial" w:hAnsi="Arial" w:cs="Arial"/>
          <w:b/>
          <w:bCs/>
          <w:color w:val="000000" w:themeColor="text1"/>
          <w:kern w:val="24"/>
          <w:sz w:val="20"/>
          <w:szCs w:val="20"/>
        </w:rPr>
        <w:t>G</w:t>
      </w:r>
      <w:r w:rsidRPr="006671B4">
        <w:rPr>
          <w:rFonts w:ascii="Arial" w:hAnsi="Arial" w:cs="Arial"/>
          <w:color w:val="000000" w:themeColor="text1"/>
          <w:kern w:val="24"/>
          <w:sz w:val="20"/>
          <w:szCs w:val="20"/>
        </w:rPr>
        <w:t>) Interaction of Luteolin-6C-glucoside-</w:t>
      </w:r>
      <w:r w:rsidRPr="006671B4">
        <w:rPr>
          <w:rFonts w:ascii="Arial" w:hAnsi="Arial" w:cs="Arial"/>
          <w:sz w:val="20"/>
          <w:szCs w:val="20"/>
        </w:rPr>
        <w:t>8C-arabinoside</w:t>
      </w:r>
      <w:r w:rsidRPr="006671B4">
        <w:rPr>
          <w:rFonts w:ascii="Arial" w:hAnsi="Arial" w:cs="Arial"/>
          <w:color w:val="000000" w:themeColor="text1"/>
          <w:kern w:val="24"/>
          <w:sz w:val="20"/>
          <w:szCs w:val="20"/>
        </w:rPr>
        <w:t xml:space="preserve"> with TNF-</w:t>
      </w:r>
      <w:r w:rsidRPr="006671B4">
        <w:rPr>
          <w:rFonts w:ascii="Arial" w:hAnsi="Arial" w:cs="Arial"/>
          <w:sz w:val="20"/>
          <w:szCs w:val="20"/>
        </w:rPr>
        <w:t xml:space="preserve"> α.</w:t>
      </w:r>
      <w:r>
        <w:rPr>
          <w:rFonts w:ascii="Arial" w:hAnsi="Arial" w:cs="Arial"/>
          <w:sz w:val="20"/>
          <w:szCs w:val="20"/>
        </w:rPr>
        <w:t xml:space="preserve"> (</w:t>
      </w:r>
      <w:r w:rsidRPr="001517CA">
        <w:rPr>
          <w:rFonts w:ascii="Arial" w:hAnsi="Arial" w:cs="Arial"/>
          <w:b/>
          <w:bCs/>
          <w:sz w:val="20"/>
          <w:szCs w:val="20"/>
        </w:rPr>
        <w:t>H</w:t>
      </w:r>
      <w:r>
        <w:rPr>
          <w:rFonts w:ascii="Arial" w:hAnsi="Arial" w:cs="Arial"/>
          <w:sz w:val="20"/>
          <w:szCs w:val="20"/>
        </w:rPr>
        <w:t xml:space="preserve">) </w:t>
      </w:r>
      <w:r w:rsidRPr="001517CA">
        <w:rPr>
          <w:rFonts w:ascii="Arial" w:hAnsi="Arial" w:cs="Arial"/>
          <w:sz w:val="20"/>
          <w:szCs w:val="20"/>
        </w:rPr>
        <w:t>Interaction of Kaempferol-3-O-rutinoside with IFN-γ</w:t>
      </w:r>
    </w:p>
    <w:p w14:paraId="31FED1BC" w14:textId="77777777" w:rsidR="00997A5D" w:rsidRDefault="00997A5D" w:rsidP="00997A5D">
      <w:pPr>
        <w:spacing w:line="480" w:lineRule="auto"/>
        <w:jc w:val="both"/>
        <w:rPr>
          <w:rFonts w:ascii="Arial" w:hAnsi="Arial" w:cs="Arial"/>
          <w:b/>
          <w:bCs/>
          <w:sz w:val="20"/>
          <w:szCs w:val="20"/>
        </w:rPr>
      </w:pPr>
    </w:p>
    <w:p w14:paraId="17C0E221" w14:textId="77777777" w:rsidR="00997A5D" w:rsidRPr="00B17B9B" w:rsidRDefault="00997A5D" w:rsidP="00997A5D">
      <w:pPr>
        <w:spacing w:line="480" w:lineRule="auto"/>
        <w:rPr>
          <w:rFonts w:ascii="Arial" w:hAnsi="Arial" w:cs="Arial"/>
          <w:b/>
          <w:bCs/>
          <w:sz w:val="20"/>
          <w:szCs w:val="20"/>
        </w:rPr>
      </w:pPr>
      <w:r w:rsidRPr="00B17B9B">
        <w:rPr>
          <w:rFonts w:ascii="Arial" w:hAnsi="Arial" w:cs="Arial"/>
          <w:b/>
          <w:bCs/>
          <w:sz w:val="20"/>
          <w:szCs w:val="20"/>
        </w:rPr>
        <w:t>Supplementary tables</w:t>
      </w:r>
    </w:p>
    <w:p w14:paraId="5DAFD4BE" w14:textId="77777777" w:rsidR="00997A5D" w:rsidRPr="00B17B9B" w:rsidRDefault="00997A5D" w:rsidP="00997A5D">
      <w:pPr>
        <w:suppressLineNumbers/>
        <w:spacing w:line="480" w:lineRule="auto"/>
        <w:jc w:val="both"/>
        <w:rPr>
          <w:rFonts w:ascii="Arial" w:eastAsia="Times New Roman" w:hAnsi="Arial" w:cs="Arial"/>
          <w:bCs/>
          <w:kern w:val="28"/>
          <w:sz w:val="20"/>
          <w:szCs w:val="20"/>
        </w:rPr>
      </w:pPr>
      <w:r w:rsidRPr="00B17B9B">
        <w:rPr>
          <w:rFonts w:ascii="Arial" w:eastAsia="Times New Roman" w:hAnsi="Arial" w:cs="Arial"/>
          <w:b/>
          <w:kern w:val="28"/>
          <w:sz w:val="20"/>
          <w:szCs w:val="20"/>
        </w:rPr>
        <w:t xml:space="preserve">Table S1- Liquid chromatography–electrospray ionization–mass spectroscopy of AV extract in positive-ion mode. </w:t>
      </w:r>
      <w:r w:rsidRPr="00B17B9B">
        <w:rPr>
          <w:rFonts w:ascii="Arial" w:eastAsia="Times New Roman" w:hAnsi="Arial" w:cs="Arial"/>
          <w:bCs/>
          <w:kern w:val="28"/>
          <w:sz w:val="20"/>
          <w:szCs w:val="20"/>
        </w:rPr>
        <w:t xml:space="preserve">Identification of Quinazoline alkaloids from the water extract of </w:t>
      </w:r>
      <w:r w:rsidRPr="00B17B9B">
        <w:rPr>
          <w:rFonts w:ascii="Arial" w:eastAsia="Times New Roman" w:hAnsi="Arial" w:cs="Arial"/>
          <w:bCs/>
          <w:i/>
          <w:iCs/>
          <w:kern w:val="28"/>
          <w:sz w:val="20"/>
          <w:szCs w:val="20"/>
        </w:rPr>
        <w:t>Adhatoda Vasica,</w:t>
      </w:r>
      <w:r w:rsidRPr="00B17B9B">
        <w:rPr>
          <w:rFonts w:ascii="Arial" w:eastAsia="Times New Roman" w:hAnsi="Arial" w:cs="Arial"/>
          <w:bCs/>
          <w:kern w:val="28"/>
          <w:sz w:val="20"/>
          <w:szCs w:val="20"/>
        </w:rPr>
        <w:t xml:space="preserve"> separated by mobile phase consist of </w:t>
      </w:r>
      <w:r w:rsidRPr="00B17B9B">
        <w:rPr>
          <w:rFonts w:ascii="Arial" w:eastAsia="MS Mincho" w:hAnsi="Arial" w:cs="Arial"/>
          <w:color w:val="000000"/>
          <w:sz w:val="20"/>
          <w:szCs w:val="20"/>
          <w:lang w:eastAsia="ja-JP"/>
        </w:rPr>
        <w:t xml:space="preserve">0.1% formic acid aqueous solution and acetonitrile. The various peaks obtained (fig. S1A) were analyzed at different time intervals under a gradient program using </w:t>
      </w:r>
      <w:r w:rsidRPr="00B17B9B">
        <w:rPr>
          <w:rFonts w:ascii="Arial" w:eastAsia="Times New Roman" w:hAnsi="Arial" w:cs="Arial"/>
          <w:bCs/>
          <w:kern w:val="28"/>
          <w:sz w:val="20"/>
          <w:szCs w:val="20"/>
        </w:rPr>
        <w:t>(+)-ESI-MS.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728"/>
        <w:gridCol w:w="926"/>
        <w:gridCol w:w="1485"/>
        <w:gridCol w:w="1399"/>
        <w:gridCol w:w="1299"/>
        <w:gridCol w:w="1072"/>
        <w:gridCol w:w="2101"/>
      </w:tblGrid>
      <w:tr w:rsidR="00997A5D" w:rsidRPr="00B17B9B" w14:paraId="001958C8" w14:textId="77777777" w:rsidTr="00C157B8">
        <w:tc>
          <w:tcPr>
            <w:tcW w:w="293" w:type="pct"/>
            <w:hideMark/>
          </w:tcPr>
          <w:p w14:paraId="3D81652D" w14:textId="77777777" w:rsidR="00997A5D" w:rsidRPr="00B17B9B" w:rsidRDefault="00997A5D" w:rsidP="00C157B8">
            <w:pPr>
              <w:spacing w:before="110" w:after="110" w:line="480" w:lineRule="auto"/>
              <w:jc w:val="center"/>
              <w:rPr>
                <w:rFonts w:ascii="Arial" w:hAnsi="Arial" w:cs="Arial"/>
                <w:b/>
                <w:bCs/>
                <w:color w:val="000000"/>
                <w:sz w:val="20"/>
                <w:szCs w:val="20"/>
              </w:rPr>
            </w:pPr>
            <w:proofErr w:type="spellStart"/>
            <w:r w:rsidRPr="00B17B9B">
              <w:rPr>
                <w:rFonts w:ascii="Arial" w:hAnsi="Arial" w:cs="Arial"/>
                <w:b/>
                <w:bCs/>
                <w:color w:val="000000"/>
                <w:sz w:val="20"/>
                <w:szCs w:val="20"/>
              </w:rPr>
              <w:t>S.No</w:t>
            </w:r>
            <w:proofErr w:type="spellEnd"/>
            <w:r w:rsidRPr="00B17B9B">
              <w:rPr>
                <w:rFonts w:ascii="Arial" w:hAnsi="Arial" w:cs="Arial"/>
                <w:b/>
                <w:bCs/>
                <w:color w:val="000000"/>
                <w:sz w:val="20"/>
                <w:szCs w:val="20"/>
              </w:rPr>
              <w:t>.</w:t>
            </w:r>
          </w:p>
        </w:tc>
        <w:tc>
          <w:tcPr>
            <w:tcW w:w="533" w:type="pct"/>
            <w:hideMark/>
          </w:tcPr>
          <w:p w14:paraId="28133542" w14:textId="77777777" w:rsidR="00997A5D" w:rsidRPr="00B17B9B" w:rsidRDefault="00997A5D" w:rsidP="00C157B8">
            <w:pPr>
              <w:spacing w:before="110" w:after="110" w:line="480" w:lineRule="auto"/>
              <w:ind w:right="-102"/>
              <w:jc w:val="center"/>
              <w:rPr>
                <w:rFonts w:ascii="Arial" w:hAnsi="Arial" w:cs="Arial"/>
                <w:b/>
                <w:bCs/>
                <w:color w:val="000000"/>
                <w:sz w:val="20"/>
                <w:szCs w:val="20"/>
              </w:rPr>
            </w:pPr>
            <w:r w:rsidRPr="00B17B9B">
              <w:rPr>
                <w:rFonts w:ascii="Arial" w:hAnsi="Arial" w:cs="Arial"/>
                <w:b/>
                <w:bCs/>
                <w:color w:val="000000"/>
                <w:sz w:val="20"/>
                <w:szCs w:val="20"/>
              </w:rPr>
              <w:t xml:space="preserve">RT </w:t>
            </w:r>
            <w:r w:rsidRPr="00B17B9B">
              <w:rPr>
                <w:rFonts w:ascii="Arial" w:hAnsi="Arial" w:cs="Arial"/>
                <w:b/>
                <w:bCs/>
                <w:color w:val="000000"/>
                <w:sz w:val="20"/>
                <w:szCs w:val="20"/>
              </w:rPr>
              <w:br/>
              <w:t>(in min)</w:t>
            </w:r>
          </w:p>
        </w:tc>
        <w:tc>
          <w:tcPr>
            <w:tcW w:w="843" w:type="pct"/>
            <w:hideMark/>
          </w:tcPr>
          <w:p w14:paraId="03EEEA84" w14:textId="77777777" w:rsidR="00997A5D" w:rsidRPr="00B17B9B" w:rsidRDefault="00997A5D" w:rsidP="00C157B8">
            <w:pPr>
              <w:spacing w:before="110" w:after="110" w:line="480" w:lineRule="auto"/>
              <w:rPr>
                <w:rFonts w:ascii="Arial" w:hAnsi="Arial" w:cs="Arial"/>
                <w:b/>
                <w:bCs/>
                <w:color w:val="000000"/>
                <w:sz w:val="20"/>
                <w:szCs w:val="20"/>
              </w:rPr>
            </w:pPr>
            <w:r w:rsidRPr="00B17B9B">
              <w:rPr>
                <w:rFonts w:ascii="Arial" w:hAnsi="Arial" w:cs="Arial"/>
                <w:b/>
                <w:bCs/>
                <w:color w:val="000000"/>
                <w:sz w:val="20"/>
                <w:szCs w:val="20"/>
              </w:rPr>
              <w:t>Molecular Formula</w:t>
            </w:r>
          </w:p>
        </w:tc>
        <w:tc>
          <w:tcPr>
            <w:tcW w:w="795" w:type="pct"/>
            <w:hideMark/>
          </w:tcPr>
          <w:p w14:paraId="7FA76CA4" w14:textId="77777777" w:rsidR="00997A5D" w:rsidRPr="00B17B9B" w:rsidRDefault="00997A5D" w:rsidP="00C157B8">
            <w:pPr>
              <w:spacing w:before="110" w:after="110" w:line="480" w:lineRule="auto"/>
              <w:jc w:val="center"/>
              <w:rPr>
                <w:rFonts w:ascii="Arial" w:hAnsi="Arial" w:cs="Arial"/>
                <w:b/>
                <w:bCs/>
                <w:color w:val="000000"/>
                <w:sz w:val="20"/>
                <w:szCs w:val="20"/>
              </w:rPr>
            </w:pPr>
            <w:r w:rsidRPr="00B17B9B">
              <w:rPr>
                <w:rFonts w:ascii="Arial" w:hAnsi="Arial" w:cs="Arial"/>
                <w:b/>
                <w:bCs/>
                <w:color w:val="000000"/>
                <w:sz w:val="20"/>
                <w:szCs w:val="20"/>
              </w:rPr>
              <w:t>[M+H]</w:t>
            </w:r>
            <w:r w:rsidRPr="00B17B9B">
              <w:rPr>
                <w:rFonts w:ascii="Arial" w:hAnsi="Arial" w:cs="Arial"/>
                <w:b/>
                <w:bCs/>
                <w:color w:val="000000"/>
                <w:sz w:val="20"/>
                <w:szCs w:val="20"/>
                <w:vertAlign w:val="superscript"/>
              </w:rPr>
              <w:t xml:space="preserve">+ </w:t>
            </w:r>
            <w:r w:rsidRPr="00B17B9B">
              <w:rPr>
                <w:rFonts w:ascii="Arial" w:hAnsi="Arial" w:cs="Arial"/>
                <w:b/>
                <w:bCs/>
                <w:i/>
                <w:color w:val="000000"/>
                <w:sz w:val="20"/>
                <w:szCs w:val="20"/>
              </w:rPr>
              <w:t>m/z</w:t>
            </w:r>
            <w:r w:rsidRPr="00B17B9B">
              <w:rPr>
                <w:rFonts w:ascii="Arial" w:hAnsi="Arial" w:cs="Arial"/>
                <w:b/>
                <w:bCs/>
                <w:color w:val="000000"/>
                <w:sz w:val="20"/>
                <w:szCs w:val="20"/>
              </w:rPr>
              <w:t xml:space="preserve"> (calc)</w:t>
            </w:r>
          </w:p>
        </w:tc>
        <w:tc>
          <w:tcPr>
            <w:tcW w:w="739" w:type="pct"/>
          </w:tcPr>
          <w:p w14:paraId="54FFD39A" w14:textId="77777777" w:rsidR="00997A5D" w:rsidRPr="00B17B9B" w:rsidRDefault="00997A5D" w:rsidP="00C157B8">
            <w:pPr>
              <w:spacing w:before="110" w:after="110" w:line="480" w:lineRule="auto"/>
              <w:jc w:val="center"/>
              <w:rPr>
                <w:rFonts w:ascii="Arial" w:hAnsi="Arial" w:cs="Arial"/>
                <w:b/>
                <w:bCs/>
                <w:color w:val="000000"/>
                <w:sz w:val="20"/>
                <w:szCs w:val="20"/>
              </w:rPr>
            </w:pPr>
            <w:r w:rsidRPr="00B17B9B">
              <w:rPr>
                <w:rFonts w:ascii="Arial" w:hAnsi="Arial" w:cs="Arial"/>
                <w:b/>
                <w:bCs/>
                <w:color w:val="000000"/>
                <w:sz w:val="20"/>
                <w:szCs w:val="20"/>
              </w:rPr>
              <w:t>[M+H]</w:t>
            </w:r>
            <w:r w:rsidRPr="00B17B9B">
              <w:rPr>
                <w:rFonts w:ascii="Arial" w:hAnsi="Arial" w:cs="Arial"/>
                <w:b/>
                <w:bCs/>
                <w:color w:val="000000"/>
                <w:sz w:val="20"/>
                <w:szCs w:val="20"/>
                <w:vertAlign w:val="superscript"/>
              </w:rPr>
              <w:t xml:space="preserve">+ </w:t>
            </w:r>
            <w:r w:rsidRPr="00B17B9B">
              <w:rPr>
                <w:rFonts w:ascii="Arial" w:hAnsi="Arial" w:cs="Arial"/>
                <w:b/>
                <w:bCs/>
                <w:i/>
                <w:color w:val="000000"/>
                <w:sz w:val="20"/>
                <w:szCs w:val="20"/>
              </w:rPr>
              <w:t>m/z</w:t>
            </w:r>
            <w:r w:rsidRPr="00B17B9B">
              <w:rPr>
                <w:rFonts w:ascii="Arial" w:hAnsi="Arial" w:cs="Arial"/>
                <w:b/>
                <w:bCs/>
                <w:color w:val="000000"/>
                <w:sz w:val="20"/>
                <w:szCs w:val="20"/>
              </w:rPr>
              <w:t xml:space="preserve"> (exp)</w:t>
            </w:r>
          </w:p>
        </w:tc>
        <w:tc>
          <w:tcPr>
            <w:tcW w:w="613" w:type="pct"/>
            <w:hideMark/>
          </w:tcPr>
          <w:p w14:paraId="756596E1" w14:textId="77777777" w:rsidR="00997A5D" w:rsidRPr="00B17B9B" w:rsidRDefault="00997A5D" w:rsidP="00C157B8">
            <w:pPr>
              <w:spacing w:before="110" w:after="110" w:line="480" w:lineRule="auto"/>
              <w:jc w:val="center"/>
              <w:rPr>
                <w:rFonts w:ascii="Arial" w:hAnsi="Arial" w:cs="Arial"/>
                <w:b/>
                <w:bCs/>
                <w:color w:val="000000"/>
                <w:sz w:val="20"/>
                <w:szCs w:val="20"/>
              </w:rPr>
            </w:pPr>
            <w:r w:rsidRPr="00B17B9B">
              <w:rPr>
                <w:rFonts w:ascii="Arial" w:hAnsi="Arial" w:cs="Arial"/>
                <w:b/>
                <w:bCs/>
                <w:color w:val="000000"/>
                <w:sz w:val="20"/>
                <w:szCs w:val="20"/>
              </w:rPr>
              <w:t>Error (</w:t>
            </w:r>
            <w:proofErr w:type="spellStart"/>
            <w:r w:rsidRPr="00B17B9B">
              <w:rPr>
                <w:rFonts w:ascii="Arial" w:hAnsi="Arial" w:cs="Arial"/>
                <w:b/>
                <w:bCs/>
                <w:color w:val="000000"/>
                <w:sz w:val="20"/>
                <w:szCs w:val="20"/>
              </w:rPr>
              <w:t>Δppm</w:t>
            </w:r>
            <w:proofErr w:type="spellEnd"/>
            <w:r w:rsidRPr="00B17B9B">
              <w:rPr>
                <w:rFonts w:ascii="Arial" w:hAnsi="Arial" w:cs="Arial"/>
                <w:b/>
                <w:bCs/>
                <w:color w:val="000000"/>
                <w:sz w:val="20"/>
                <w:szCs w:val="20"/>
              </w:rPr>
              <w:t>)</w:t>
            </w:r>
          </w:p>
        </w:tc>
        <w:tc>
          <w:tcPr>
            <w:tcW w:w="1184" w:type="pct"/>
            <w:hideMark/>
          </w:tcPr>
          <w:p w14:paraId="555A3112" w14:textId="77777777" w:rsidR="00997A5D" w:rsidRPr="00B17B9B" w:rsidRDefault="00997A5D" w:rsidP="00C157B8">
            <w:pPr>
              <w:spacing w:before="110" w:after="110" w:line="480" w:lineRule="auto"/>
              <w:rPr>
                <w:rFonts w:ascii="Arial" w:hAnsi="Arial" w:cs="Arial"/>
                <w:b/>
                <w:bCs/>
                <w:color w:val="000000"/>
                <w:sz w:val="20"/>
                <w:szCs w:val="20"/>
              </w:rPr>
            </w:pPr>
            <w:r w:rsidRPr="00B17B9B">
              <w:rPr>
                <w:rFonts w:ascii="Arial" w:hAnsi="Arial" w:cs="Arial"/>
                <w:b/>
                <w:bCs/>
                <w:color w:val="000000"/>
                <w:sz w:val="20"/>
                <w:szCs w:val="20"/>
              </w:rPr>
              <w:t>Identification</w:t>
            </w:r>
          </w:p>
        </w:tc>
      </w:tr>
      <w:tr w:rsidR="00997A5D" w:rsidRPr="00B17B9B" w14:paraId="68EB3505" w14:textId="77777777" w:rsidTr="00C157B8">
        <w:tc>
          <w:tcPr>
            <w:tcW w:w="293" w:type="pct"/>
            <w:vAlign w:val="center"/>
            <w:hideMark/>
          </w:tcPr>
          <w:p w14:paraId="676FB0F1"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1</w:t>
            </w:r>
          </w:p>
        </w:tc>
        <w:tc>
          <w:tcPr>
            <w:tcW w:w="533" w:type="pct"/>
            <w:vAlign w:val="center"/>
            <w:hideMark/>
          </w:tcPr>
          <w:p w14:paraId="42E407E9" w14:textId="77777777" w:rsidR="00997A5D" w:rsidRPr="00B17B9B" w:rsidRDefault="00997A5D" w:rsidP="00C157B8">
            <w:pPr>
              <w:spacing w:before="110" w:after="110" w:line="480" w:lineRule="auto"/>
              <w:ind w:right="-102"/>
              <w:jc w:val="center"/>
              <w:rPr>
                <w:rFonts w:ascii="Arial" w:hAnsi="Arial" w:cs="Arial"/>
                <w:color w:val="000000"/>
                <w:sz w:val="20"/>
                <w:szCs w:val="20"/>
              </w:rPr>
            </w:pPr>
            <w:r w:rsidRPr="00B17B9B">
              <w:rPr>
                <w:rFonts w:ascii="Arial" w:hAnsi="Arial" w:cs="Arial"/>
                <w:color w:val="000000"/>
                <w:sz w:val="20"/>
                <w:szCs w:val="20"/>
              </w:rPr>
              <w:t>2.4</w:t>
            </w:r>
          </w:p>
        </w:tc>
        <w:tc>
          <w:tcPr>
            <w:tcW w:w="843" w:type="pct"/>
            <w:vAlign w:val="center"/>
            <w:hideMark/>
          </w:tcPr>
          <w:p w14:paraId="41104E82"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5</w:t>
            </w:r>
            <w:r w:rsidRPr="00B17B9B">
              <w:rPr>
                <w:rFonts w:ascii="Arial" w:hAnsi="Arial" w:cs="Arial"/>
                <w:color w:val="000000"/>
                <w:sz w:val="20"/>
                <w:szCs w:val="20"/>
              </w:rPr>
              <w:t>H</w:t>
            </w:r>
            <w:r w:rsidRPr="00B17B9B">
              <w:rPr>
                <w:rFonts w:ascii="Arial" w:hAnsi="Arial" w:cs="Arial"/>
                <w:color w:val="000000"/>
                <w:sz w:val="20"/>
                <w:szCs w:val="20"/>
                <w:vertAlign w:val="subscript"/>
              </w:rPr>
              <w:t>14</w:t>
            </w:r>
            <w:r w:rsidRPr="00B17B9B">
              <w:rPr>
                <w:rFonts w:ascii="Arial" w:hAnsi="Arial" w:cs="Arial"/>
                <w:color w:val="000000"/>
                <w:sz w:val="20"/>
                <w:szCs w:val="20"/>
              </w:rPr>
              <w:t>NO</w:t>
            </w:r>
            <w:r w:rsidRPr="00B17B9B">
              <w:rPr>
                <w:rFonts w:ascii="Arial" w:hAnsi="Arial" w:cs="Arial"/>
                <w:color w:val="000000"/>
                <w:sz w:val="20"/>
                <w:szCs w:val="20"/>
                <w:vertAlign w:val="superscript"/>
              </w:rPr>
              <w:t>+</w:t>
            </w:r>
          </w:p>
        </w:tc>
        <w:tc>
          <w:tcPr>
            <w:tcW w:w="795" w:type="pct"/>
            <w:vAlign w:val="center"/>
            <w:hideMark/>
          </w:tcPr>
          <w:p w14:paraId="29A0BB67"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104.1073</w:t>
            </w:r>
          </w:p>
        </w:tc>
        <w:tc>
          <w:tcPr>
            <w:tcW w:w="739" w:type="pct"/>
            <w:vAlign w:val="center"/>
          </w:tcPr>
          <w:p w14:paraId="164220A8"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104.1073</w:t>
            </w:r>
          </w:p>
        </w:tc>
        <w:tc>
          <w:tcPr>
            <w:tcW w:w="613" w:type="pct"/>
            <w:vAlign w:val="center"/>
            <w:hideMark/>
          </w:tcPr>
          <w:p w14:paraId="01EB9664"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w:t>
            </w:r>
          </w:p>
        </w:tc>
        <w:tc>
          <w:tcPr>
            <w:tcW w:w="1184" w:type="pct"/>
            <w:hideMark/>
          </w:tcPr>
          <w:p w14:paraId="45F52723"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Choline</w:t>
            </w:r>
          </w:p>
        </w:tc>
      </w:tr>
      <w:tr w:rsidR="00997A5D" w:rsidRPr="00B17B9B" w14:paraId="26C44B58" w14:textId="77777777" w:rsidTr="00C157B8">
        <w:tc>
          <w:tcPr>
            <w:tcW w:w="293" w:type="pct"/>
            <w:vAlign w:val="center"/>
            <w:hideMark/>
          </w:tcPr>
          <w:p w14:paraId="225DE05A"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lastRenderedPageBreak/>
              <w:t>2</w:t>
            </w:r>
          </w:p>
        </w:tc>
        <w:tc>
          <w:tcPr>
            <w:tcW w:w="533" w:type="pct"/>
            <w:vAlign w:val="center"/>
            <w:hideMark/>
          </w:tcPr>
          <w:p w14:paraId="0674A6E1" w14:textId="77777777" w:rsidR="00997A5D" w:rsidRPr="00B17B9B" w:rsidRDefault="00997A5D" w:rsidP="00C157B8">
            <w:pPr>
              <w:spacing w:before="110" w:after="110" w:line="480" w:lineRule="auto"/>
              <w:ind w:right="-102"/>
              <w:jc w:val="center"/>
              <w:rPr>
                <w:rFonts w:ascii="Arial" w:hAnsi="Arial" w:cs="Arial"/>
                <w:color w:val="000000"/>
                <w:sz w:val="20"/>
                <w:szCs w:val="20"/>
              </w:rPr>
            </w:pPr>
            <w:r w:rsidRPr="00B17B9B">
              <w:rPr>
                <w:rFonts w:ascii="Arial" w:hAnsi="Arial" w:cs="Arial"/>
                <w:color w:val="000000"/>
                <w:sz w:val="20"/>
                <w:szCs w:val="20"/>
              </w:rPr>
              <w:t>2.9</w:t>
            </w:r>
          </w:p>
        </w:tc>
        <w:tc>
          <w:tcPr>
            <w:tcW w:w="843" w:type="pct"/>
            <w:vAlign w:val="center"/>
            <w:hideMark/>
          </w:tcPr>
          <w:p w14:paraId="4432B278"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5</w:t>
            </w:r>
            <w:r w:rsidRPr="00B17B9B">
              <w:rPr>
                <w:rFonts w:ascii="Arial" w:hAnsi="Arial" w:cs="Arial"/>
                <w:color w:val="000000"/>
                <w:sz w:val="20"/>
                <w:szCs w:val="20"/>
              </w:rPr>
              <w:t>H</w:t>
            </w:r>
            <w:r w:rsidRPr="00B17B9B">
              <w:rPr>
                <w:rFonts w:ascii="Arial" w:hAnsi="Arial" w:cs="Arial"/>
                <w:color w:val="000000"/>
                <w:sz w:val="20"/>
                <w:szCs w:val="20"/>
                <w:vertAlign w:val="subscript"/>
              </w:rPr>
              <w:t>11</w:t>
            </w:r>
            <w:r w:rsidRPr="00B17B9B">
              <w:rPr>
                <w:rFonts w:ascii="Arial" w:hAnsi="Arial" w:cs="Arial"/>
                <w:color w:val="000000"/>
                <w:sz w:val="20"/>
                <w:szCs w:val="20"/>
              </w:rPr>
              <w:t>NO</w:t>
            </w:r>
            <w:r w:rsidRPr="00B17B9B">
              <w:rPr>
                <w:rFonts w:ascii="Arial" w:hAnsi="Arial" w:cs="Arial"/>
                <w:color w:val="000000"/>
                <w:sz w:val="20"/>
                <w:szCs w:val="20"/>
                <w:vertAlign w:val="subscript"/>
              </w:rPr>
              <w:t>2</w:t>
            </w:r>
          </w:p>
        </w:tc>
        <w:tc>
          <w:tcPr>
            <w:tcW w:w="795" w:type="pct"/>
            <w:vAlign w:val="center"/>
            <w:hideMark/>
          </w:tcPr>
          <w:p w14:paraId="67F5904A"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118.0864</w:t>
            </w:r>
          </w:p>
        </w:tc>
        <w:tc>
          <w:tcPr>
            <w:tcW w:w="739" w:type="pct"/>
            <w:vAlign w:val="center"/>
          </w:tcPr>
          <w:p w14:paraId="52AD59E6"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118.0864</w:t>
            </w:r>
          </w:p>
        </w:tc>
        <w:tc>
          <w:tcPr>
            <w:tcW w:w="613" w:type="pct"/>
            <w:vAlign w:val="center"/>
            <w:hideMark/>
          </w:tcPr>
          <w:p w14:paraId="5F5E9F6C"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w:t>
            </w:r>
          </w:p>
        </w:tc>
        <w:tc>
          <w:tcPr>
            <w:tcW w:w="1184" w:type="pct"/>
            <w:hideMark/>
          </w:tcPr>
          <w:p w14:paraId="4C16EE64"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Betaine</w:t>
            </w:r>
          </w:p>
        </w:tc>
      </w:tr>
      <w:tr w:rsidR="00997A5D" w:rsidRPr="00B17B9B" w14:paraId="13BDD383" w14:textId="77777777" w:rsidTr="00C157B8">
        <w:tc>
          <w:tcPr>
            <w:tcW w:w="293" w:type="pct"/>
            <w:vAlign w:val="center"/>
            <w:hideMark/>
          </w:tcPr>
          <w:p w14:paraId="538B40B7"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3</w:t>
            </w:r>
          </w:p>
        </w:tc>
        <w:tc>
          <w:tcPr>
            <w:tcW w:w="533" w:type="pct"/>
            <w:vAlign w:val="center"/>
            <w:hideMark/>
          </w:tcPr>
          <w:p w14:paraId="203E8CD7"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8.0</w:t>
            </w:r>
          </w:p>
        </w:tc>
        <w:tc>
          <w:tcPr>
            <w:tcW w:w="843" w:type="pct"/>
            <w:vAlign w:val="center"/>
            <w:hideMark/>
          </w:tcPr>
          <w:p w14:paraId="1AADDE36"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11</w:t>
            </w:r>
            <w:r w:rsidRPr="00B17B9B">
              <w:rPr>
                <w:rFonts w:ascii="Arial" w:hAnsi="Arial" w:cs="Arial"/>
                <w:color w:val="000000"/>
                <w:sz w:val="20"/>
                <w:szCs w:val="20"/>
              </w:rPr>
              <w:t>H</w:t>
            </w:r>
            <w:r w:rsidRPr="00B17B9B">
              <w:rPr>
                <w:rFonts w:ascii="Arial" w:hAnsi="Arial" w:cs="Arial"/>
                <w:color w:val="000000"/>
                <w:sz w:val="20"/>
                <w:szCs w:val="20"/>
                <w:vertAlign w:val="subscript"/>
              </w:rPr>
              <w:t>12</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2</w:t>
            </w:r>
          </w:p>
        </w:tc>
        <w:tc>
          <w:tcPr>
            <w:tcW w:w="795" w:type="pct"/>
            <w:vAlign w:val="center"/>
            <w:hideMark/>
          </w:tcPr>
          <w:p w14:paraId="1B3289BF"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205.0972</w:t>
            </w:r>
          </w:p>
        </w:tc>
        <w:tc>
          <w:tcPr>
            <w:tcW w:w="739" w:type="pct"/>
            <w:vAlign w:val="center"/>
            <w:hideMark/>
          </w:tcPr>
          <w:p w14:paraId="7CDB2CD7"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205.0974</w:t>
            </w:r>
          </w:p>
        </w:tc>
        <w:tc>
          <w:tcPr>
            <w:tcW w:w="613" w:type="pct"/>
            <w:vAlign w:val="center"/>
            <w:hideMark/>
          </w:tcPr>
          <w:p w14:paraId="7F5426BE"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0.98</w:t>
            </w:r>
          </w:p>
        </w:tc>
        <w:tc>
          <w:tcPr>
            <w:tcW w:w="1184" w:type="pct"/>
            <w:hideMark/>
          </w:tcPr>
          <w:p w14:paraId="5A5F43ED" w14:textId="77777777" w:rsidR="00997A5D" w:rsidRPr="00B17B9B" w:rsidRDefault="00997A5D" w:rsidP="00C157B8">
            <w:pPr>
              <w:spacing w:before="110" w:after="110" w:line="480" w:lineRule="auto"/>
              <w:rPr>
                <w:rFonts w:ascii="Arial" w:hAnsi="Arial" w:cs="Arial"/>
                <w:color w:val="000000"/>
                <w:spacing w:val="-6"/>
                <w:sz w:val="20"/>
                <w:szCs w:val="20"/>
              </w:rPr>
            </w:pPr>
            <w:proofErr w:type="spellStart"/>
            <w:r w:rsidRPr="00B17B9B">
              <w:rPr>
                <w:rFonts w:ascii="Arial" w:hAnsi="Arial" w:cs="Arial"/>
                <w:color w:val="000000"/>
                <w:spacing w:val="-6"/>
                <w:sz w:val="20"/>
                <w:szCs w:val="20"/>
              </w:rPr>
              <w:t>Vasicinol</w:t>
            </w:r>
            <w:proofErr w:type="spellEnd"/>
            <w:r w:rsidRPr="00B17B9B">
              <w:rPr>
                <w:rFonts w:ascii="Arial" w:hAnsi="Arial" w:cs="Arial"/>
                <w:color w:val="000000"/>
                <w:spacing w:val="-6"/>
                <w:sz w:val="20"/>
                <w:szCs w:val="20"/>
              </w:rPr>
              <w:t>/ 5-hydroxy vasicine</w:t>
            </w:r>
          </w:p>
        </w:tc>
      </w:tr>
      <w:tr w:rsidR="00997A5D" w:rsidRPr="00B17B9B" w14:paraId="7CE88FC7" w14:textId="77777777" w:rsidTr="00C157B8">
        <w:tc>
          <w:tcPr>
            <w:tcW w:w="293" w:type="pct"/>
            <w:vAlign w:val="center"/>
            <w:hideMark/>
          </w:tcPr>
          <w:p w14:paraId="7467F817"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4</w:t>
            </w:r>
          </w:p>
        </w:tc>
        <w:tc>
          <w:tcPr>
            <w:tcW w:w="533" w:type="pct"/>
            <w:vAlign w:val="center"/>
            <w:hideMark/>
          </w:tcPr>
          <w:p w14:paraId="53A590B3"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8.2</w:t>
            </w:r>
          </w:p>
        </w:tc>
        <w:tc>
          <w:tcPr>
            <w:tcW w:w="843" w:type="pct"/>
            <w:vAlign w:val="center"/>
            <w:hideMark/>
          </w:tcPr>
          <w:p w14:paraId="11AD1718"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12</w:t>
            </w:r>
            <w:r w:rsidRPr="00B17B9B">
              <w:rPr>
                <w:rFonts w:ascii="Arial" w:hAnsi="Arial" w:cs="Arial"/>
                <w:color w:val="000000"/>
                <w:sz w:val="20"/>
                <w:szCs w:val="20"/>
              </w:rPr>
              <w:t>H</w:t>
            </w:r>
            <w:r w:rsidRPr="00B17B9B">
              <w:rPr>
                <w:rFonts w:ascii="Arial" w:hAnsi="Arial" w:cs="Arial"/>
                <w:color w:val="000000"/>
                <w:sz w:val="20"/>
                <w:szCs w:val="20"/>
                <w:vertAlign w:val="subscript"/>
              </w:rPr>
              <w:t>12</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3</w:t>
            </w:r>
          </w:p>
        </w:tc>
        <w:tc>
          <w:tcPr>
            <w:tcW w:w="795" w:type="pct"/>
            <w:vAlign w:val="center"/>
            <w:hideMark/>
          </w:tcPr>
          <w:p w14:paraId="385BB50F"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233.0921</w:t>
            </w:r>
          </w:p>
        </w:tc>
        <w:tc>
          <w:tcPr>
            <w:tcW w:w="739" w:type="pct"/>
            <w:vAlign w:val="center"/>
            <w:hideMark/>
          </w:tcPr>
          <w:p w14:paraId="313DC2E9"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233.0921</w:t>
            </w:r>
          </w:p>
        </w:tc>
        <w:tc>
          <w:tcPr>
            <w:tcW w:w="613" w:type="pct"/>
            <w:vAlign w:val="center"/>
            <w:hideMark/>
          </w:tcPr>
          <w:p w14:paraId="296B42E8"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0.00</w:t>
            </w:r>
          </w:p>
        </w:tc>
        <w:tc>
          <w:tcPr>
            <w:tcW w:w="1184" w:type="pct"/>
            <w:hideMark/>
          </w:tcPr>
          <w:p w14:paraId="12F28517"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Adhavasicinone</w:t>
            </w:r>
          </w:p>
        </w:tc>
      </w:tr>
      <w:tr w:rsidR="00997A5D" w:rsidRPr="00B17B9B" w14:paraId="4BE1048F" w14:textId="77777777" w:rsidTr="00C157B8">
        <w:tc>
          <w:tcPr>
            <w:tcW w:w="293" w:type="pct"/>
            <w:vAlign w:val="center"/>
            <w:hideMark/>
          </w:tcPr>
          <w:p w14:paraId="00E0CFFD"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5</w:t>
            </w:r>
          </w:p>
        </w:tc>
        <w:tc>
          <w:tcPr>
            <w:tcW w:w="533" w:type="pct"/>
            <w:vAlign w:val="center"/>
            <w:hideMark/>
          </w:tcPr>
          <w:p w14:paraId="4B97D8C7"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10.0</w:t>
            </w:r>
          </w:p>
        </w:tc>
        <w:tc>
          <w:tcPr>
            <w:tcW w:w="843" w:type="pct"/>
            <w:vAlign w:val="center"/>
            <w:hideMark/>
          </w:tcPr>
          <w:p w14:paraId="1B642928"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11</w:t>
            </w:r>
            <w:r w:rsidRPr="00B17B9B">
              <w:rPr>
                <w:rFonts w:ascii="Arial" w:hAnsi="Arial" w:cs="Arial"/>
                <w:color w:val="000000"/>
                <w:sz w:val="20"/>
                <w:szCs w:val="20"/>
              </w:rPr>
              <w:t>H</w:t>
            </w:r>
            <w:r w:rsidRPr="00B17B9B">
              <w:rPr>
                <w:rFonts w:ascii="Arial" w:hAnsi="Arial" w:cs="Arial"/>
                <w:color w:val="000000"/>
                <w:sz w:val="20"/>
                <w:szCs w:val="20"/>
                <w:vertAlign w:val="subscript"/>
              </w:rPr>
              <w:t>12</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2</w:t>
            </w:r>
          </w:p>
        </w:tc>
        <w:tc>
          <w:tcPr>
            <w:tcW w:w="795" w:type="pct"/>
            <w:vAlign w:val="center"/>
            <w:hideMark/>
          </w:tcPr>
          <w:p w14:paraId="6C8BA0D2"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205.0972</w:t>
            </w:r>
          </w:p>
        </w:tc>
        <w:tc>
          <w:tcPr>
            <w:tcW w:w="739" w:type="pct"/>
            <w:vAlign w:val="center"/>
            <w:hideMark/>
          </w:tcPr>
          <w:p w14:paraId="43A58875"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205.0974</w:t>
            </w:r>
          </w:p>
        </w:tc>
        <w:tc>
          <w:tcPr>
            <w:tcW w:w="613" w:type="pct"/>
            <w:vAlign w:val="center"/>
            <w:hideMark/>
          </w:tcPr>
          <w:p w14:paraId="4070C732"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0.98</w:t>
            </w:r>
          </w:p>
        </w:tc>
        <w:tc>
          <w:tcPr>
            <w:tcW w:w="1184" w:type="pct"/>
            <w:hideMark/>
          </w:tcPr>
          <w:p w14:paraId="4196A913" w14:textId="77777777" w:rsidR="00997A5D" w:rsidRPr="00B17B9B" w:rsidRDefault="00997A5D" w:rsidP="00C157B8">
            <w:pPr>
              <w:spacing w:before="110" w:after="110" w:line="480" w:lineRule="auto"/>
              <w:rPr>
                <w:rFonts w:ascii="Arial" w:hAnsi="Arial" w:cs="Arial"/>
                <w:color w:val="000000"/>
                <w:spacing w:val="-6"/>
                <w:sz w:val="20"/>
                <w:szCs w:val="20"/>
              </w:rPr>
            </w:pPr>
            <w:proofErr w:type="spellStart"/>
            <w:r w:rsidRPr="00B17B9B">
              <w:rPr>
                <w:rFonts w:ascii="Arial" w:hAnsi="Arial" w:cs="Arial"/>
                <w:color w:val="000000"/>
                <w:spacing w:val="-6"/>
                <w:sz w:val="20"/>
                <w:szCs w:val="20"/>
              </w:rPr>
              <w:t>Vasicinol</w:t>
            </w:r>
            <w:proofErr w:type="spellEnd"/>
            <w:r w:rsidRPr="00B17B9B">
              <w:rPr>
                <w:rFonts w:ascii="Arial" w:hAnsi="Arial" w:cs="Arial"/>
                <w:color w:val="000000"/>
                <w:spacing w:val="-6"/>
                <w:sz w:val="20"/>
                <w:szCs w:val="20"/>
              </w:rPr>
              <w:t>/ 5-hydroxy vasicine</w:t>
            </w:r>
          </w:p>
        </w:tc>
      </w:tr>
      <w:tr w:rsidR="00997A5D" w:rsidRPr="00B17B9B" w14:paraId="78CB36AB" w14:textId="77777777" w:rsidTr="00C157B8">
        <w:tc>
          <w:tcPr>
            <w:tcW w:w="293" w:type="pct"/>
            <w:vAlign w:val="center"/>
            <w:hideMark/>
          </w:tcPr>
          <w:p w14:paraId="1278C6CE"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6</w:t>
            </w:r>
          </w:p>
        </w:tc>
        <w:tc>
          <w:tcPr>
            <w:tcW w:w="533" w:type="pct"/>
            <w:vAlign w:val="center"/>
            <w:hideMark/>
          </w:tcPr>
          <w:p w14:paraId="3E6F930B"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10.4</w:t>
            </w:r>
          </w:p>
        </w:tc>
        <w:tc>
          <w:tcPr>
            <w:tcW w:w="843" w:type="pct"/>
            <w:vAlign w:val="center"/>
            <w:hideMark/>
          </w:tcPr>
          <w:p w14:paraId="5968EE67"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12</w:t>
            </w:r>
            <w:r w:rsidRPr="00B17B9B">
              <w:rPr>
                <w:rFonts w:ascii="Arial" w:hAnsi="Arial" w:cs="Arial"/>
                <w:color w:val="000000"/>
                <w:sz w:val="20"/>
                <w:szCs w:val="20"/>
              </w:rPr>
              <w:t>H</w:t>
            </w:r>
            <w:r w:rsidRPr="00B17B9B">
              <w:rPr>
                <w:rFonts w:ascii="Arial" w:hAnsi="Arial" w:cs="Arial"/>
                <w:color w:val="000000"/>
                <w:sz w:val="20"/>
                <w:szCs w:val="20"/>
                <w:vertAlign w:val="subscript"/>
              </w:rPr>
              <w:t>12</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2</w:t>
            </w:r>
          </w:p>
        </w:tc>
        <w:tc>
          <w:tcPr>
            <w:tcW w:w="795" w:type="pct"/>
            <w:vAlign w:val="center"/>
            <w:hideMark/>
          </w:tcPr>
          <w:p w14:paraId="298EC45B"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217.0972</w:t>
            </w:r>
          </w:p>
        </w:tc>
        <w:tc>
          <w:tcPr>
            <w:tcW w:w="739" w:type="pct"/>
            <w:vAlign w:val="center"/>
            <w:hideMark/>
          </w:tcPr>
          <w:p w14:paraId="650F8FDA"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217.0969</w:t>
            </w:r>
          </w:p>
        </w:tc>
        <w:tc>
          <w:tcPr>
            <w:tcW w:w="613" w:type="pct"/>
            <w:vAlign w:val="center"/>
            <w:hideMark/>
          </w:tcPr>
          <w:p w14:paraId="210E9243"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-1.38</w:t>
            </w:r>
          </w:p>
        </w:tc>
        <w:tc>
          <w:tcPr>
            <w:tcW w:w="1184" w:type="pct"/>
            <w:hideMark/>
          </w:tcPr>
          <w:p w14:paraId="470DD5AD" w14:textId="77777777" w:rsidR="00997A5D" w:rsidRPr="00B17B9B" w:rsidRDefault="00997A5D" w:rsidP="00C157B8">
            <w:pPr>
              <w:spacing w:before="110" w:after="110" w:line="480" w:lineRule="auto"/>
              <w:rPr>
                <w:rFonts w:ascii="Arial" w:hAnsi="Arial" w:cs="Arial"/>
                <w:color w:val="000000"/>
                <w:sz w:val="20"/>
                <w:szCs w:val="20"/>
              </w:rPr>
            </w:pPr>
            <w:proofErr w:type="spellStart"/>
            <w:r w:rsidRPr="00B17B9B">
              <w:rPr>
                <w:rFonts w:ascii="Arial" w:hAnsi="Arial" w:cs="Arial"/>
                <w:color w:val="000000"/>
                <w:sz w:val="20"/>
                <w:szCs w:val="20"/>
              </w:rPr>
              <w:t>Linarinic</w:t>
            </w:r>
            <w:proofErr w:type="spellEnd"/>
            <w:r w:rsidRPr="00B17B9B">
              <w:rPr>
                <w:rFonts w:ascii="Arial" w:hAnsi="Arial" w:cs="Arial"/>
                <w:color w:val="000000"/>
                <w:sz w:val="20"/>
                <w:szCs w:val="20"/>
              </w:rPr>
              <w:t xml:space="preserve"> acid </w:t>
            </w:r>
          </w:p>
        </w:tc>
      </w:tr>
      <w:tr w:rsidR="00997A5D" w:rsidRPr="00B17B9B" w14:paraId="6D849230" w14:textId="77777777" w:rsidTr="00C157B8">
        <w:tc>
          <w:tcPr>
            <w:tcW w:w="293" w:type="pct"/>
            <w:vAlign w:val="center"/>
            <w:hideMark/>
          </w:tcPr>
          <w:p w14:paraId="26FD42BF"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7</w:t>
            </w:r>
          </w:p>
        </w:tc>
        <w:tc>
          <w:tcPr>
            <w:tcW w:w="533" w:type="pct"/>
            <w:vAlign w:val="center"/>
            <w:hideMark/>
          </w:tcPr>
          <w:p w14:paraId="5CF66058"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10.9</w:t>
            </w:r>
          </w:p>
        </w:tc>
        <w:tc>
          <w:tcPr>
            <w:tcW w:w="843" w:type="pct"/>
            <w:vAlign w:val="center"/>
            <w:hideMark/>
          </w:tcPr>
          <w:p w14:paraId="72DAEA54"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11</w:t>
            </w:r>
            <w:r w:rsidRPr="00B17B9B">
              <w:rPr>
                <w:rFonts w:ascii="Arial" w:hAnsi="Arial" w:cs="Arial"/>
                <w:color w:val="000000"/>
                <w:sz w:val="20"/>
                <w:szCs w:val="20"/>
              </w:rPr>
              <w:t>H</w:t>
            </w:r>
            <w:r w:rsidRPr="00B17B9B">
              <w:rPr>
                <w:rFonts w:ascii="Arial" w:hAnsi="Arial" w:cs="Arial"/>
                <w:color w:val="000000"/>
                <w:sz w:val="20"/>
                <w:szCs w:val="20"/>
                <w:vertAlign w:val="subscript"/>
              </w:rPr>
              <w:t>12</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p>
        </w:tc>
        <w:tc>
          <w:tcPr>
            <w:tcW w:w="795" w:type="pct"/>
            <w:vAlign w:val="center"/>
            <w:hideMark/>
          </w:tcPr>
          <w:p w14:paraId="535C9AF7"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189.1022</w:t>
            </w:r>
          </w:p>
        </w:tc>
        <w:tc>
          <w:tcPr>
            <w:tcW w:w="739" w:type="pct"/>
            <w:vAlign w:val="center"/>
            <w:hideMark/>
          </w:tcPr>
          <w:p w14:paraId="22B1D8B6"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189.1022</w:t>
            </w:r>
          </w:p>
        </w:tc>
        <w:tc>
          <w:tcPr>
            <w:tcW w:w="613" w:type="pct"/>
            <w:vAlign w:val="center"/>
            <w:hideMark/>
          </w:tcPr>
          <w:p w14:paraId="1BD395F0"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0.00</w:t>
            </w:r>
          </w:p>
        </w:tc>
        <w:tc>
          <w:tcPr>
            <w:tcW w:w="1184" w:type="pct"/>
            <w:hideMark/>
          </w:tcPr>
          <w:p w14:paraId="1F2BC72B"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Vasicine</w:t>
            </w:r>
          </w:p>
        </w:tc>
      </w:tr>
      <w:tr w:rsidR="00997A5D" w:rsidRPr="00B17B9B" w14:paraId="31595E19" w14:textId="77777777" w:rsidTr="00C157B8">
        <w:tc>
          <w:tcPr>
            <w:tcW w:w="293" w:type="pct"/>
            <w:vAlign w:val="center"/>
            <w:hideMark/>
          </w:tcPr>
          <w:p w14:paraId="11E925EA"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8</w:t>
            </w:r>
          </w:p>
        </w:tc>
        <w:tc>
          <w:tcPr>
            <w:tcW w:w="533" w:type="pct"/>
            <w:vAlign w:val="center"/>
            <w:hideMark/>
          </w:tcPr>
          <w:p w14:paraId="386039D5"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13.3</w:t>
            </w:r>
          </w:p>
        </w:tc>
        <w:tc>
          <w:tcPr>
            <w:tcW w:w="843" w:type="pct"/>
            <w:vAlign w:val="center"/>
            <w:hideMark/>
          </w:tcPr>
          <w:p w14:paraId="5E976037"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11</w:t>
            </w:r>
            <w:r w:rsidRPr="00B17B9B">
              <w:rPr>
                <w:rFonts w:ascii="Arial" w:hAnsi="Arial" w:cs="Arial"/>
                <w:color w:val="000000"/>
                <w:sz w:val="20"/>
                <w:szCs w:val="20"/>
              </w:rPr>
              <w:t>H</w:t>
            </w:r>
            <w:r w:rsidRPr="00B17B9B">
              <w:rPr>
                <w:rFonts w:ascii="Arial" w:hAnsi="Arial" w:cs="Arial"/>
                <w:color w:val="000000"/>
                <w:sz w:val="20"/>
                <w:szCs w:val="20"/>
                <w:vertAlign w:val="subscript"/>
              </w:rPr>
              <w:t>10</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3</w:t>
            </w:r>
          </w:p>
        </w:tc>
        <w:tc>
          <w:tcPr>
            <w:tcW w:w="795" w:type="pct"/>
            <w:vAlign w:val="center"/>
            <w:hideMark/>
          </w:tcPr>
          <w:p w14:paraId="705314E4"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219.0764</w:t>
            </w:r>
          </w:p>
        </w:tc>
        <w:tc>
          <w:tcPr>
            <w:tcW w:w="739" w:type="pct"/>
            <w:vAlign w:val="center"/>
            <w:hideMark/>
          </w:tcPr>
          <w:p w14:paraId="3E5552C8"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219.0766</w:t>
            </w:r>
          </w:p>
        </w:tc>
        <w:tc>
          <w:tcPr>
            <w:tcW w:w="613" w:type="pct"/>
            <w:vAlign w:val="center"/>
            <w:hideMark/>
          </w:tcPr>
          <w:p w14:paraId="6A55A87B"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0.91</w:t>
            </w:r>
          </w:p>
        </w:tc>
        <w:tc>
          <w:tcPr>
            <w:tcW w:w="1184" w:type="pct"/>
            <w:hideMark/>
          </w:tcPr>
          <w:p w14:paraId="732D711D"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Vasicinolone</w:t>
            </w:r>
          </w:p>
        </w:tc>
      </w:tr>
      <w:tr w:rsidR="00997A5D" w:rsidRPr="00B17B9B" w14:paraId="4374F63D" w14:textId="77777777" w:rsidTr="00C157B8">
        <w:tc>
          <w:tcPr>
            <w:tcW w:w="293" w:type="pct"/>
            <w:vAlign w:val="center"/>
            <w:hideMark/>
          </w:tcPr>
          <w:p w14:paraId="4C7BA299"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9</w:t>
            </w:r>
          </w:p>
        </w:tc>
        <w:tc>
          <w:tcPr>
            <w:tcW w:w="533" w:type="pct"/>
            <w:vAlign w:val="center"/>
            <w:hideMark/>
          </w:tcPr>
          <w:p w14:paraId="3E19A64B"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13.7</w:t>
            </w:r>
          </w:p>
        </w:tc>
        <w:tc>
          <w:tcPr>
            <w:tcW w:w="843" w:type="pct"/>
            <w:vAlign w:val="center"/>
            <w:hideMark/>
          </w:tcPr>
          <w:p w14:paraId="790D557F"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12</w:t>
            </w:r>
            <w:r w:rsidRPr="00B17B9B">
              <w:rPr>
                <w:rFonts w:ascii="Arial" w:hAnsi="Arial" w:cs="Arial"/>
                <w:color w:val="000000"/>
                <w:sz w:val="20"/>
                <w:szCs w:val="20"/>
              </w:rPr>
              <w:t>H</w:t>
            </w:r>
            <w:r w:rsidRPr="00B17B9B">
              <w:rPr>
                <w:rFonts w:ascii="Arial" w:hAnsi="Arial" w:cs="Arial"/>
                <w:color w:val="000000"/>
                <w:sz w:val="20"/>
                <w:szCs w:val="20"/>
                <w:vertAlign w:val="subscript"/>
              </w:rPr>
              <w:t>14</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2</w:t>
            </w:r>
          </w:p>
        </w:tc>
        <w:tc>
          <w:tcPr>
            <w:tcW w:w="795" w:type="pct"/>
            <w:vAlign w:val="center"/>
            <w:hideMark/>
          </w:tcPr>
          <w:p w14:paraId="0F95E991"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219.1128</w:t>
            </w:r>
          </w:p>
        </w:tc>
        <w:tc>
          <w:tcPr>
            <w:tcW w:w="739" w:type="pct"/>
            <w:vAlign w:val="center"/>
            <w:hideMark/>
          </w:tcPr>
          <w:p w14:paraId="052E200B"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219.1131</w:t>
            </w:r>
          </w:p>
        </w:tc>
        <w:tc>
          <w:tcPr>
            <w:tcW w:w="613" w:type="pct"/>
            <w:vAlign w:val="center"/>
            <w:hideMark/>
          </w:tcPr>
          <w:p w14:paraId="558FFA98"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1.37</w:t>
            </w:r>
          </w:p>
        </w:tc>
        <w:tc>
          <w:tcPr>
            <w:tcW w:w="1184" w:type="pct"/>
            <w:hideMark/>
          </w:tcPr>
          <w:p w14:paraId="0F8D86B1"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5-methoxy vasicine</w:t>
            </w:r>
          </w:p>
        </w:tc>
      </w:tr>
      <w:tr w:rsidR="00997A5D" w:rsidRPr="00B17B9B" w14:paraId="1A253560" w14:textId="77777777" w:rsidTr="00C157B8">
        <w:tc>
          <w:tcPr>
            <w:tcW w:w="293" w:type="pct"/>
            <w:vAlign w:val="center"/>
            <w:hideMark/>
          </w:tcPr>
          <w:p w14:paraId="79175600"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10</w:t>
            </w:r>
          </w:p>
        </w:tc>
        <w:tc>
          <w:tcPr>
            <w:tcW w:w="533" w:type="pct"/>
            <w:vAlign w:val="center"/>
            <w:hideMark/>
          </w:tcPr>
          <w:p w14:paraId="0F4B4805"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15.7</w:t>
            </w:r>
          </w:p>
        </w:tc>
        <w:tc>
          <w:tcPr>
            <w:tcW w:w="843" w:type="pct"/>
            <w:vAlign w:val="center"/>
            <w:hideMark/>
          </w:tcPr>
          <w:p w14:paraId="5616B1C5"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17</w:t>
            </w:r>
            <w:r w:rsidRPr="00B17B9B">
              <w:rPr>
                <w:rFonts w:ascii="Arial" w:hAnsi="Arial" w:cs="Arial"/>
                <w:color w:val="000000"/>
                <w:sz w:val="20"/>
                <w:szCs w:val="20"/>
              </w:rPr>
              <w:t>H</w:t>
            </w:r>
            <w:r w:rsidRPr="00B17B9B">
              <w:rPr>
                <w:rFonts w:ascii="Arial" w:hAnsi="Arial" w:cs="Arial"/>
                <w:color w:val="000000"/>
                <w:sz w:val="20"/>
                <w:szCs w:val="20"/>
                <w:vertAlign w:val="subscript"/>
              </w:rPr>
              <w:t>22</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6</w:t>
            </w:r>
          </w:p>
        </w:tc>
        <w:tc>
          <w:tcPr>
            <w:tcW w:w="795" w:type="pct"/>
            <w:vAlign w:val="center"/>
            <w:hideMark/>
          </w:tcPr>
          <w:p w14:paraId="3FAEB71F"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351.1551</w:t>
            </w:r>
          </w:p>
        </w:tc>
        <w:tc>
          <w:tcPr>
            <w:tcW w:w="739" w:type="pct"/>
            <w:vAlign w:val="center"/>
            <w:hideMark/>
          </w:tcPr>
          <w:p w14:paraId="2CB3F0F6"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351.1548</w:t>
            </w:r>
          </w:p>
        </w:tc>
        <w:tc>
          <w:tcPr>
            <w:tcW w:w="613" w:type="pct"/>
            <w:vAlign w:val="center"/>
            <w:hideMark/>
          </w:tcPr>
          <w:p w14:paraId="0E2FD8E6"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-0.85</w:t>
            </w:r>
          </w:p>
        </w:tc>
        <w:tc>
          <w:tcPr>
            <w:tcW w:w="1184" w:type="pct"/>
            <w:hideMark/>
          </w:tcPr>
          <w:p w14:paraId="5CA0A6A0"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Vasicine glycoside</w:t>
            </w:r>
          </w:p>
        </w:tc>
      </w:tr>
      <w:tr w:rsidR="00997A5D" w:rsidRPr="00B17B9B" w14:paraId="08951BD3" w14:textId="77777777" w:rsidTr="00C157B8">
        <w:tc>
          <w:tcPr>
            <w:tcW w:w="293" w:type="pct"/>
            <w:vAlign w:val="center"/>
            <w:hideMark/>
          </w:tcPr>
          <w:p w14:paraId="207D50E9" w14:textId="77777777" w:rsidR="00997A5D" w:rsidRPr="00B17B9B" w:rsidRDefault="00997A5D" w:rsidP="00C157B8">
            <w:pPr>
              <w:spacing w:before="110" w:after="110" w:line="480" w:lineRule="auto"/>
              <w:jc w:val="center"/>
              <w:rPr>
                <w:rFonts w:ascii="Arial" w:hAnsi="Arial" w:cs="Arial"/>
                <w:bCs/>
                <w:color w:val="000000"/>
                <w:sz w:val="20"/>
                <w:szCs w:val="20"/>
              </w:rPr>
            </w:pPr>
            <w:r w:rsidRPr="00B17B9B">
              <w:rPr>
                <w:rFonts w:ascii="Arial" w:hAnsi="Arial" w:cs="Arial"/>
                <w:bCs/>
                <w:color w:val="000000"/>
                <w:sz w:val="20"/>
                <w:szCs w:val="20"/>
              </w:rPr>
              <w:t>11</w:t>
            </w:r>
          </w:p>
        </w:tc>
        <w:tc>
          <w:tcPr>
            <w:tcW w:w="533" w:type="pct"/>
            <w:vAlign w:val="center"/>
            <w:hideMark/>
          </w:tcPr>
          <w:p w14:paraId="0295B47E"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15.7</w:t>
            </w:r>
          </w:p>
        </w:tc>
        <w:tc>
          <w:tcPr>
            <w:tcW w:w="843" w:type="pct"/>
            <w:vAlign w:val="center"/>
            <w:hideMark/>
          </w:tcPr>
          <w:p w14:paraId="443A01F1"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C</w:t>
            </w:r>
            <w:r w:rsidRPr="00B17B9B">
              <w:rPr>
                <w:rFonts w:ascii="Arial" w:hAnsi="Arial" w:cs="Arial"/>
                <w:color w:val="000000"/>
                <w:sz w:val="20"/>
                <w:szCs w:val="20"/>
                <w:vertAlign w:val="subscript"/>
              </w:rPr>
              <w:t>11</w:t>
            </w:r>
            <w:r w:rsidRPr="00B17B9B">
              <w:rPr>
                <w:rFonts w:ascii="Arial" w:hAnsi="Arial" w:cs="Arial"/>
                <w:color w:val="000000"/>
                <w:sz w:val="20"/>
                <w:szCs w:val="20"/>
              </w:rPr>
              <w:t>H</w:t>
            </w:r>
            <w:r w:rsidRPr="00B17B9B">
              <w:rPr>
                <w:rFonts w:ascii="Arial" w:hAnsi="Arial" w:cs="Arial"/>
                <w:color w:val="000000"/>
                <w:sz w:val="20"/>
                <w:szCs w:val="20"/>
                <w:vertAlign w:val="subscript"/>
              </w:rPr>
              <w:t>10</w:t>
            </w:r>
            <w:r w:rsidRPr="00B17B9B">
              <w:rPr>
                <w:rFonts w:ascii="Arial" w:hAnsi="Arial" w:cs="Arial"/>
                <w:color w:val="000000"/>
                <w:sz w:val="20"/>
                <w:szCs w:val="20"/>
              </w:rPr>
              <w:t>N</w:t>
            </w:r>
            <w:r w:rsidRPr="00B17B9B">
              <w:rPr>
                <w:rFonts w:ascii="Arial" w:hAnsi="Arial" w:cs="Arial"/>
                <w:color w:val="000000"/>
                <w:sz w:val="20"/>
                <w:szCs w:val="20"/>
                <w:vertAlign w:val="subscript"/>
              </w:rPr>
              <w:t>2</w:t>
            </w:r>
            <w:r w:rsidRPr="00B17B9B">
              <w:rPr>
                <w:rFonts w:ascii="Arial" w:hAnsi="Arial" w:cs="Arial"/>
                <w:color w:val="000000"/>
                <w:sz w:val="20"/>
                <w:szCs w:val="20"/>
              </w:rPr>
              <w:t>O</w:t>
            </w:r>
            <w:r w:rsidRPr="00B17B9B">
              <w:rPr>
                <w:rFonts w:ascii="Arial" w:hAnsi="Arial" w:cs="Arial"/>
                <w:color w:val="000000"/>
                <w:sz w:val="20"/>
                <w:szCs w:val="20"/>
                <w:vertAlign w:val="subscript"/>
              </w:rPr>
              <w:t>2</w:t>
            </w:r>
          </w:p>
        </w:tc>
        <w:tc>
          <w:tcPr>
            <w:tcW w:w="795" w:type="pct"/>
            <w:vAlign w:val="center"/>
            <w:hideMark/>
          </w:tcPr>
          <w:p w14:paraId="00694EED"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203.0815</w:t>
            </w:r>
          </w:p>
        </w:tc>
        <w:tc>
          <w:tcPr>
            <w:tcW w:w="739" w:type="pct"/>
            <w:vAlign w:val="center"/>
            <w:hideMark/>
          </w:tcPr>
          <w:p w14:paraId="63059271"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203.0812</w:t>
            </w:r>
          </w:p>
        </w:tc>
        <w:tc>
          <w:tcPr>
            <w:tcW w:w="613" w:type="pct"/>
            <w:vAlign w:val="center"/>
            <w:hideMark/>
          </w:tcPr>
          <w:p w14:paraId="67CFE9AB" w14:textId="77777777" w:rsidR="00997A5D" w:rsidRPr="00B17B9B" w:rsidRDefault="00997A5D" w:rsidP="00C157B8">
            <w:pPr>
              <w:spacing w:before="110" w:after="110" w:line="480" w:lineRule="auto"/>
              <w:jc w:val="center"/>
              <w:rPr>
                <w:rFonts w:ascii="Arial" w:hAnsi="Arial" w:cs="Arial"/>
                <w:color w:val="000000"/>
                <w:sz w:val="20"/>
                <w:szCs w:val="20"/>
              </w:rPr>
            </w:pPr>
            <w:r w:rsidRPr="00B17B9B">
              <w:rPr>
                <w:rFonts w:ascii="Arial" w:hAnsi="Arial" w:cs="Arial"/>
                <w:color w:val="000000"/>
                <w:sz w:val="20"/>
                <w:szCs w:val="20"/>
              </w:rPr>
              <w:t>-1.48</w:t>
            </w:r>
          </w:p>
        </w:tc>
        <w:tc>
          <w:tcPr>
            <w:tcW w:w="1184" w:type="pct"/>
            <w:hideMark/>
          </w:tcPr>
          <w:p w14:paraId="2E442D93" w14:textId="77777777" w:rsidR="00997A5D" w:rsidRPr="00B17B9B" w:rsidRDefault="00997A5D" w:rsidP="00C157B8">
            <w:pPr>
              <w:spacing w:before="110" w:after="110" w:line="480" w:lineRule="auto"/>
              <w:rPr>
                <w:rFonts w:ascii="Arial" w:hAnsi="Arial" w:cs="Arial"/>
                <w:color w:val="000000"/>
                <w:sz w:val="20"/>
                <w:szCs w:val="20"/>
              </w:rPr>
            </w:pPr>
            <w:r w:rsidRPr="00B17B9B">
              <w:rPr>
                <w:rFonts w:ascii="Arial" w:hAnsi="Arial" w:cs="Arial"/>
                <w:color w:val="000000"/>
                <w:sz w:val="20"/>
                <w:szCs w:val="20"/>
              </w:rPr>
              <w:t>Vasicinone</w:t>
            </w:r>
          </w:p>
        </w:tc>
      </w:tr>
    </w:tbl>
    <w:p w14:paraId="5B5922B3" w14:textId="77777777" w:rsidR="00997A5D" w:rsidRDefault="00997A5D" w:rsidP="00997A5D">
      <w:pPr>
        <w:spacing w:line="480" w:lineRule="auto"/>
      </w:pPr>
    </w:p>
    <w:p w14:paraId="05951DF3" w14:textId="77777777" w:rsidR="00997A5D" w:rsidRPr="00B17B9B" w:rsidRDefault="00997A5D" w:rsidP="00997A5D">
      <w:pPr>
        <w:suppressLineNumbers/>
        <w:spacing w:line="480" w:lineRule="auto"/>
        <w:jc w:val="both"/>
        <w:rPr>
          <w:rFonts w:ascii="Arial" w:eastAsia="Times New Roman" w:hAnsi="Arial" w:cs="Arial"/>
          <w:bCs/>
          <w:kern w:val="28"/>
          <w:sz w:val="20"/>
          <w:szCs w:val="20"/>
        </w:rPr>
      </w:pPr>
      <w:r w:rsidRPr="00B17B9B">
        <w:rPr>
          <w:rFonts w:ascii="Arial" w:eastAsia="Times New Roman" w:hAnsi="Arial" w:cs="Arial"/>
          <w:b/>
          <w:kern w:val="28"/>
          <w:sz w:val="20"/>
          <w:szCs w:val="20"/>
        </w:rPr>
        <w:t xml:space="preserve">Table S2- Liquid chromatography–electrospray ionization–mass spectroscopy of AV extract in negative-ion mode. </w:t>
      </w:r>
      <w:r w:rsidRPr="00B17B9B">
        <w:rPr>
          <w:rFonts w:ascii="Arial" w:eastAsia="Times New Roman" w:hAnsi="Arial" w:cs="Arial"/>
          <w:bCs/>
          <w:kern w:val="28"/>
          <w:sz w:val="20"/>
          <w:szCs w:val="20"/>
        </w:rPr>
        <w:t xml:space="preserve">Identification of flavonoids C- and O- glycosides from the water extract of </w:t>
      </w:r>
      <w:r w:rsidRPr="00B17B9B">
        <w:rPr>
          <w:rFonts w:ascii="Arial" w:eastAsia="Times New Roman" w:hAnsi="Arial" w:cs="Arial"/>
          <w:bCs/>
          <w:i/>
          <w:iCs/>
          <w:kern w:val="28"/>
          <w:sz w:val="20"/>
          <w:szCs w:val="20"/>
        </w:rPr>
        <w:t>Adhatoda Vasica</w:t>
      </w:r>
      <w:r w:rsidRPr="00B17B9B">
        <w:rPr>
          <w:rFonts w:ascii="Arial" w:eastAsia="Times New Roman" w:hAnsi="Arial" w:cs="Arial"/>
          <w:bCs/>
          <w:kern w:val="28"/>
          <w:sz w:val="20"/>
          <w:szCs w:val="20"/>
        </w:rPr>
        <w:t xml:space="preserve">, separated by mobile phase consist of </w:t>
      </w:r>
      <w:r w:rsidRPr="00B17B9B">
        <w:rPr>
          <w:rFonts w:ascii="Arial" w:eastAsia="MS Mincho" w:hAnsi="Arial" w:cs="Arial"/>
          <w:color w:val="000000"/>
          <w:sz w:val="20"/>
          <w:szCs w:val="20"/>
          <w:lang w:eastAsia="ja-JP"/>
        </w:rPr>
        <w:t xml:space="preserve">0.1% formic acid aqueous solution and acetonitrile. The various peaks obtained (fig. S1B) were analyzed  at different time intervals under a gradient program using </w:t>
      </w:r>
      <w:r w:rsidRPr="00B17B9B">
        <w:rPr>
          <w:rFonts w:ascii="Arial" w:eastAsia="Times New Roman" w:hAnsi="Arial" w:cs="Arial"/>
          <w:bCs/>
          <w:kern w:val="28"/>
          <w:sz w:val="20"/>
          <w:szCs w:val="20"/>
        </w:rPr>
        <w:t>(-)-ESI-MS.</w:t>
      </w:r>
    </w:p>
    <w:tbl>
      <w:tblPr>
        <w:tblW w:w="50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1108"/>
        <w:gridCol w:w="1241"/>
        <w:gridCol w:w="1105"/>
        <w:gridCol w:w="1107"/>
        <w:gridCol w:w="969"/>
        <w:gridCol w:w="2824"/>
      </w:tblGrid>
      <w:tr w:rsidR="00997A5D" w:rsidRPr="00167546" w14:paraId="4381DFC6" w14:textId="77777777" w:rsidTr="00C157B8">
        <w:trPr>
          <w:trHeight w:val="314"/>
          <w:jc w:val="center"/>
        </w:trPr>
        <w:tc>
          <w:tcPr>
            <w:tcW w:w="403" w:type="pct"/>
            <w:vMerge w:val="restart"/>
            <w:shd w:val="clear" w:color="auto" w:fill="auto"/>
            <w:noWrap/>
            <w:hideMark/>
          </w:tcPr>
          <w:p w14:paraId="44AA9C7D" w14:textId="77777777" w:rsidR="00997A5D" w:rsidRPr="00167546" w:rsidRDefault="00997A5D" w:rsidP="00C157B8">
            <w:pPr>
              <w:spacing w:before="60" w:after="60" w:line="480" w:lineRule="auto"/>
              <w:jc w:val="center"/>
              <w:rPr>
                <w:rFonts w:ascii="Arial" w:hAnsi="Arial" w:cs="Arial"/>
                <w:b/>
                <w:bCs/>
                <w:sz w:val="20"/>
                <w:szCs w:val="20"/>
              </w:rPr>
            </w:pPr>
            <w:proofErr w:type="spellStart"/>
            <w:r w:rsidRPr="00167546">
              <w:rPr>
                <w:rFonts w:ascii="Arial" w:hAnsi="Arial" w:cs="Arial"/>
                <w:b/>
                <w:bCs/>
                <w:sz w:val="20"/>
                <w:szCs w:val="20"/>
              </w:rPr>
              <w:t>S.No</w:t>
            </w:r>
            <w:proofErr w:type="spellEnd"/>
            <w:r w:rsidRPr="00167546">
              <w:rPr>
                <w:rFonts w:ascii="Arial" w:hAnsi="Arial" w:cs="Arial"/>
                <w:b/>
                <w:bCs/>
                <w:sz w:val="20"/>
                <w:szCs w:val="20"/>
              </w:rPr>
              <w:t>.</w:t>
            </w:r>
          </w:p>
        </w:tc>
        <w:tc>
          <w:tcPr>
            <w:tcW w:w="610" w:type="pct"/>
            <w:vMerge w:val="restart"/>
            <w:shd w:val="clear" w:color="auto" w:fill="auto"/>
            <w:noWrap/>
            <w:hideMark/>
          </w:tcPr>
          <w:p w14:paraId="60423D80" w14:textId="77777777" w:rsidR="00997A5D" w:rsidRPr="00167546" w:rsidRDefault="00997A5D" w:rsidP="00C157B8">
            <w:pPr>
              <w:spacing w:before="60" w:after="60" w:line="480" w:lineRule="auto"/>
              <w:jc w:val="center"/>
              <w:rPr>
                <w:rFonts w:ascii="Arial" w:hAnsi="Arial" w:cs="Arial"/>
                <w:b/>
                <w:bCs/>
                <w:sz w:val="20"/>
                <w:szCs w:val="20"/>
              </w:rPr>
            </w:pPr>
            <w:r w:rsidRPr="00167546">
              <w:rPr>
                <w:rFonts w:ascii="Arial" w:hAnsi="Arial" w:cs="Arial"/>
                <w:b/>
                <w:bCs/>
                <w:sz w:val="20"/>
                <w:szCs w:val="20"/>
              </w:rPr>
              <w:t xml:space="preserve">RT </w:t>
            </w:r>
            <w:r w:rsidRPr="00167546">
              <w:rPr>
                <w:rFonts w:ascii="Arial" w:hAnsi="Arial" w:cs="Arial"/>
                <w:b/>
                <w:bCs/>
                <w:sz w:val="20"/>
                <w:szCs w:val="20"/>
              </w:rPr>
              <w:br/>
              <w:t>(in min)</w:t>
            </w:r>
          </w:p>
        </w:tc>
        <w:tc>
          <w:tcPr>
            <w:tcW w:w="683" w:type="pct"/>
            <w:vMerge w:val="restart"/>
            <w:shd w:val="clear" w:color="auto" w:fill="auto"/>
            <w:noWrap/>
            <w:hideMark/>
          </w:tcPr>
          <w:p w14:paraId="683E4C63" w14:textId="77777777" w:rsidR="00997A5D" w:rsidRPr="00167546" w:rsidRDefault="00997A5D" w:rsidP="00C157B8">
            <w:pPr>
              <w:spacing w:before="60" w:after="60" w:line="480" w:lineRule="auto"/>
              <w:rPr>
                <w:rFonts w:ascii="Arial" w:hAnsi="Arial" w:cs="Arial"/>
                <w:b/>
                <w:bCs/>
                <w:sz w:val="20"/>
                <w:szCs w:val="20"/>
              </w:rPr>
            </w:pPr>
            <w:r w:rsidRPr="00167546">
              <w:rPr>
                <w:rFonts w:ascii="Arial" w:hAnsi="Arial" w:cs="Arial"/>
                <w:b/>
                <w:bCs/>
                <w:sz w:val="20"/>
                <w:szCs w:val="20"/>
              </w:rPr>
              <w:t>Molecular Formula</w:t>
            </w:r>
          </w:p>
        </w:tc>
        <w:tc>
          <w:tcPr>
            <w:tcW w:w="608" w:type="pct"/>
            <w:vMerge w:val="restart"/>
            <w:shd w:val="clear" w:color="auto" w:fill="auto"/>
            <w:noWrap/>
            <w:hideMark/>
          </w:tcPr>
          <w:p w14:paraId="39055997" w14:textId="77777777" w:rsidR="00997A5D" w:rsidRPr="00167546" w:rsidRDefault="00997A5D" w:rsidP="00C157B8">
            <w:pPr>
              <w:spacing w:before="60" w:after="60" w:line="480" w:lineRule="auto"/>
              <w:jc w:val="center"/>
              <w:rPr>
                <w:rFonts w:ascii="Arial" w:hAnsi="Arial" w:cs="Arial"/>
                <w:b/>
                <w:bCs/>
                <w:sz w:val="20"/>
                <w:szCs w:val="20"/>
              </w:rPr>
            </w:pPr>
            <w:r w:rsidRPr="00167546">
              <w:rPr>
                <w:rFonts w:ascii="Arial" w:hAnsi="Arial" w:cs="Arial"/>
                <w:b/>
                <w:bCs/>
                <w:sz w:val="20"/>
                <w:szCs w:val="20"/>
              </w:rPr>
              <w:t>[M-H]</w:t>
            </w:r>
            <w:r w:rsidRPr="00167546">
              <w:rPr>
                <w:rFonts w:ascii="Arial" w:hAnsi="Arial" w:cs="Arial"/>
                <w:b/>
                <w:bCs/>
                <w:sz w:val="20"/>
                <w:szCs w:val="20"/>
                <w:vertAlign w:val="superscript"/>
              </w:rPr>
              <w:t xml:space="preserve">- </w:t>
            </w:r>
            <w:r w:rsidRPr="00167546">
              <w:rPr>
                <w:rFonts w:ascii="Arial" w:hAnsi="Arial" w:cs="Arial"/>
                <w:b/>
                <w:bCs/>
                <w:sz w:val="20"/>
                <w:szCs w:val="20"/>
              </w:rPr>
              <w:t>m/z (calc)</w:t>
            </w:r>
          </w:p>
        </w:tc>
        <w:tc>
          <w:tcPr>
            <w:tcW w:w="609" w:type="pct"/>
            <w:vMerge w:val="restart"/>
            <w:shd w:val="clear" w:color="auto" w:fill="auto"/>
            <w:noWrap/>
            <w:hideMark/>
          </w:tcPr>
          <w:p w14:paraId="1D4AD7B7" w14:textId="77777777" w:rsidR="00997A5D" w:rsidRPr="00167546" w:rsidRDefault="00997A5D" w:rsidP="00C157B8">
            <w:pPr>
              <w:spacing w:before="60" w:after="60" w:line="480" w:lineRule="auto"/>
              <w:jc w:val="center"/>
              <w:rPr>
                <w:rFonts w:ascii="Arial" w:hAnsi="Arial" w:cs="Arial"/>
                <w:b/>
                <w:bCs/>
                <w:sz w:val="20"/>
                <w:szCs w:val="20"/>
              </w:rPr>
            </w:pPr>
            <w:r w:rsidRPr="00167546">
              <w:rPr>
                <w:rFonts w:ascii="Arial" w:hAnsi="Arial" w:cs="Arial"/>
                <w:b/>
                <w:bCs/>
                <w:sz w:val="20"/>
                <w:szCs w:val="20"/>
              </w:rPr>
              <w:t>[M-H]</w:t>
            </w:r>
            <w:r w:rsidRPr="00167546">
              <w:rPr>
                <w:rFonts w:ascii="Arial" w:hAnsi="Arial" w:cs="Arial"/>
                <w:b/>
                <w:bCs/>
                <w:sz w:val="20"/>
                <w:szCs w:val="20"/>
                <w:vertAlign w:val="superscript"/>
              </w:rPr>
              <w:t xml:space="preserve">- </w:t>
            </w:r>
            <w:r w:rsidRPr="00167546">
              <w:rPr>
                <w:rFonts w:ascii="Arial" w:hAnsi="Arial" w:cs="Arial"/>
                <w:b/>
                <w:bCs/>
                <w:sz w:val="20"/>
                <w:szCs w:val="20"/>
              </w:rPr>
              <w:t>m/z (exp)</w:t>
            </w:r>
          </w:p>
        </w:tc>
        <w:tc>
          <w:tcPr>
            <w:tcW w:w="533" w:type="pct"/>
            <w:vMerge w:val="restart"/>
            <w:shd w:val="clear" w:color="auto" w:fill="auto"/>
            <w:noWrap/>
            <w:hideMark/>
          </w:tcPr>
          <w:p w14:paraId="5B42437F" w14:textId="77777777" w:rsidR="00997A5D" w:rsidRPr="00167546" w:rsidRDefault="00997A5D" w:rsidP="00C157B8">
            <w:pPr>
              <w:spacing w:before="60" w:after="60" w:line="480" w:lineRule="auto"/>
              <w:jc w:val="center"/>
              <w:rPr>
                <w:rFonts w:ascii="Arial" w:hAnsi="Arial" w:cs="Arial"/>
                <w:b/>
                <w:bCs/>
                <w:sz w:val="20"/>
                <w:szCs w:val="20"/>
              </w:rPr>
            </w:pPr>
            <w:r w:rsidRPr="00167546">
              <w:rPr>
                <w:rFonts w:ascii="Arial" w:hAnsi="Arial" w:cs="Arial"/>
                <w:b/>
                <w:bCs/>
                <w:sz w:val="20"/>
                <w:szCs w:val="20"/>
              </w:rPr>
              <w:t>Error (</w:t>
            </w:r>
            <w:proofErr w:type="spellStart"/>
            <w:r w:rsidRPr="00167546">
              <w:rPr>
                <w:rFonts w:ascii="Arial" w:hAnsi="Arial" w:cs="Arial"/>
                <w:b/>
                <w:bCs/>
                <w:sz w:val="20"/>
                <w:szCs w:val="20"/>
              </w:rPr>
              <w:t>Δppm</w:t>
            </w:r>
            <w:proofErr w:type="spellEnd"/>
            <w:r w:rsidRPr="00167546">
              <w:rPr>
                <w:rFonts w:ascii="Arial" w:hAnsi="Arial" w:cs="Arial"/>
                <w:b/>
                <w:bCs/>
                <w:sz w:val="20"/>
                <w:szCs w:val="20"/>
              </w:rPr>
              <w:t>)</w:t>
            </w:r>
          </w:p>
        </w:tc>
        <w:tc>
          <w:tcPr>
            <w:tcW w:w="1554" w:type="pct"/>
            <w:vMerge w:val="restart"/>
          </w:tcPr>
          <w:p w14:paraId="18244BEF" w14:textId="77777777" w:rsidR="00997A5D" w:rsidRPr="00167546" w:rsidRDefault="00997A5D" w:rsidP="00C157B8">
            <w:pPr>
              <w:spacing w:before="60" w:after="60" w:line="480" w:lineRule="auto"/>
              <w:rPr>
                <w:rFonts w:ascii="Arial" w:hAnsi="Arial" w:cs="Arial"/>
                <w:b/>
                <w:bCs/>
                <w:sz w:val="20"/>
                <w:szCs w:val="20"/>
              </w:rPr>
            </w:pPr>
            <w:r w:rsidRPr="00167546">
              <w:rPr>
                <w:rFonts w:ascii="Arial" w:hAnsi="Arial" w:cs="Arial"/>
                <w:b/>
                <w:bCs/>
                <w:sz w:val="20"/>
                <w:szCs w:val="20"/>
              </w:rPr>
              <w:t>Identification</w:t>
            </w:r>
          </w:p>
        </w:tc>
      </w:tr>
      <w:tr w:rsidR="00997A5D" w:rsidRPr="00167546" w14:paraId="008AA776" w14:textId="77777777" w:rsidTr="00C157B8">
        <w:trPr>
          <w:trHeight w:val="394"/>
          <w:jc w:val="center"/>
        </w:trPr>
        <w:tc>
          <w:tcPr>
            <w:tcW w:w="403" w:type="pct"/>
            <w:vMerge/>
            <w:shd w:val="clear" w:color="auto" w:fill="auto"/>
            <w:noWrap/>
            <w:hideMark/>
          </w:tcPr>
          <w:p w14:paraId="68728180" w14:textId="77777777" w:rsidR="00997A5D" w:rsidRPr="00167546" w:rsidRDefault="00997A5D" w:rsidP="00C157B8">
            <w:pPr>
              <w:spacing w:before="60" w:after="60" w:line="480" w:lineRule="auto"/>
              <w:jc w:val="center"/>
              <w:rPr>
                <w:rFonts w:ascii="Arial" w:hAnsi="Arial" w:cs="Arial"/>
                <w:b/>
                <w:bCs/>
                <w:sz w:val="20"/>
                <w:szCs w:val="20"/>
              </w:rPr>
            </w:pPr>
          </w:p>
        </w:tc>
        <w:tc>
          <w:tcPr>
            <w:tcW w:w="610" w:type="pct"/>
            <w:vMerge/>
            <w:shd w:val="clear" w:color="auto" w:fill="auto"/>
            <w:noWrap/>
            <w:hideMark/>
          </w:tcPr>
          <w:p w14:paraId="0BDEEBC9" w14:textId="77777777" w:rsidR="00997A5D" w:rsidRPr="00167546" w:rsidRDefault="00997A5D" w:rsidP="00C157B8">
            <w:pPr>
              <w:spacing w:before="60" w:after="60" w:line="480" w:lineRule="auto"/>
              <w:jc w:val="center"/>
              <w:rPr>
                <w:rFonts w:ascii="Arial" w:hAnsi="Arial" w:cs="Arial"/>
                <w:b/>
                <w:bCs/>
                <w:sz w:val="20"/>
                <w:szCs w:val="20"/>
              </w:rPr>
            </w:pPr>
          </w:p>
        </w:tc>
        <w:tc>
          <w:tcPr>
            <w:tcW w:w="683" w:type="pct"/>
            <w:vMerge/>
            <w:shd w:val="clear" w:color="auto" w:fill="auto"/>
            <w:noWrap/>
            <w:hideMark/>
          </w:tcPr>
          <w:p w14:paraId="02084129" w14:textId="77777777" w:rsidR="00997A5D" w:rsidRPr="00167546" w:rsidRDefault="00997A5D" w:rsidP="00C157B8">
            <w:pPr>
              <w:spacing w:before="60" w:after="60" w:line="480" w:lineRule="auto"/>
              <w:rPr>
                <w:rFonts w:ascii="Arial" w:hAnsi="Arial" w:cs="Arial"/>
                <w:b/>
                <w:bCs/>
                <w:sz w:val="20"/>
                <w:szCs w:val="20"/>
              </w:rPr>
            </w:pPr>
          </w:p>
        </w:tc>
        <w:tc>
          <w:tcPr>
            <w:tcW w:w="608" w:type="pct"/>
            <w:vMerge/>
            <w:shd w:val="clear" w:color="auto" w:fill="auto"/>
            <w:noWrap/>
            <w:hideMark/>
          </w:tcPr>
          <w:p w14:paraId="11B86BC8" w14:textId="77777777" w:rsidR="00997A5D" w:rsidRPr="00167546" w:rsidRDefault="00997A5D" w:rsidP="00C157B8">
            <w:pPr>
              <w:spacing w:before="60" w:after="60" w:line="480" w:lineRule="auto"/>
              <w:jc w:val="center"/>
              <w:rPr>
                <w:rFonts w:ascii="Arial" w:hAnsi="Arial" w:cs="Arial"/>
                <w:b/>
                <w:bCs/>
                <w:sz w:val="20"/>
                <w:szCs w:val="20"/>
              </w:rPr>
            </w:pPr>
          </w:p>
        </w:tc>
        <w:tc>
          <w:tcPr>
            <w:tcW w:w="609" w:type="pct"/>
            <w:vMerge/>
            <w:shd w:val="clear" w:color="auto" w:fill="auto"/>
            <w:noWrap/>
            <w:hideMark/>
          </w:tcPr>
          <w:p w14:paraId="6B0B9FBD" w14:textId="77777777" w:rsidR="00997A5D" w:rsidRPr="00167546" w:rsidRDefault="00997A5D" w:rsidP="00C157B8">
            <w:pPr>
              <w:spacing w:before="60" w:after="60" w:line="480" w:lineRule="auto"/>
              <w:jc w:val="center"/>
              <w:rPr>
                <w:rFonts w:ascii="Arial" w:hAnsi="Arial" w:cs="Arial"/>
                <w:b/>
                <w:bCs/>
                <w:sz w:val="20"/>
                <w:szCs w:val="20"/>
              </w:rPr>
            </w:pPr>
          </w:p>
        </w:tc>
        <w:tc>
          <w:tcPr>
            <w:tcW w:w="533" w:type="pct"/>
            <w:vMerge/>
            <w:shd w:val="clear" w:color="auto" w:fill="auto"/>
            <w:noWrap/>
            <w:hideMark/>
          </w:tcPr>
          <w:p w14:paraId="37FBFC76" w14:textId="77777777" w:rsidR="00997A5D" w:rsidRPr="00167546" w:rsidRDefault="00997A5D" w:rsidP="00C157B8">
            <w:pPr>
              <w:spacing w:before="60" w:after="60" w:line="480" w:lineRule="auto"/>
              <w:jc w:val="center"/>
              <w:rPr>
                <w:rFonts w:ascii="Arial" w:hAnsi="Arial" w:cs="Arial"/>
                <w:b/>
                <w:bCs/>
                <w:sz w:val="20"/>
                <w:szCs w:val="20"/>
              </w:rPr>
            </w:pPr>
          </w:p>
        </w:tc>
        <w:tc>
          <w:tcPr>
            <w:tcW w:w="1554" w:type="pct"/>
            <w:vMerge/>
          </w:tcPr>
          <w:p w14:paraId="59111CCC" w14:textId="77777777" w:rsidR="00997A5D" w:rsidRPr="00167546" w:rsidRDefault="00997A5D" w:rsidP="00C157B8">
            <w:pPr>
              <w:spacing w:before="60" w:after="60" w:line="480" w:lineRule="auto"/>
              <w:rPr>
                <w:rFonts w:ascii="Arial" w:hAnsi="Arial" w:cs="Arial"/>
                <w:b/>
                <w:bCs/>
                <w:sz w:val="20"/>
                <w:szCs w:val="20"/>
              </w:rPr>
            </w:pPr>
          </w:p>
        </w:tc>
      </w:tr>
      <w:tr w:rsidR="00997A5D" w:rsidRPr="00167546" w14:paraId="5FB2E32D" w14:textId="77777777" w:rsidTr="00C157B8">
        <w:trPr>
          <w:jc w:val="center"/>
        </w:trPr>
        <w:tc>
          <w:tcPr>
            <w:tcW w:w="403" w:type="pct"/>
            <w:shd w:val="clear" w:color="auto" w:fill="auto"/>
            <w:noWrap/>
            <w:vAlign w:val="center"/>
            <w:hideMark/>
          </w:tcPr>
          <w:p w14:paraId="62471C2D"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w:t>
            </w:r>
          </w:p>
        </w:tc>
        <w:tc>
          <w:tcPr>
            <w:tcW w:w="610" w:type="pct"/>
            <w:shd w:val="clear" w:color="auto" w:fill="auto"/>
            <w:noWrap/>
            <w:vAlign w:val="center"/>
            <w:hideMark/>
          </w:tcPr>
          <w:p w14:paraId="5D10E109"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14.8, 17.9</w:t>
            </w:r>
          </w:p>
        </w:tc>
        <w:tc>
          <w:tcPr>
            <w:tcW w:w="683" w:type="pct"/>
            <w:shd w:val="clear" w:color="auto" w:fill="auto"/>
            <w:noWrap/>
            <w:vAlign w:val="center"/>
            <w:hideMark/>
          </w:tcPr>
          <w:p w14:paraId="6B95F0C8"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27</w:t>
            </w:r>
            <w:r w:rsidRPr="00167546">
              <w:rPr>
                <w:rFonts w:ascii="Arial" w:hAnsi="Arial" w:cs="Arial"/>
                <w:color w:val="000000"/>
                <w:sz w:val="20"/>
                <w:szCs w:val="20"/>
              </w:rPr>
              <w:t>H</w:t>
            </w:r>
            <w:r w:rsidRPr="00167546">
              <w:rPr>
                <w:rFonts w:ascii="Arial" w:hAnsi="Arial" w:cs="Arial"/>
                <w:color w:val="000000"/>
                <w:sz w:val="20"/>
                <w:szCs w:val="20"/>
                <w:vertAlign w:val="subscript"/>
              </w:rPr>
              <w:t>30</w:t>
            </w:r>
            <w:r w:rsidRPr="00167546">
              <w:rPr>
                <w:rFonts w:ascii="Arial" w:hAnsi="Arial" w:cs="Arial"/>
                <w:color w:val="000000"/>
                <w:sz w:val="20"/>
                <w:szCs w:val="20"/>
              </w:rPr>
              <w:t>O</w:t>
            </w:r>
            <w:r w:rsidRPr="00167546">
              <w:rPr>
                <w:rFonts w:ascii="Arial" w:hAnsi="Arial" w:cs="Arial"/>
                <w:color w:val="000000"/>
                <w:sz w:val="20"/>
                <w:szCs w:val="20"/>
                <w:vertAlign w:val="subscript"/>
              </w:rPr>
              <w:t>16</w:t>
            </w:r>
          </w:p>
        </w:tc>
        <w:tc>
          <w:tcPr>
            <w:tcW w:w="608" w:type="pct"/>
            <w:shd w:val="clear" w:color="auto" w:fill="auto"/>
            <w:noWrap/>
            <w:vAlign w:val="center"/>
            <w:hideMark/>
          </w:tcPr>
          <w:p w14:paraId="724312AD"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609.1461</w:t>
            </w:r>
          </w:p>
        </w:tc>
        <w:tc>
          <w:tcPr>
            <w:tcW w:w="609" w:type="pct"/>
            <w:shd w:val="clear" w:color="auto" w:fill="auto"/>
            <w:noWrap/>
            <w:vAlign w:val="center"/>
            <w:hideMark/>
          </w:tcPr>
          <w:p w14:paraId="123077F4"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609.1464</w:t>
            </w:r>
          </w:p>
        </w:tc>
        <w:tc>
          <w:tcPr>
            <w:tcW w:w="533" w:type="pct"/>
            <w:shd w:val="clear" w:color="auto" w:fill="auto"/>
            <w:noWrap/>
            <w:vAlign w:val="center"/>
            <w:hideMark/>
          </w:tcPr>
          <w:p w14:paraId="68767DEA"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0.49</w:t>
            </w:r>
          </w:p>
        </w:tc>
        <w:tc>
          <w:tcPr>
            <w:tcW w:w="1554" w:type="pct"/>
            <w:vAlign w:val="center"/>
          </w:tcPr>
          <w:p w14:paraId="24C975A4"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 xml:space="preserve">Luteolin-6,8-di-C-glucoside/ Quercetin-3-O-rutinoside </w:t>
            </w:r>
          </w:p>
        </w:tc>
      </w:tr>
      <w:tr w:rsidR="00997A5D" w:rsidRPr="00167546" w14:paraId="77887251" w14:textId="77777777" w:rsidTr="00C157B8">
        <w:trPr>
          <w:jc w:val="center"/>
        </w:trPr>
        <w:tc>
          <w:tcPr>
            <w:tcW w:w="403" w:type="pct"/>
            <w:shd w:val="clear" w:color="auto" w:fill="auto"/>
            <w:noWrap/>
            <w:vAlign w:val="center"/>
            <w:hideMark/>
          </w:tcPr>
          <w:p w14:paraId="6CC223F0"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lastRenderedPageBreak/>
              <w:t>2</w:t>
            </w:r>
          </w:p>
        </w:tc>
        <w:tc>
          <w:tcPr>
            <w:tcW w:w="610" w:type="pct"/>
            <w:shd w:val="clear" w:color="auto" w:fill="auto"/>
            <w:noWrap/>
            <w:vAlign w:val="center"/>
            <w:hideMark/>
          </w:tcPr>
          <w:p w14:paraId="6EE9B249"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15.3, 15.8</w:t>
            </w:r>
          </w:p>
        </w:tc>
        <w:tc>
          <w:tcPr>
            <w:tcW w:w="683" w:type="pct"/>
            <w:shd w:val="clear" w:color="auto" w:fill="auto"/>
            <w:noWrap/>
            <w:vAlign w:val="center"/>
            <w:hideMark/>
          </w:tcPr>
          <w:p w14:paraId="16697D5A"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26</w:t>
            </w:r>
            <w:r w:rsidRPr="00167546">
              <w:rPr>
                <w:rFonts w:ascii="Arial" w:hAnsi="Arial" w:cs="Arial"/>
                <w:color w:val="000000"/>
                <w:sz w:val="20"/>
                <w:szCs w:val="20"/>
              </w:rPr>
              <w:t>H</w:t>
            </w:r>
            <w:r w:rsidRPr="00167546">
              <w:rPr>
                <w:rFonts w:ascii="Arial" w:hAnsi="Arial" w:cs="Arial"/>
                <w:color w:val="000000"/>
                <w:sz w:val="20"/>
                <w:szCs w:val="20"/>
                <w:vertAlign w:val="subscript"/>
              </w:rPr>
              <w:t>28</w:t>
            </w:r>
            <w:r w:rsidRPr="00167546">
              <w:rPr>
                <w:rFonts w:ascii="Arial" w:hAnsi="Arial" w:cs="Arial"/>
                <w:color w:val="000000"/>
                <w:sz w:val="20"/>
                <w:szCs w:val="20"/>
              </w:rPr>
              <w:t>O</w:t>
            </w:r>
            <w:r w:rsidRPr="00167546">
              <w:rPr>
                <w:rFonts w:ascii="Arial" w:hAnsi="Arial" w:cs="Arial"/>
                <w:color w:val="000000"/>
                <w:sz w:val="20"/>
                <w:szCs w:val="20"/>
                <w:vertAlign w:val="subscript"/>
              </w:rPr>
              <w:t>15</w:t>
            </w:r>
          </w:p>
        </w:tc>
        <w:tc>
          <w:tcPr>
            <w:tcW w:w="608" w:type="pct"/>
            <w:shd w:val="clear" w:color="auto" w:fill="auto"/>
            <w:noWrap/>
            <w:vAlign w:val="center"/>
            <w:hideMark/>
          </w:tcPr>
          <w:p w14:paraId="67FAAFA6"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579.1355</w:t>
            </w:r>
          </w:p>
        </w:tc>
        <w:tc>
          <w:tcPr>
            <w:tcW w:w="609" w:type="pct"/>
            <w:shd w:val="clear" w:color="auto" w:fill="auto"/>
            <w:noWrap/>
            <w:vAlign w:val="center"/>
            <w:hideMark/>
          </w:tcPr>
          <w:p w14:paraId="173157DC"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579.1354</w:t>
            </w:r>
          </w:p>
        </w:tc>
        <w:tc>
          <w:tcPr>
            <w:tcW w:w="533" w:type="pct"/>
            <w:shd w:val="clear" w:color="auto" w:fill="auto"/>
            <w:noWrap/>
            <w:vAlign w:val="center"/>
            <w:hideMark/>
          </w:tcPr>
          <w:p w14:paraId="5B04639E"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-0.17</w:t>
            </w:r>
          </w:p>
        </w:tc>
        <w:tc>
          <w:tcPr>
            <w:tcW w:w="1554" w:type="pct"/>
            <w:vAlign w:val="center"/>
          </w:tcPr>
          <w:p w14:paraId="526E964A"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Luteolin-6-C-glucoside-8-C-arabinoside/ Luteolin-6-C-arabinoside 8-C-glucoside</w:t>
            </w:r>
          </w:p>
        </w:tc>
      </w:tr>
      <w:tr w:rsidR="00997A5D" w:rsidRPr="00167546" w14:paraId="252A1561" w14:textId="77777777" w:rsidTr="00C157B8">
        <w:trPr>
          <w:jc w:val="center"/>
        </w:trPr>
        <w:tc>
          <w:tcPr>
            <w:tcW w:w="403" w:type="pct"/>
            <w:shd w:val="clear" w:color="auto" w:fill="auto"/>
            <w:noWrap/>
            <w:vAlign w:val="center"/>
            <w:hideMark/>
          </w:tcPr>
          <w:p w14:paraId="48967AAC"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3</w:t>
            </w:r>
          </w:p>
        </w:tc>
        <w:tc>
          <w:tcPr>
            <w:tcW w:w="610" w:type="pct"/>
            <w:shd w:val="clear" w:color="auto" w:fill="auto"/>
            <w:noWrap/>
            <w:vAlign w:val="center"/>
            <w:hideMark/>
          </w:tcPr>
          <w:p w14:paraId="4FECEC07"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15.5, 18.8</w:t>
            </w:r>
          </w:p>
        </w:tc>
        <w:tc>
          <w:tcPr>
            <w:tcW w:w="683" w:type="pct"/>
            <w:shd w:val="clear" w:color="auto" w:fill="auto"/>
            <w:noWrap/>
            <w:vAlign w:val="center"/>
            <w:hideMark/>
          </w:tcPr>
          <w:p w14:paraId="4F27B6B0"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27</w:t>
            </w:r>
            <w:r w:rsidRPr="00167546">
              <w:rPr>
                <w:rFonts w:ascii="Arial" w:hAnsi="Arial" w:cs="Arial"/>
                <w:color w:val="000000"/>
                <w:sz w:val="20"/>
                <w:szCs w:val="20"/>
              </w:rPr>
              <w:t>H</w:t>
            </w:r>
            <w:r w:rsidRPr="00167546">
              <w:rPr>
                <w:rFonts w:ascii="Arial" w:hAnsi="Arial" w:cs="Arial"/>
                <w:color w:val="000000"/>
                <w:sz w:val="20"/>
                <w:szCs w:val="20"/>
                <w:vertAlign w:val="subscript"/>
              </w:rPr>
              <w:t>30</w:t>
            </w:r>
            <w:r w:rsidRPr="00167546">
              <w:rPr>
                <w:rFonts w:ascii="Arial" w:hAnsi="Arial" w:cs="Arial"/>
                <w:color w:val="000000"/>
                <w:sz w:val="20"/>
                <w:szCs w:val="20"/>
              </w:rPr>
              <w:t>O</w:t>
            </w:r>
            <w:r w:rsidRPr="00167546">
              <w:rPr>
                <w:rFonts w:ascii="Arial" w:hAnsi="Arial" w:cs="Arial"/>
                <w:color w:val="000000"/>
                <w:sz w:val="20"/>
                <w:szCs w:val="20"/>
                <w:vertAlign w:val="subscript"/>
              </w:rPr>
              <w:t>15</w:t>
            </w:r>
          </w:p>
        </w:tc>
        <w:tc>
          <w:tcPr>
            <w:tcW w:w="608" w:type="pct"/>
            <w:shd w:val="clear" w:color="auto" w:fill="auto"/>
            <w:noWrap/>
            <w:vAlign w:val="center"/>
            <w:hideMark/>
          </w:tcPr>
          <w:p w14:paraId="4198583A"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593.1512</w:t>
            </w:r>
          </w:p>
        </w:tc>
        <w:tc>
          <w:tcPr>
            <w:tcW w:w="609" w:type="pct"/>
            <w:shd w:val="clear" w:color="auto" w:fill="auto"/>
            <w:noWrap/>
            <w:vAlign w:val="center"/>
            <w:hideMark/>
          </w:tcPr>
          <w:p w14:paraId="0C7D7E31"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593.151</w:t>
            </w:r>
          </w:p>
        </w:tc>
        <w:tc>
          <w:tcPr>
            <w:tcW w:w="533" w:type="pct"/>
            <w:shd w:val="clear" w:color="auto" w:fill="auto"/>
            <w:noWrap/>
            <w:vAlign w:val="center"/>
            <w:hideMark/>
          </w:tcPr>
          <w:p w14:paraId="455EDE77"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-0.34</w:t>
            </w:r>
          </w:p>
        </w:tc>
        <w:tc>
          <w:tcPr>
            <w:tcW w:w="1554" w:type="pct"/>
            <w:vAlign w:val="center"/>
          </w:tcPr>
          <w:p w14:paraId="63894BB4"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Kaempferol-3-O-rutinoside/ Apigenin-6,8-di-C-glucoside</w:t>
            </w:r>
          </w:p>
        </w:tc>
      </w:tr>
      <w:tr w:rsidR="00997A5D" w:rsidRPr="00167546" w14:paraId="54E465C7" w14:textId="77777777" w:rsidTr="00C157B8">
        <w:trPr>
          <w:jc w:val="center"/>
        </w:trPr>
        <w:tc>
          <w:tcPr>
            <w:tcW w:w="403" w:type="pct"/>
            <w:shd w:val="clear" w:color="auto" w:fill="auto"/>
            <w:noWrap/>
            <w:vAlign w:val="center"/>
            <w:hideMark/>
          </w:tcPr>
          <w:p w14:paraId="5A82EDAC"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w:t>
            </w:r>
          </w:p>
        </w:tc>
        <w:tc>
          <w:tcPr>
            <w:tcW w:w="610" w:type="pct"/>
            <w:shd w:val="clear" w:color="auto" w:fill="auto"/>
            <w:noWrap/>
            <w:vAlign w:val="center"/>
            <w:hideMark/>
          </w:tcPr>
          <w:p w14:paraId="6BE4CB9B" w14:textId="77777777" w:rsidR="00997A5D" w:rsidRPr="00167546" w:rsidRDefault="00997A5D" w:rsidP="00C157B8">
            <w:pPr>
              <w:tabs>
                <w:tab w:val="left" w:pos="1027"/>
              </w:tabs>
              <w:spacing w:before="60" w:after="60" w:line="480" w:lineRule="auto"/>
              <w:jc w:val="center"/>
              <w:rPr>
                <w:rFonts w:ascii="Arial" w:hAnsi="Arial" w:cs="Arial"/>
                <w:color w:val="000000"/>
                <w:spacing w:val="-6"/>
                <w:sz w:val="20"/>
                <w:szCs w:val="20"/>
              </w:rPr>
            </w:pPr>
            <w:r w:rsidRPr="00167546">
              <w:rPr>
                <w:rFonts w:ascii="Arial" w:hAnsi="Arial" w:cs="Arial"/>
                <w:color w:val="000000"/>
                <w:spacing w:val="-6"/>
                <w:sz w:val="20"/>
                <w:szCs w:val="20"/>
              </w:rPr>
              <w:t>15.8, 16.2, 16.5, 16.8, 17.3</w:t>
            </w:r>
          </w:p>
        </w:tc>
        <w:tc>
          <w:tcPr>
            <w:tcW w:w="683" w:type="pct"/>
            <w:shd w:val="clear" w:color="auto" w:fill="auto"/>
            <w:noWrap/>
            <w:vAlign w:val="center"/>
            <w:hideMark/>
          </w:tcPr>
          <w:p w14:paraId="4363D745"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26</w:t>
            </w:r>
            <w:r w:rsidRPr="00167546">
              <w:rPr>
                <w:rFonts w:ascii="Arial" w:hAnsi="Arial" w:cs="Arial"/>
                <w:color w:val="000000"/>
                <w:sz w:val="20"/>
                <w:szCs w:val="20"/>
              </w:rPr>
              <w:t>H</w:t>
            </w:r>
            <w:r w:rsidRPr="00167546">
              <w:rPr>
                <w:rFonts w:ascii="Arial" w:hAnsi="Arial" w:cs="Arial"/>
                <w:color w:val="000000"/>
                <w:sz w:val="20"/>
                <w:szCs w:val="20"/>
                <w:vertAlign w:val="subscript"/>
              </w:rPr>
              <w:t>28</w:t>
            </w:r>
            <w:r w:rsidRPr="00167546">
              <w:rPr>
                <w:rFonts w:ascii="Arial" w:hAnsi="Arial" w:cs="Arial"/>
                <w:color w:val="000000"/>
                <w:sz w:val="20"/>
                <w:szCs w:val="20"/>
              </w:rPr>
              <w:t>O</w:t>
            </w:r>
            <w:r w:rsidRPr="00167546">
              <w:rPr>
                <w:rFonts w:ascii="Arial" w:hAnsi="Arial" w:cs="Arial"/>
                <w:color w:val="000000"/>
                <w:sz w:val="20"/>
                <w:szCs w:val="20"/>
                <w:vertAlign w:val="subscript"/>
              </w:rPr>
              <w:t>14</w:t>
            </w:r>
          </w:p>
        </w:tc>
        <w:tc>
          <w:tcPr>
            <w:tcW w:w="608" w:type="pct"/>
            <w:shd w:val="clear" w:color="auto" w:fill="auto"/>
            <w:noWrap/>
            <w:vAlign w:val="center"/>
            <w:hideMark/>
          </w:tcPr>
          <w:p w14:paraId="68464383"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563.1406</w:t>
            </w:r>
          </w:p>
        </w:tc>
        <w:tc>
          <w:tcPr>
            <w:tcW w:w="609" w:type="pct"/>
            <w:shd w:val="clear" w:color="auto" w:fill="auto"/>
            <w:noWrap/>
            <w:vAlign w:val="center"/>
            <w:hideMark/>
          </w:tcPr>
          <w:p w14:paraId="6A98E36F"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563.1401</w:t>
            </w:r>
          </w:p>
        </w:tc>
        <w:tc>
          <w:tcPr>
            <w:tcW w:w="533" w:type="pct"/>
            <w:shd w:val="clear" w:color="auto" w:fill="auto"/>
            <w:noWrap/>
            <w:vAlign w:val="center"/>
            <w:hideMark/>
          </w:tcPr>
          <w:p w14:paraId="065A1A48"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-0.89</w:t>
            </w:r>
          </w:p>
        </w:tc>
        <w:tc>
          <w:tcPr>
            <w:tcW w:w="1554" w:type="pct"/>
            <w:vAlign w:val="center"/>
          </w:tcPr>
          <w:p w14:paraId="49AEE06C"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Apigenin-6-C-glucoside-8-C-arabinoside/ Apigenin-6-C-arabinoside 8-C-glucoside/ Apigenin-6-C-arabinoside 7-O-glucoside</w:t>
            </w:r>
          </w:p>
        </w:tc>
      </w:tr>
      <w:tr w:rsidR="00997A5D" w:rsidRPr="00167546" w14:paraId="2EFF4224" w14:textId="77777777" w:rsidTr="00C157B8">
        <w:trPr>
          <w:jc w:val="center"/>
        </w:trPr>
        <w:tc>
          <w:tcPr>
            <w:tcW w:w="403" w:type="pct"/>
            <w:shd w:val="clear" w:color="auto" w:fill="auto"/>
            <w:noWrap/>
            <w:vAlign w:val="center"/>
            <w:hideMark/>
          </w:tcPr>
          <w:p w14:paraId="59215543"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w:t>
            </w:r>
          </w:p>
        </w:tc>
        <w:tc>
          <w:tcPr>
            <w:tcW w:w="610" w:type="pct"/>
            <w:shd w:val="clear" w:color="auto" w:fill="auto"/>
            <w:noWrap/>
            <w:vAlign w:val="center"/>
            <w:hideMark/>
          </w:tcPr>
          <w:p w14:paraId="6ED0E09A"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16.6</w:t>
            </w:r>
          </w:p>
        </w:tc>
        <w:tc>
          <w:tcPr>
            <w:tcW w:w="683" w:type="pct"/>
            <w:shd w:val="clear" w:color="auto" w:fill="auto"/>
            <w:noWrap/>
            <w:vAlign w:val="center"/>
            <w:hideMark/>
          </w:tcPr>
          <w:p w14:paraId="5E45580C"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25</w:t>
            </w:r>
            <w:r w:rsidRPr="00167546">
              <w:rPr>
                <w:rFonts w:ascii="Arial" w:hAnsi="Arial" w:cs="Arial"/>
                <w:color w:val="000000"/>
                <w:sz w:val="20"/>
                <w:szCs w:val="20"/>
              </w:rPr>
              <w:t>H</w:t>
            </w:r>
            <w:r w:rsidRPr="00167546">
              <w:rPr>
                <w:rFonts w:ascii="Arial" w:hAnsi="Arial" w:cs="Arial"/>
                <w:color w:val="000000"/>
                <w:sz w:val="20"/>
                <w:szCs w:val="20"/>
                <w:vertAlign w:val="subscript"/>
              </w:rPr>
              <w:t>26</w:t>
            </w:r>
            <w:r w:rsidRPr="00167546">
              <w:rPr>
                <w:rFonts w:ascii="Arial" w:hAnsi="Arial" w:cs="Arial"/>
                <w:color w:val="000000"/>
                <w:sz w:val="20"/>
                <w:szCs w:val="20"/>
              </w:rPr>
              <w:t>O</w:t>
            </w:r>
            <w:r w:rsidRPr="00167546">
              <w:rPr>
                <w:rFonts w:ascii="Arial" w:hAnsi="Arial" w:cs="Arial"/>
                <w:color w:val="000000"/>
                <w:sz w:val="20"/>
                <w:szCs w:val="20"/>
                <w:vertAlign w:val="subscript"/>
              </w:rPr>
              <w:t>14</w:t>
            </w:r>
          </w:p>
        </w:tc>
        <w:tc>
          <w:tcPr>
            <w:tcW w:w="608" w:type="pct"/>
            <w:shd w:val="clear" w:color="auto" w:fill="auto"/>
            <w:noWrap/>
            <w:vAlign w:val="center"/>
            <w:hideMark/>
          </w:tcPr>
          <w:p w14:paraId="254FB7FA"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549.125</w:t>
            </w:r>
          </w:p>
        </w:tc>
        <w:tc>
          <w:tcPr>
            <w:tcW w:w="609" w:type="pct"/>
            <w:shd w:val="clear" w:color="auto" w:fill="auto"/>
            <w:noWrap/>
            <w:vAlign w:val="center"/>
            <w:hideMark/>
          </w:tcPr>
          <w:p w14:paraId="7E51AFB5"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549.1253</w:t>
            </w:r>
          </w:p>
        </w:tc>
        <w:tc>
          <w:tcPr>
            <w:tcW w:w="533" w:type="pct"/>
            <w:shd w:val="clear" w:color="auto" w:fill="auto"/>
            <w:noWrap/>
            <w:vAlign w:val="center"/>
            <w:hideMark/>
          </w:tcPr>
          <w:p w14:paraId="1ECEB44F"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0.55</w:t>
            </w:r>
          </w:p>
        </w:tc>
        <w:tc>
          <w:tcPr>
            <w:tcW w:w="1554" w:type="pct"/>
            <w:vAlign w:val="center"/>
          </w:tcPr>
          <w:p w14:paraId="7AE7F06B"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Luteolin-6,8-di-C-arabinoside</w:t>
            </w:r>
          </w:p>
        </w:tc>
      </w:tr>
      <w:tr w:rsidR="00997A5D" w:rsidRPr="00167546" w14:paraId="7D394EE8" w14:textId="77777777" w:rsidTr="00C157B8">
        <w:trPr>
          <w:jc w:val="center"/>
        </w:trPr>
        <w:tc>
          <w:tcPr>
            <w:tcW w:w="403" w:type="pct"/>
            <w:shd w:val="clear" w:color="auto" w:fill="auto"/>
            <w:noWrap/>
            <w:vAlign w:val="center"/>
            <w:hideMark/>
          </w:tcPr>
          <w:p w14:paraId="11992FEE"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6</w:t>
            </w:r>
          </w:p>
        </w:tc>
        <w:tc>
          <w:tcPr>
            <w:tcW w:w="610" w:type="pct"/>
            <w:shd w:val="clear" w:color="auto" w:fill="auto"/>
            <w:noWrap/>
            <w:vAlign w:val="center"/>
            <w:hideMark/>
          </w:tcPr>
          <w:p w14:paraId="3CD07090"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16.7</w:t>
            </w:r>
          </w:p>
        </w:tc>
        <w:tc>
          <w:tcPr>
            <w:tcW w:w="683" w:type="pct"/>
            <w:shd w:val="clear" w:color="auto" w:fill="auto"/>
            <w:noWrap/>
            <w:vAlign w:val="center"/>
            <w:hideMark/>
          </w:tcPr>
          <w:p w14:paraId="237B1982"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21</w:t>
            </w:r>
            <w:r w:rsidRPr="00167546">
              <w:rPr>
                <w:rFonts w:ascii="Arial" w:hAnsi="Arial" w:cs="Arial"/>
                <w:color w:val="000000"/>
                <w:sz w:val="20"/>
                <w:szCs w:val="20"/>
              </w:rPr>
              <w:t>H</w:t>
            </w:r>
            <w:r w:rsidRPr="00167546">
              <w:rPr>
                <w:rFonts w:ascii="Arial" w:hAnsi="Arial" w:cs="Arial"/>
                <w:color w:val="000000"/>
                <w:sz w:val="20"/>
                <w:szCs w:val="20"/>
                <w:vertAlign w:val="subscript"/>
              </w:rPr>
              <w:t>20</w:t>
            </w:r>
            <w:r w:rsidRPr="00167546">
              <w:rPr>
                <w:rFonts w:ascii="Arial" w:hAnsi="Arial" w:cs="Arial"/>
                <w:color w:val="000000"/>
                <w:sz w:val="20"/>
                <w:szCs w:val="20"/>
              </w:rPr>
              <w:t>O</w:t>
            </w:r>
            <w:r w:rsidRPr="00167546">
              <w:rPr>
                <w:rFonts w:ascii="Arial" w:hAnsi="Arial" w:cs="Arial"/>
                <w:color w:val="000000"/>
                <w:sz w:val="20"/>
                <w:szCs w:val="20"/>
                <w:vertAlign w:val="subscript"/>
              </w:rPr>
              <w:t>11</w:t>
            </w:r>
          </w:p>
        </w:tc>
        <w:tc>
          <w:tcPr>
            <w:tcW w:w="608" w:type="pct"/>
            <w:shd w:val="clear" w:color="auto" w:fill="auto"/>
            <w:noWrap/>
            <w:vAlign w:val="center"/>
            <w:hideMark/>
          </w:tcPr>
          <w:p w14:paraId="448E57DC"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447.0933</w:t>
            </w:r>
          </w:p>
        </w:tc>
        <w:tc>
          <w:tcPr>
            <w:tcW w:w="609" w:type="pct"/>
            <w:shd w:val="clear" w:color="auto" w:fill="auto"/>
            <w:noWrap/>
            <w:vAlign w:val="center"/>
            <w:hideMark/>
          </w:tcPr>
          <w:p w14:paraId="23CD5F47"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447.0928</w:t>
            </w:r>
          </w:p>
        </w:tc>
        <w:tc>
          <w:tcPr>
            <w:tcW w:w="533" w:type="pct"/>
            <w:shd w:val="clear" w:color="auto" w:fill="auto"/>
            <w:noWrap/>
            <w:vAlign w:val="center"/>
            <w:hideMark/>
          </w:tcPr>
          <w:p w14:paraId="18CCDDCB"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-1.12</w:t>
            </w:r>
          </w:p>
        </w:tc>
        <w:tc>
          <w:tcPr>
            <w:tcW w:w="1554" w:type="pct"/>
            <w:vAlign w:val="center"/>
          </w:tcPr>
          <w:p w14:paraId="066574AA"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Luteolin-8-C-glucoside/ Luteolin-6-C-glucoside/ Kaempferol-3-O-glucoside</w:t>
            </w:r>
          </w:p>
        </w:tc>
      </w:tr>
      <w:tr w:rsidR="00997A5D" w:rsidRPr="00167546" w14:paraId="06E521AD" w14:textId="77777777" w:rsidTr="00C157B8">
        <w:trPr>
          <w:jc w:val="center"/>
        </w:trPr>
        <w:tc>
          <w:tcPr>
            <w:tcW w:w="403" w:type="pct"/>
            <w:shd w:val="clear" w:color="auto" w:fill="auto"/>
            <w:noWrap/>
            <w:vAlign w:val="center"/>
            <w:hideMark/>
          </w:tcPr>
          <w:p w14:paraId="1A95207B"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7</w:t>
            </w:r>
          </w:p>
        </w:tc>
        <w:tc>
          <w:tcPr>
            <w:tcW w:w="610" w:type="pct"/>
            <w:shd w:val="clear" w:color="auto" w:fill="auto"/>
            <w:noWrap/>
            <w:vAlign w:val="center"/>
            <w:hideMark/>
          </w:tcPr>
          <w:p w14:paraId="660BCE72" w14:textId="77777777" w:rsidR="00997A5D" w:rsidRPr="00167546" w:rsidRDefault="00997A5D" w:rsidP="00C157B8">
            <w:pPr>
              <w:spacing w:before="60" w:after="60" w:line="480" w:lineRule="auto"/>
              <w:jc w:val="center"/>
              <w:rPr>
                <w:rFonts w:ascii="Arial" w:hAnsi="Arial" w:cs="Arial"/>
                <w:color w:val="000000"/>
                <w:spacing w:val="-6"/>
                <w:sz w:val="20"/>
                <w:szCs w:val="20"/>
              </w:rPr>
            </w:pPr>
            <w:r w:rsidRPr="00167546">
              <w:rPr>
                <w:rFonts w:ascii="Arial" w:hAnsi="Arial" w:cs="Arial"/>
                <w:color w:val="000000"/>
                <w:spacing w:val="-6"/>
                <w:sz w:val="20"/>
                <w:szCs w:val="20"/>
              </w:rPr>
              <w:t>16.8, 17.2, 17.5, 18.1, 18.5</w:t>
            </w:r>
          </w:p>
        </w:tc>
        <w:tc>
          <w:tcPr>
            <w:tcW w:w="683" w:type="pct"/>
            <w:shd w:val="clear" w:color="auto" w:fill="auto"/>
            <w:noWrap/>
            <w:vAlign w:val="center"/>
            <w:hideMark/>
          </w:tcPr>
          <w:p w14:paraId="6DFBDB5B"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25</w:t>
            </w:r>
            <w:r w:rsidRPr="00167546">
              <w:rPr>
                <w:rFonts w:ascii="Arial" w:hAnsi="Arial" w:cs="Arial"/>
                <w:color w:val="000000"/>
                <w:sz w:val="20"/>
                <w:szCs w:val="20"/>
              </w:rPr>
              <w:t>H</w:t>
            </w:r>
            <w:r w:rsidRPr="00167546">
              <w:rPr>
                <w:rFonts w:ascii="Arial" w:hAnsi="Arial" w:cs="Arial"/>
                <w:color w:val="000000"/>
                <w:sz w:val="20"/>
                <w:szCs w:val="20"/>
                <w:vertAlign w:val="subscript"/>
              </w:rPr>
              <w:t>26</w:t>
            </w:r>
            <w:r w:rsidRPr="00167546">
              <w:rPr>
                <w:rFonts w:ascii="Arial" w:hAnsi="Arial" w:cs="Arial"/>
                <w:color w:val="000000"/>
                <w:sz w:val="20"/>
                <w:szCs w:val="20"/>
              </w:rPr>
              <w:t>O</w:t>
            </w:r>
            <w:r w:rsidRPr="00167546">
              <w:rPr>
                <w:rFonts w:ascii="Arial" w:hAnsi="Arial" w:cs="Arial"/>
                <w:color w:val="000000"/>
                <w:sz w:val="20"/>
                <w:szCs w:val="20"/>
                <w:vertAlign w:val="subscript"/>
              </w:rPr>
              <w:t>13</w:t>
            </w:r>
          </w:p>
        </w:tc>
        <w:tc>
          <w:tcPr>
            <w:tcW w:w="608" w:type="pct"/>
            <w:shd w:val="clear" w:color="auto" w:fill="auto"/>
            <w:noWrap/>
            <w:vAlign w:val="center"/>
            <w:hideMark/>
          </w:tcPr>
          <w:p w14:paraId="721B1A22"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533.1301</w:t>
            </w:r>
          </w:p>
        </w:tc>
        <w:tc>
          <w:tcPr>
            <w:tcW w:w="609" w:type="pct"/>
            <w:shd w:val="clear" w:color="auto" w:fill="auto"/>
            <w:noWrap/>
            <w:vAlign w:val="center"/>
            <w:hideMark/>
          </w:tcPr>
          <w:p w14:paraId="14C66FBC"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533.1303</w:t>
            </w:r>
          </w:p>
        </w:tc>
        <w:tc>
          <w:tcPr>
            <w:tcW w:w="533" w:type="pct"/>
            <w:shd w:val="clear" w:color="auto" w:fill="auto"/>
            <w:noWrap/>
            <w:vAlign w:val="center"/>
            <w:hideMark/>
          </w:tcPr>
          <w:p w14:paraId="1BB929A2"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0.38</w:t>
            </w:r>
          </w:p>
        </w:tc>
        <w:tc>
          <w:tcPr>
            <w:tcW w:w="1554" w:type="pct"/>
            <w:vAlign w:val="center"/>
          </w:tcPr>
          <w:p w14:paraId="297EF762" w14:textId="77777777" w:rsidR="00997A5D" w:rsidRPr="00167546" w:rsidRDefault="00997A5D" w:rsidP="00C157B8">
            <w:pPr>
              <w:spacing w:before="60" w:after="60" w:line="480" w:lineRule="auto"/>
              <w:rPr>
                <w:rFonts w:ascii="Arial" w:hAnsi="Arial" w:cs="Arial"/>
                <w:color w:val="000000"/>
                <w:spacing w:val="-6"/>
                <w:sz w:val="20"/>
                <w:szCs w:val="20"/>
              </w:rPr>
            </w:pPr>
            <w:r w:rsidRPr="00167546">
              <w:rPr>
                <w:rFonts w:ascii="Arial" w:hAnsi="Arial" w:cs="Arial"/>
                <w:color w:val="000000"/>
                <w:spacing w:val="-6"/>
                <w:sz w:val="20"/>
                <w:szCs w:val="20"/>
              </w:rPr>
              <w:t>Apigenin-6,8-di-C-arabinoside</w:t>
            </w:r>
          </w:p>
        </w:tc>
      </w:tr>
      <w:tr w:rsidR="00997A5D" w:rsidRPr="00167546" w14:paraId="07E2A54D" w14:textId="77777777" w:rsidTr="00C157B8">
        <w:trPr>
          <w:jc w:val="center"/>
        </w:trPr>
        <w:tc>
          <w:tcPr>
            <w:tcW w:w="403" w:type="pct"/>
            <w:shd w:val="clear" w:color="auto" w:fill="auto"/>
            <w:noWrap/>
            <w:vAlign w:val="center"/>
            <w:hideMark/>
          </w:tcPr>
          <w:p w14:paraId="1F49B0BB"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8</w:t>
            </w:r>
          </w:p>
        </w:tc>
        <w:tc>
          <w:tcPr>
            <w:tcW w:w="610" w:type="pct"/>
            <w:shd w:val="clear" w:color="auto" w:fill="auto"/>
            <w:noWrap/>
            <w:vAlign w:val="center"/>
            <w:hideMark/>
          </w:tcPr>
          <w:p w14:paraId="690DC954"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18.1, 18.3</w:t>
            </w:r>
          </w:p>
        </w:tc>
        <w:tc>
          <w:tcPr>
            <w:tcW w:w="683" w:type="pct"/>
            <w:shd w:val="clear" w:color="auto" w:fill="auto"/>
            <w:noWrap/>
            <w:vAlign w:val="center"/>
            <w:hideMark/>
          </w:tcPr>
          <w:p w14:paraId="50F17BB9"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21</w:t>
            </w:r>
            <w:r w:rsidRPr="00167546">
              <w:rPr>
                <w:rFonts w:ascii="Arial" w:hAnsi="Arial" w:cs="Arial"/>
                <w:color w:val="000000"/>
                <w:sz w:val="20"/>
                <w:szCs w:val="20"/>
              </w:rPr>
              <w:t>H</w:t>
            </w:r>
            <w:r w:rsidRPr="00167546">
              <w:rPr>
                <w:rFonts w:ascii="Arial" w:hAnsi="Arial" w:cs="Arial"/>
                <w:color w:val="000000"/>
                <w:sz w:val="20"/>
                <w:szCs w:val="20"/>
                <w:vertAlign w:val="subscript"/>
              </w:rPr>
              <w:t>20</w:t>
            </w:r>
            <w:r w:rsidRPr="00167546">
              <w:rPr>
                <w:rFonts w:ascii="Arial" w:hAnsi="Arial" w:cs="Arial"/>
                <w:color w:val="000000"/>
                <w:sz w:val="20"/>
                <w:szCs w:val="20"/>
              </w:rPr>
              <w:t>O</w:t>
            </w:r>
            <w:r w:rsidRPr="00167546">
              <w:rPr>
                <w:rFonts w:ascii="Arial" w:hAnsi="Arial" w:cs="Arial"/>
                <w:color w:val="000000"/>
                <w:sz w:val="20"/>
                <w:szCs w:val="20"/>
                <w:vertAlign w:val="subscript"/>
              </w:rPr>
              <w:t>10</w:t>
            </w:r>
          </w:p>
        </w:tc>
        <w:tc>
          <w:tcPr>
            <w:tcW w:w="608" w:type="pct"/>
            <w:shd w:val="clear" w:color="auto" w:fill="auto"/>
            <w:noWrap/>
            <w:vAlign w:val="center"/>
            <w:hideMark/>
          </w:tcPr>
          <w:p w14:paraId="5B244ABD"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431.0984</w:t>
            </w:r>
          </w:p>
        </w:tc>
        <w:tc>
          <w:tcPr>
            <w:tcW w:w="609" w:type="pct"/>
            <w:shd w:val="clear" w:color="auto" w:fill="auto"/>
            <w:noWrap/>
            <w:vAlign w:val="center"/>
            <w:hideMark/>
          </w:tcPr>
          <w:p w14:paraId="1A540908"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431.0983</w:t>
            </w:r>
          </w:p>
        </w:tc>
        <w:tc>
          <w:tcPr>
            <w:tcW w:w="533" w:type="pct"/>
            <w:shd w:val="clear" w:color="auto" w:fill="auto"/>
            <w:noWrap/>
            <w:vAlign w:val="center"/>
            <w:hideMark/>
          </w:tcPr>
          <w:p w14:paraId="24EB3F9D"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-0.23</w:t>
            </w:r>
          </w:p>
        </w:tc>
        <w:tc>
          <w:tcPr>
            <w:tcW w:w="1554" w:type="pct"/>
            <w:vAlign w:val="center"/>
          </w:tcPr>
          <w:p w14:paraId="6FF43D5A"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Apigenin-6-C-glucoside/ Apigenin-8-C-glucoside</w:t>
            </w:r>
          </w:p>
        </w:tc>
      </w:tr>
      <w:tr w:rsidR="00997A5D" w:rsidRPr="00167546" w14:paraId="2EADA8B1" w14:textId="77777777" w:rsidTr="00C157B8">
        <w:trPr>
          <w:jc w:val="center"/>
        </w:trPr>
        <w:tc>
          <w:tcPr>
            <w:tcW w:w="403" w:type="pct"/>
            <w:shd w:val="clear" w:color="auto" w:fill="auto"/>
            <w:noWrap/>
            <w:vAlign w:val="center"/>
            <w:hideMark/>
          </w:tcPr>
          <w:p w14:paraId="1CEC3B57"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9</w:t>
            </w:r>
          </w:p>
        </w:tc>
        <w:tc>
          <w:tcPr>
            <w:tcW w:w="610" w:type="pct"/>
            <w:shd w:val="clear" w:color="auto" w:fill="auto"/>
            <w:noWrap/>
            <w:vAlign w:val="center"/>
            <w:hideMark/>
          </w:tcPr>
          <w:p w14:paraId="2DAD2D35"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18.6, 19.3</w:t>
            </w:r>
          </w:p>
        </w:tc>
        <w:tc>
          <w:tcPr>
            <w:tcW w:w="683" w:type="pct"/>
            <w:shd w:val="clear" w:color="auto" w:fill="auto"/>
            <w:noWrap/>
            <w:vAlign w:val="center"/>
            <w:hideMark/>
          </w:tcPr>
          <w:p w14:paraId="67AC115C"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20</w:t>
            </w:r>
            <w:r w:rsidRPr="00167546">
              <w:rPr>
                <w:rFonts w:ascii="Arial" w:hAnsi="Arial" w:cs="Arial"/>
                <w:color w:val="000000"/>
                <w:sz w:val="20"/>
                <w:szCs w:val="20"/>
              </w:rPr>
              <w:t>H</w:t>
            </w:r>
            <w:r w:rsidRPr="00167546">
              <w:rPr>
                <w:rFonts w:ascii="Arial" w:hAnsi="Arial" w:cs="Arial"/>
                <w:color w:val="000000"/>
                <w:sz w:val="20"/>
                <w:szCs w:val="20"/>
                <w:vertAlign w:val="subscript"/>
              </w:rPr>
              <w:t>18</w:t>
            </w:r>
            <w:r w:rsidRPr="00167546">
              <w:rPr>
                <w:rFonts w:ascii="Arial" w:hAnsi="Arial" w:cs="Arial"/>
                <w:color w:val="000000"/>
                <w:sz w:val="20"/>
                <w:szCs w:val="20"/>
              </w:rPr>
              <w:t>O</w:t>
            </w:r>
            <w:r w:rsidRPr="00167546">
              <w:rPr>
                <w:rFonts w:ascii="Arial" w:hAnsi="Arial" w:cs="Arial"/>
                <w:color w:val="000000"/>
                <w:sz w:val="20"/>
                <w:szCs w:val="20"/>
                <w:vertAlign w:val="subscript"/>
              </w:rPr>
              <w:t>10</w:t>
            </w:r>
          </w:p>
        </w:tc>
        <w:tc>
          <w:tcPr>
            <w:tcW w:w="608" w:type="pct"/>
            <w:shd w:val="clear" w:color="auto" w:fill="auto"/>
            <w:noWrap/>
            <w:vAlign w:val="center"/>
            <w:hideMark/>
          </w:tcPr>
          <w:p w14:paraId="4F22DEB9"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417.0827</w:t>
            </w:r>
          </w:p>
        </w:tc>
        <w:tc>
          <w:tcPr>
            <w:tcW w:w="609" w:type="pct"/>
            <w:shd w:val="clear" w:color="auto" w:fill="auto"/>
            <w:noWrap/>
            <w:vAlign w:val="center"/>
            <w:hideMark/>
          </w:tcPr>
          <w:p w14:paraId="07C7330E"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417.0831</w:t>
            </w:r>
          </w:p>
        </w:tc>
        <w:tc>
          <w:tcPr>
            <w:tcW w:w="533" w:type="pct"/>
            <w:shd w:val="clear" w:color="auto" w:fill="auto"/>
            <w:noWrap/>
            <w:vAlign w:val="center"/>
            <w:hideMark/>
          </w:tcPr>
          <w:p w14:paraId="7FFE5D60"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0.96</w:t>
            </w:r>
          </w:p>
        </w:tc>
        <w:tc>
          <w:tcPr>
            <w:tcW w:w="1554" w:type="pct"/>
            <w:vAlign w:val="center"/>
          </w:tcPr>
          <w:p w14:paraId="5C511C0B"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Luteolin-8-C-arabinoside/ Luteolin-6-C-arabinoside</w:t>
            </w:r>
          </w:p>
        </w:tc>
      </w:tr>
      <w:tr w:rsidR="00997A5D" w:rsidRPr="00167546" w14:paraId="64373505" w14:textId="77777777" w:rsidTr="00C157B8">
        <w:trPr>
          <w:jc w:val="center"/>
        </w:trPr>
        <w:tc>
          <w:tcPr>
            <w:tcW w:w="403" w:type="pct"/>
            <w:shd w:val="clear" w:color="auto" w:fill="auto"/>
            <w:noWrap/>
            <w:vAlign w:val="center"/>
            <w:hideMark/>
          </w:tcPr>
          <w:p w14:paraId="572D47D8"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10</w:t>
            </w:r>
          </w:p>
        </w:tc>
        <w:tc>
          <w:tcPr>
            <w:tcW w:w="610" w:type="pct"/>
            <w:shd w:val="clear" w:color="auto" w:fill="auto"/>
            <w:noWrap/>
            <w:vAlign w:val="center"/>
            <w:hideMark/>
          </w:tcPr>
          <w:p w14:paraId="7F2A167C"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18.7</w:t>
            </w:r>
          </w:p>
        </w:tc>
        <w:tc>
          <w:tcPr>
            <w:tcW w:w="683" w:type="pct"/>
            <w:shd w:val="clear" w:color="auto" w:fill="auto"/>
            <w:noWrap/>
            <w:vAlign w:val="center"/>
            <w:hideMark/>
          </w:tcPr>
          <w:p w14:paraId="0CAD9E44"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21</w:t>
            </w:r>
            <w:r w:rsidRPr="00167546">
              <w:rPr>
                <w:rFonts w:ascii="Arial" w:hAnsi="Arial" w:cs="Arial"/>
                <w:color w:val="000000"/>
                <w:sz w:val="20"/>
                <w:szCs w:val="20"/>
              </w:rPr>
              <w:t>H</w:t>
            </w:r>
            <w:r w:rsidRPr="00167546">
              <w:rPr>
                <w:rFonts w:ascii="Arial" w:hAnsi="Arial" w:cs="Arial"/>
                <w:color w:val="000000"/>
                <w:sz w:val="20"/>
                <w:szCs w:val="20"/>
                <w:vertAlign w:val="subscript"/>
              </w:rPr>
              <w:t>20</w:t>
            </w:r>
            <w:r w:rsidRPr="00167546">
              <w:rPr>
                <w:rFonts w:ascii="Arial" w:hAnsi="Arial" w:cs="Arial"/>
                <w:color w:val="000000"/>
                <w:sz w:val="20"/>
                <w:szCs w:val="20"/>
              </w:rPr>
              <w:t>O</w:t>
            </w:r>
            <w:r w:rsidRPr="00167546">
              <w:rPr>
                <w:rFonts w:ascii="Arial" w:hAnsi="Arial" w:cs="Arial"/>
                <w:color w:val="000000"/>
                <w:sz w:val="20"/>
                <w:szCs w:val="20"/>
                <w:vertAlign w:val="subscript"/>
              </w:rPr>
              <w:t>12</w:t>
            </w:r>
          </w:p>
        </w:tc>
        <w:tc>
          <w:tcPr>
            <w:tcW w:w="608" w:type="pct"/>
            <w:shd w:val="clear" w:color="auto" w:fill="auto"/>
            <w:noWrap/>
            <w:vAlign w:val="center"/>
            <w:hideMark/>
          </w:tcPr>
          <w:p w14:paraId="7B9D5D0F"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463.0882</w:t>
            </w:r>
          </w:p>
        </w:tc>
        <w:tc>
          <w:tcPr>
            <w:tcW w:w="609" w:type="pct"/>
            <w:shd w:val="clear" w:color="auto" w:fill="auto"/>
            <w:noWrap/>
            <w:vAlign w:val="center"/>
            <w:hideMark/>
          </w:tcPr>
          <w:p w14:paraId="5F07F7CB"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463.0881</w:t>
            </w:r>
          </w:p>
        </w:tc>
        <w:tc>
          <w:tcPr>
            <w:tcW w:w="533" w:type="pct"/>
            <w:shd w:val="clear" w:color="auto" w:fill="auto"/>
            <w:noWrap/>
            <w:vAlign w:val="center"/>
            <w:hideMark/>
          </w:tcPr>
          <w:p w14:paraId="4FB9FD96"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-0.22</w:t>
            </w:r>
          </w:p>
        </w:tc>
        <w:tc>
          <w:tcPr>
            <w:tcW w:w="1554" w:type="pct"/>
            <w:vAlign w:val="center"/>
          </w:tcPr>
          <w:p w14:paraId="2D425157"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Quercetin-3-O-glucoside</w:t>
            </w:r>
          </w:p>
        </w:tc>
      </w:tr>
      <w:tr w:rsidR="00997A5D" w:rsidRPr="00167546" w14:paraId="22140122" w14:textId="77777777" w:rsidTr="00C157B8">
        <w:trPr>
          <w:jc w:val="center"/>
        </w:trPr>
        <w:tc>
          <w:tcPr>
            <w:tcW w:w="403" w:type="pct"/>
            <w:shd w:val="clear" w:color="auto" w:fill="auto"/>
            <w:noWrap/>
            <w:vAlign w:val="center"/>
            <w:hideMark/>
          </w:tcPr>
          <w:p w14:paraId="34F9E66C"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11</w:t>
            </w:r>
          </w:p>
        </w:tc>
        <w:tc>
          <w:tcPr>
            <w:tcW w:w="610" w:type="pct"/>
            <w:shd w:val="clear" w:color="auto" w:fill="auto"/>
            <w:noWrap/>
            <w:vAlign w:val="center"/>
            <w:hideMark/>
          </w:tcPr>
          <w:p w14:paraId="72097C65"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19.7, 20.1</w:t>
            </w:r>
          </w:p>
        </w:tc>
        <w:tc>
          <w:tcPr>
            <w:tcW w:w="683" w:type="pct"/>
            <w:shd w:val="clear" w:color="auto" w:fill="auto"/>
            <w:noWrap/>
            <w:vAlign w:val="center"/>
            <w:hideMark/>
          </w:tcPr>
          <w:p w14:paraId="70F6339D"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C</w:t>
            </w:r>
            <w:r w:rsidRPr="00167546">
              <w:rPr>
                <w:rFonts w:ascii="Arial" w:hAnsi="Arial" w:cs="Arial"/>
                <w:color w:val="000000"/>
                <w:sz w:val="20"/>
                <w:szCs w:val="20"/>
                <w:vertAlign w:val="subscript"/>
              </w:rPr>
              <w:t>20</w:t>
            </w:r>
            <w:r w:rsidRPr="00167546">
              <w:rPr>
                <w:rFonts w:ascii="Arial" w:hAnsi="Arial" w:cs="Arial"/>
                <w:color w:val="000000"/>
                <w:sz w:val="20"/>
                <w:szCs w:val="20"/>
              </w:rPr>
              <w:t>H</w:t>
            </w:r>
            <w:r w:rsidRPr="00167546">
              <w:rPr>
                <w:rFonts w:ascii="Arial" w:hAnsi="Arial" w:cs="Arial"/>
                <w:color w:val="000000"/>
                <w:sz w:val="20"/>
                <w:szCs w:val="20"/>
                <w:vertAlign w:val="subscript"/>
              </w:rPr>
              <w:t>18</w:t>
            </w:r>
            <w:r w:rsidRPr="00167546">
              <w:rPr>
                <w:rFonts w:ascii="Arial" w:hAnsi="Arial" w:cs="Arial"/>
                <w:color w:val="000000"/>
                <w:sz w:val="20"/>
                <w:szCs w:val="20"/>
              </w:rPr>
              <w:t>O</w:t>
            </w:r>
            <w:r w:rsidRPr="00167546">
              <w:rPr>
                <w:rFonts w:ascii="Arial" w:hAnsi="Arial" w:cs="Arial"/>
                <w:color w:val="000000"/>
                <w:sz w:val="20"/>
                <w:szCs w:val="20"/>
                <w:vertAlign w:val="subscript"/>
              </w:rPr>
              <w:t>9</w:t>
            </w:r>
          </w:p>
        </w:tc>
        <w:tc>
          <w:tcPr>
            <w:tcW w:w="608" w:type="pct"/>
            <w:shd w:val="clear" w:color="auto" w:fill="auto"/>
            <w:noWrap/>
            <w:vAlign w:val="center"/>
            <w:hideMark/>
          </w:tcPr>
          <w:p w14:paraId="3026F0DE"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401.0878</w:t>
            </w:r>
          </w:p>
        </w:tc>
        <w:tc>
          <w:tcPr>
            <w:tcW w:w="609" w:type="pct"/>
            <w:shd w:val="clear" w:color="auto" w:fill="auto"/>
            <w:noWrap/>
            <w:vAlign w:val="center"/>
            <w:hideMark/>
          </w:tcPr>
          <w:p w14:paraId="60F33E9A"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401.0873</w:t>
            </w:r>
          </w:p>
        </w:tc>
        <w:tc>
          <w:tcPr>
            <w:tcW w:w="533" w:type="pct"/>
            <w:shd w:val="clear" w:color="auto" w:fill="auto"/>
            <w:noWrap/>
            <w:vAlign w:val="center"/>
            <w:hideMark/>
          </w:tcPr>
          <w:p w14:paraId="6EB57E7F" w14:textId="77777777" w:rsidR="00997A5D" w:rsidRPr="00167546" w:rsidRDefault="00997A5D" w:rsidP="00C157B8">
            <w:pPr>
              <w:spacing w:before="60" w:after="60" w:line="480" w:lineRule="auto"/>
              <w:jc w:val="center"/>
              <w:rPr>
                <w:rFonts w:ascii="Arial" w:hAnsi="Arial" w:cs="Arial"/>
                <w:color w:val="000000"/>
                <w:sz w:val="20"/>
                <w:szCs w:val="20"/>
              </w:rPr>
            </w:pPr>
            <w:r w:rsidRPr="00167546">
              <w:rPr>
                <w:rFonts w:ascii="Arial" w:hAnsi="Arial" w:cs="Arial"/>
                <w:color w:val="000000"/>
                <w:sz w:val="20"/>
                <w:szCs w:val="20"/>
              </w:rPr>
              <w:t>-1.25</w:t>
            </w:r>
          </w:p>
        </w:tc>
        <w:tc>
          <w:tcPr>
            <w:tcW w:w="1554" w:type="pct"/>
            <w:vAlign w:val="center"/>
          </w:tcPr>
          <w:p w14:paraId="43C2C533" w14:textId="77777777" w:rsidR="00997A5D" w:rsidRPr="00167546" w:rsidRDefault="00997A5D" w:rsidP="00C157B8">
            <w:pPr>
              <w:spacing w:before="60" w:after="60" w:line="480" w:lineRule="auto"/>
              <w:rPr>
                <w:rFonts w:ascii="Arial" w:hAnsi="Arial" w:cs="Arial"/>
                <w:color w:val="000000"/>
                <w:sz w:val="20"/>
                <w:szCs w:val="20"/>
              </w:rPr>
            </w:pPr>
            <w:r w:rsidRPr="00167546">
              <w:rPr>
                <w:rFonts w:ascii="Arial" w:hAnsi="Arial" w:cs="Arial"/>
                <w:color w:val="000000"/>
                <w:sz w:val="20"/>
                <w:szCs w:val="20"/>
              </w:rPr>
              <w:t>Apigenin-8-C-arabinoside/ Apigenin-6-C-arabinoside</w:t>
            </w:r>
          </w:p>
        </w:tc>
      </w:tr>
    </w:tbl>
    <w:p w14:paraId="747C3364" w14:textId="77777777" w:rsidR="00997A5D" w:rsidRDefault="00997A5D" w:rsidP="00997A5D">
      <w:pPr>
        <w:spacing w:line="480" w:lineRule="auto"/>
      </w:pPr>
    </w:p>
    <w:p w14:paraId="5BCC6C73" w14:textId="77777777" w:rsidR="00997A5D" w:rsidRPr="00B17B9B" w:rsidRDefault="00997A5D" w:rsidP="00997A5D">
      <w:pPr>
        <w:suppressLineNumbers/>
        <w:spacing w:line="480" w:lineRule="auto"/>
        <w:jc w:val="both"/>
        <w:rPr>
          <w:rFonts w:ascii="Arial" w:eastAsia="Times New Roman" w:hAnsi="Arial" w:cs="Arial"/>
          <w:kern w:val="28"/>
          <w:sz w:val="20"/>
          <w:szCs w:val="20"/>
        </w:rPr>
      </w:pPr>
      <w:r w:rsidRPr="00B17B9B">
        <w:rPr>
          <w:rFonts w:ascii="Arial" w:eastAsia="Times New Roman" w:hAnsi="Arial" w:cs="Arial"/>
          <w:b/>
          <w:kern w:val="28"/>
          <w:sz w:val="20"/>
          <w:szCs w:val="20"/>
        </w:rPr>
        <w:lastRenderedPageBreak/>
        <w:t>Table S3.</w:t>
      </w:r>
      <w:r>
        <w:rPr>
          <w:rFonts w:ascii="Arial" w:eastAsia="Times New Roman" w:hAnsi="Arial" w:cs="Arial"/>
          <w:b/>
          <w:kern w:val="28"/>
          <w:sz w:val="20"/>
          <w:szCs w:val="20"/>
        </w:rPr>
        <w:t xml:space="preserve"> </w:t>
      </w:r>
      <w:r w:rsidRPr="00B17B9B">
        <w:rPr>
          <w:rFonts w:ascii="Arial" w:eastAsia="Times New Roman" w:hAnsi="Arial" w:cs="Arial"/>
          <w:b/>
          <w:kern w:val="28"/>
          <w:sz w:val="20"/>
          <w:szCs w:val="20"/>
        </w:rPr>
        <w:t>AV attenuates increased Th2 cytokines levels.</w:t>
      </w:r>
      <w:r w:rsidRPr="00B17B9B">
        <w:rPr>
          <w:rFonts w:ascii="Arial" w:eastAsia="Times New Roman" w:hAnsi="Arial" w:cs="Arial"/>
          <w:kern w:val="28"/>
          <w:sz w:val="20"/>
          <w:szCs w:val="20"/>
        </w:rPr>
        <w:t xml:space="preserve"> Levels of IL-4, 5 and 13 levels in lung homogenate measured by ELISA in acute asthmatic mouse. Data are shown as mean, </w:t>
      </w:r>
      <w:r w:rsidRPr="00B17B9B">
        <w:rPr>
          <w:rFonts w:ascii="Arial" w:eastAsia="Times New Roman" w:hAnsi="Arial" w:cs="Arial"/>
          <w:kern w:val="28"/>
          <w:sz w:val="20"/>
          <w:szCs w:val="20"/>
        </w:rPr>
        <w:sym w:font="Symbol" w:char="F0B1"/>
      </w:r>
      <w:r w:rsidRPr="00B17B9B">
        <w:rPr>
          <w:rFonts w:ascii="Arial" w:eastAsia="Times New Roman" w:hAnsi="Arial" w:cs="Arial"/>
          <w:kern w:val="28"/>
          <w:sz w:val="20"/>
          <w:szCs w:val="20"/>
        </w:rPr>
        <w:t xml:space="preserve"> SEM. *P </w:t>
      </w:r>
      <w:r w:rsidRPr="00B17B9B">
        <w:rPr>
          <w:rFonts w:ascii="Arial" w:eastAsia="Times New Roman" w:hAnsi="Arial" w:cs="Arial"/>
          <w:kern w:val="28"/>
          <w:sz w:val="20"/>
          <w:szCs w:val="20"/>
        </w:rPr>
        <w:sym w:font="Symbol" w:char="F0A3"/>
      </w:r>
      <w:r w:rsidRPr="00B17B9B">
        <w:rPr>
          <w:rFonts w:ascii="Arial" w:eastAsia="Times New Roman" w:hAnsi="Arial" w:cs="Arial"/>
          <w:kern w:val="28"/>
          <w:sz w:val="20"/>
          <w:szCs w:val="20"/>
        </w:rPr>
        <w:t>0.05, **P</w:t>
      </w:r>
      <w:r w:rsidRPr="00B17B9B">
        <w:rPr>
          <w:rFonts w:ascii="Arial" w:eastAsia="Times New Roman" w:hAnsi="Arial" w:cs="Arial"/>
          <w:kern w:val="28"/>
          <w:sz w:val="20"/>
          <w:szCs w:val="20"/>
        </w:rPr>
        <w:sym w:font="Symbol" w:char="F0A3"/>
      </w:r>
      <w:r w:rsidRPr="00B17B9B">
        <w:rPr>
          <w:rFonts w:ascii="Arial" w:eastAsia="Times New Roman" w:hAnsi="Arial" w:cs="Arial"/>
          <w:kern w:val="28"/>
          <w:sz w:val="20"/>
          <w:szCs w:val="20"/>
        </w:rPr>
        <w:t>0.01 and ***P</w:t>
      </w:r>
      <w:r w:rsidRPr="00B17B9B">
        <w:rPr>
          <w:rFonts w:ascii="Arial" w:eastAsia="Times New Roman" w:hAnsi="Arial" w:cs="Arial"/>
          <w:kern w:val="28"/>
          <w:sz w:val="20"/>
          <w:szCs w:val="20"/>
        </w:rPr>
        <w:sym w:font="Symbol" w:char="F0A3"/>
      </w:r>
      <w:r w:rsidRPr="00B17B9B">
        <w:rPr>
          <w:rFonts w:ascii="Arial" w:eastAsia="Times New Roman" w:hAnsi="Arial" w:cs="Arial"/>
          <w:kern w:val="28"/>
          <w:sz w:val="20"/>
          <w:szCs w:val="20"/>
        </w:rPr>
        <w:t>0.001 compared Ova mice group (n = 4-7 per group).</w:t>
      </w:r>
    </w:p>
    <w:tbl>
      <w:tblPr>
        <w:tblStyle w:val="TableGrid"/>
        <w:tblW w:w="0" w:type="auto"/>
        <w:tblLook w:val="04A0" w:firstRow="1" w:lastRow="0" w:firstColumn="1" w:lastColumn="0" w:noHBand="0" w:noVBand="1"/>
      </w:tblPr>
      <w:tblGrid>
        <w:gridCol w:w="1860"/>
        <w:gridCol w:w="2080"/>
        <w:gridCol w:w="2180"/>
        <w:gridCol w:w="2180"/>
      </w:tblGrid>
      <w:tr w:rsidR="00997A5D" w:rsidRPr="00B17B9B" w14:paraId="6451F218" w14:textId="77777777" w:rsidTr="00C157B8">
        <w:trPr>
          <w:trHeight w:val="340"/>
        </w:trPr>
        <w:tc>
          <w:tcPr>
            <w:tcW w:w="1860" w:type="dxa"/>
            <w:hideMark/>
          </w:tcPr>
          <w:p w14:paraId="4C6971FC" w14:textId="77777777" w:rsidR="00997A5D" w:rsidRPr="00B17B9B" w:rsidRDefault="00997A5D" w:rsidP="00C157B8">
            <w:pPr>
              <w:suppressLineNumbers/>
              <w:spacing w:line="480" w:lineRule="auto"/>
              <w:jc w:val="both"/>
              <w:rPr>
                <w:rFonts w:ascii="Arial" w:eastAsia="Calibri" w:hAnsi="Arial" w:cs="Arial"/>
                <w:b/>
                <w:bCs/>
                <w:sz w:val="20"/>
                <w:szCs w:val="20"/>
                <w:lang w:val="en-GB"/>
              </w:rPr>
            </w:pPr>
            <w:r w:rsidRPr="00B17B9B">
              <w:rPr>
                <w:rFonts w:ascii="Arial" w:eastAsia="Calibri" w:hAnsi="Arial" w:cs="Arial"/>
                <w:b/>
                <w:bCs/>
                <w:sz w:val="20"/>
                <w:szCs w:val="20"/>
              </w:rPr>
              <w:t>Mice Group</w:t>
            </w:r>
          </w:p>
        </w:tc>
        <w:tc>
          <w:tcPr>
            <w:tcW w:w="2080" w:type="dxa"/>
            <w:hideMark/>
          </w:tcPr>
          <w:p w14:paraId="0446B435" w14:textId="77777777" w:rsidR="00997A5D" w:rsidRPr="00B17B9B" w:rsidRDefault="00997A5D" w:rsidP="00C157B8">
            <w:pPr>
              <w:suppressLineNumbers/>
              <w:spacing w:line="480" w:lineRule="auto"/>
              <w:jc w:val="both"/>
              <w:rPr>
                <w:rFonts w:ascii="Arial" w:eastAsia="Calibri" w:hAnsi="Arial" w:cs="Arial"/>
                <w:b/>
                <w:bCs/>
                <w:sz w:val="20"/>
                <w:szCs w:val="20"/>
              </w:rPr>
            </w:pPr>
            <w:r w:rsidRPr="00B17B9B">
              <w:rPr>
                <w:rFonts w:ascii="Arial" w:eastAsia="Calibri" w:hAnsi="Arial" w:cs="Arial"/>
                <w:b/>
                <w:bCs/>
                <w:sz w:val="20"/>
                <w:szCs w:val="20"/>
              </w:rPr>
              <w:t xml:space="preserve">IL-4 levels </w:t>
            </w:r>
          </w:p>
        </w:tc>
        <w:tc>
          <w:tcPr>
            <w:tcW w:w="2180" w:type="dxa"/>
            <w:hideMark/>
          </w:tcPr>
          <w:p w14:paraId="277BF8B2" w14:textId="77777777" w:rsidR="00997A5D" w:rsidRPr="00B17B9B" w:rsidRDefault="00997A5D" w:rsidP="00C157B8">
            <w:pPr>
              <w:suppressLineNumbers/>
              <w:spacing w:line="480" w:lineRule="auto"/>
              <w:jc w:val="both"/>
              <w:rPr>
                <w:rFonts w:ascii="Arial" w:eastAsia="Calibri" w:hAnsi="Arial" w:cs="Arial"/>
                <w:b/>
                <w:bCs/>
                <w:sz w:val="20"/>
                <w:szCs w:val="20"/>
              </w:rPr>
            </w:pPr>
            <w:r w:rsidRPr="00B17B9B">
              <w:rPr>
                <w:rFonts w:ascii="Arial" w:eastAsia="Calibri" w:hAnsi="Arial" w:cs="Arial"/>
                <w:b/>
                <w:bCs/>
                <w:sz w:val="20"/>
                <w:szCs w:val="20"/>
              </w:rPr>
              <w:t xml:space="preserve">IL-5 levels </w:t>
            </w:r>
          </w:p>
        </w:tc>
        <w:tc>
          <w:tcPr>
            <w:tcW w:w="2180" w:type="dxa"/>
            <w:hideMark/>
          </w:tcPr>
          <w:p w14:paraId="5A009B48" w14:textId="77777777" w:rsidR="00997A5D" w:rsidRPr="00B17B9B" w:rsidRDefault="00997A5D" w:rsidP="00C157B8">
            <w:pPr>
              <w:suppressLineNumbers/>
              <w:spacing w:line="480" w:lineRule="auto"/>
              <w:jc w:val="both"/>
              <w:rPr>
                <w:rFonts w:ascii="Arial" w:eastAsia="Calibri" w:hAnsi="Arial" w:cs="Arial"/>
                <w:b/>
                <w:bCs/>
                <w:sz w:val="20"/>
                <w:szCs w:val="20"/>
              </w:rPr>
            </w:pPr>
            <w:r w:rsidRPr="00B17B9B">
              <w:rPr>
                <w:rFonts w:ascii="Arial" w:eastAsia="Calibri" w:hAnsi="Arial" w:cs="Arial"/>
                <w:b/>
                <w:bCs/>
                <w:sz w:val="20"/>
                <w:szCs w:val="20"/>
              </w:rPr>
              <w:t xml:space="preserve">IL-13 levels </w:t>
            </w:r>
          </w:p>
        </w:tc>
      </w:tr>
      <w:tr w:rsidR="00997A5D" w:rsidRPr="00B17B9B" w14:paraId="6F340C33" w14:textId="77777777" w:rsidTr="00C157B8">
        <w:trPr>
          <w:trHeight w:val="340"/>
        </w:trPr>
        <w:tc>
          <w:tcPr>
            <w:tcW w:w="1860" w:type="dxa"/>
            <w:hideMark/>
          </w:tcPr>
          <w:p w14:paraId="36C173DD"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SHAM</w:t>
            </w:r>
          </w:p>
        </w:tc>
        <w:tc>
          <w:tcPr>
            <w:tcW w:w="2080" w:type="dxa"/>
            <w:hideMark/>
          </w:tcPr>
          <w:p w14:paraId="3686A367"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72.75(±13.56)*</w:t>
            </w:r>
          </w:p>
        </w:tc>
        <w:tc>
          <w:tcPr>
            <w:tcW w:w="2180" w:type="dxa"/>
            <w:noWrap/>
            <w:hideMark/>
          </w:tcPr>
          <w:p w14:paraId="66377025"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115.08(±34.05)*</w:t>
            </w:r>
          </w:p>
        </w:tc>
        <w:tc>
          <w:tcPr>
            <w:tcW w:w="2180" w:type="dxa"/>
            <w:noWrap/>
            <w:hideMark/>
          </w:tcPr>
          <w:p w14:paraId="77D63173"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147.04(±29.73)*</w:t>
            </w:r>
          </w:p>
        </w:tc>
      </w:tr>
      <w:tr w:rsidR="00997A5D" w:rsidRPr="00B17B9B" w14:paraId="1675D54C" w14:textId="77777777" w:rsidTr="00C157B8">
        <w:trPr>
          <w:trHeight w:val="340"/>
        </w:trPr>
        <w:tc>
          <w:tcPr>
            <w:tcW w:w="1860" w:type="dxa"/>
            <w:hideMark/>
          </w:tcPr>
          <w:p w14:paraId="3AC4F172"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OVA</w:t>
            </w:r>
          </w:p>
        </w:tc>
        <w:tc>
          <w:tcPr>
            <w:tcW w:w="2080" w:type="dxa"/>
            <w:hideMark/>
          </w:tcPr>
          <w:p w14:paraId="306F7210"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124.02(±11.45)</w:t>
            </w:r>
          </w:p>
        </w:tc>
        <w:tc>
          <w:tcPr>
            <w:tcW w:w="2180" w:type="dxa"/>
            <w:noWrap/>
            <w:hideMark/>
          </w:tcPr>
          <w:p w14:paraId="3E77ACE0"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220.33(±23.64)</w:t>
            </w:r>
          </w:p>
        </w:tc>
        <w:tc>
          <w:tcPr>
            <w:tcW w:w="2180" w:type="dxa"/>
            <w:noWrap/>
            <w:hideMark/>
          </w:tcPr>
          <w:p w14:paraId="102FD7C8"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275.89(±31.69)</w:t>
            </w:r>
          </w:p>
        </w:tc>
      </w:tr>
      <w:tr w:rsidR="00997A5D" w:rsidRPr="00B17B9B" w14:paraId="153DACCD" w14:textId="77777777" w:rsidTr="00C157B8">
        <w:trPr>
          <w:trHeight w:val="340"/>
        </w:trPr>
        <w:tc>
          <w:tcPr>
            <w:tcW w:w="1860" w:type="dxa"/>
            <w:hideMark/>
          </w:tcPr>
          <w:p w14:paraId="41847C95"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OVA+DEX</w:t>
            </w:r>
          </w:p>
        </w:tc>
        <w:tc>
          <w:tcPr>
            <w:tcW w:w="2080" w:type="dxa"/>
            <w:hideMark/>
          </w:tcPr>
          <w:p w14:paraId="12AC2DE8"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70.04(±9.77)*</w:t>
            </w:r>
            <w:r w:rsidRPr="00B17B9B">
              <w:rPr>
                <w:rFonts w:ascii="Arial" w:eastAsia="Calibri" w:hAnsi="Arial" w:cs="Arial"/>
                <w:b/>
                <w:bCs/>
                <w:sz w:val="20"/>
                <w:szCs w:val="20"/>
              </w:rPr>
              <w:t>*</w:t>
            </w:r>
          </w:p>
        </w:tc>
        <w:tc>
          <w:tcPr>
            <w:tcW w:w="2180" w:type="dxa"/>
            <w:noWrap/>
            <w:hideMark/>
          </w:tcPr>
          <w:p w14:paraId="7269E596"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108.73(±16.62)**</w:t>
            </w:r>
          </w:p>
        </w:tc>
        <w:tc>
          <w:tcPr>
            <w:tcW w:w="2180" w:type="dxa"/>
            <w:noWrap/>
            <w:hideMark/>
          </w:tcPr>
          <w:p w14:paraId="63999032"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124.60(±22.12)**</w:t>
            </w:r>
          </w:p>
        </w:tc>
      </w:tr>
      <w:tr w:rsidR="00997A5D" w:rsidRPr="00B17B9B" w14:paraId="48593DB4" w14:textId="77777777" w:rsidTr="00C157B8">
        <w:trPr>
          <w:trHeight w:val="340"/>
        </w:trPr>
        <w:tc>
          <w:tcPr>
            <w:tcW w:w="1860" w:type="dxa"/>
            <w:hideMark/>
          </w:tcPr>
          <w:p w14:paraId="7A1AF7C1"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OVA+D0</w:t>
            </w:r>
          </w:p>
        </w:tc>
        <w:tc>
          <w:tcPr>
            <w:tcW w:w="2080" w:type="dxa"/>
            <w:hideMark/>
          </w:tcPr>
          <w:p w14:paraId="779FABA9"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48.26(±9.74)**</w:t>
            </w:r>
          </w:p>
        </w:tc>
        <w:tc>
          <w:tcPr>
            <w:tcW w:w="2180" w:type="dxa"/>
            <w:noWrap/>
            <w:hideMark/>
          </w:tcPr>
          <w:p w14:paraId="438958AC"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123.15(±24.48)*</w:t>
            </w:r>
          </w:p>
        </w:tc>
        <w:tc>
          <w:tcPr>
            <w:tcW w:w="2180" w:type="dxa"/>
            <w:noWrap/>
            <w:hideMark/>
          </w:tcPr>
          <w:p w14:paraId="071B9614"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114.79(±20.50)**</w:t>
            </w:r>
          </w:p>
        </w:tc>
      </w:tr>
      <w:tr w:rsidR="00997A5D" w:rsidRPr="00B17B9B" w14:paraId="23F8D3B8" w14:textId="77777777" w:rsidTr="00C157B8">
        <w:trPr>
          <w:trHeight w:val="340"/>
        </w:trPr>
        <w:tc>
          <w:tcPr>
            <w:tcW w:w="1860" w:type="dxa"/>
            <w:hideMark/>
          </w:tcPr>
          <w:p w14:paraId="22A10453"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OVA+D1</w:t>
            </w:r>
          </w:p>
        </w:tc>
        <w:tc>
          <w:tcPr>
            <w:tcW w:w="2080" w:type="dxa"/>
            <w:hideMark/>
          </w:tcPr>
          <w:p w14:paraId="162FA724"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43.64(±10.69)**</w:t>
            </w:r>
          </w:p>
        </w:tc>
        <w:tc>
          <w:tcPr>
            <w:tcW w:w="2180" w:type="dxa"/>
            <w:noWrap/>
            <w:hideMark/>
          </w:tcPr>
          <w:p w14:paraId="3D2BD264"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103.12(±27.12)*</w:t>
            </w:r>
          </w:p>
        </w:tc>
        <w:tc>
          <w:tcPr>
            <w:tcW w:w="2180" w:type="dxa"/>
            <w:noWrap/>
            <w:hideMark/>
          </w:tcPr>
          <w:p w14:paraId="553316A6"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87.37(±18.69)**</w:t>
            </w:r>
          </w:p>
        </w:tc>
      </w:tr>
      <w:tr w:rsidR="00997A5D" w:rsidRPr="00B17B9B" w14:paraId="72FFC8D3" w14:textId="77777777" w:rsidTr="00C157B8">
        <w:trPr>
          <w:trHeight w:val="340"/>
        </w:trPr>
        <w:tc>
          <w:tcPr>
            <w:tcW w:w="1860" w:type="dxa"/>
            <w:hideMark/>
          </w:tcPr>
          <w:p w14:paraId="1BDF0586"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OVA+D2</w:t>
            </w:r>
          </w:p>
        </w:tc>
        <w:tc>
          <w:tcPr>
            <w:tcW w:w="2080" w:type="dxa"/>
            <w:hideMark/>
          </w:tcPr>
          <w:p w14:paraId="55E3AAB0"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64.65(±3.89)**</w:t>
            </w:r>
          </w:p>
        </w:tc>
        <w:tc>
          <w:tcPr>
            <w:tcW w:w="2180" w:type="dxa"/>
            <w:noWrap/>
            <w:hideMark/>
          </w:tcPr>
          <w:p w14:paraId="1A1806F2"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102.37(±13.25)**</w:t>
            </w:r>
          </w:p>
        </w:tc>
        <w:tc>
          <w:tcPr>
            <w:tcW w:w="2180" w:type="dxa"/>
            <w:noWrap/>
            <w:hideMark/>
          </w:tcPr>
          <w:p w14:paraId="26CF1FB2"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89.56(±5.98)**</w:t>
            </w:r>
          </w:p>
        </w:tc>
      </w:tr>
      <w:tr w:rsidR="00997A5D" w:rsidRPr="00B17B9B" w14:paraId="5A86338D" w14:textId="77777777" w:rsidTr="00C157B8">
        <w:trPr>
          <w:trHeight w:val="340"/>
        </w:trPr>
        <w:tc>
          <w:tcPr>
            <w:tcW w:w="1860" w:type="dxa"/>
            <w:hideMark/>
          </w:tcPr>
          <w:p w14:paraId="59C84CB3"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OVA+D3</w:t>
            </w:r>
          </w:p>
        </w:tc>
        <w:tc>
          <w:tcPr>
            <w:tcW w:w="2080" w:type="dxa"/>
            <w:hideMark/>
          </w:tcPr>
          <w:p w14:paraId="74334737"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74.76(±13.19)**</w:t>
            </w:r>
          </w:p>
        </w:tc>
        <w:tc>
          <w:tcPr>
            <w:tcW w:w="2180" w:type="dxa"/>
            <w:noWrap/>
            <w:hideMark/>
          </w:tcPr>
          <w:p w14:paraId="6E40012A"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128.54(±14.35)*</w:t>
            </w:r>
          </w:p>
        </w:tc>
        <w:tc>
          <w:tcPr>
            <w:tcW w:w="2180" w:type="dxa"/>
            <w:noWrap/>
            <w:hideMark/>
          </w:tcPr>
          <w:p w14:paraId="28798F96"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104.20(±14.07)**</w:t>
            </w:r>
          </w:p>
        </w:tc>
      </w:tr>
      <w:tr w:rsidR="00997A5D" w:rsidRPr="00B17B9B" w14:paraId="2F5F6B66" w14:textId="77777777" w:rsidTr="00C157B8">
        <w:trPr>
          <w:trHeight w:val="340"/>
        </w:trPr>
        <w:tc>
          <w:tcPr>
            <w:tcW w:w="1860" w:type="dxa"/>
            <w:hideMark/>
          </w:tcPr>
          <w:p w14:paraId="69747BB1"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OVA+D4</w:t>
            </w:r>
          </w:p>
        </w:tc>
        <w:tc>
          <w:tcPr>
            <w:tcW w:w="2080" w:type="dxa"/>
            <w:hideMark/>
          </w:tcPr>
          <w:p w14:paraId="34BA1C7A"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63.29(±7.35)**</w:t>
            </w:r>
          </w:p>
        </w:tc>
        <w:tc>
          <w:tcPr>
            <w:tcW w:w="2180" w:type="dxa"/>
            <w:noWrap/>
            <w:hideMark/>
          </w:tcPr>
          <w:p w14:paraId="62E352BA"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128.54(±19.09)*</w:t>
            </w:r>
          </w:p>
        </w:tc>
        <w:tc>
          <w:tcPr>
            <w:tcW w:w="2180" w:type="dxa"/>
            <w:noWrap/>
            <w:hideMark/>
          </w:tcPr>
          <w:p w14:paraId="45E9A4AD" w14:textId="77777777" w:rsidR="00997A5D" w:rsidRPr="00B17B9B" w:rsidRDefault="00997A5D" w:rsidP="00C157B8">
            <w:pPr>
              <w:suppressLineNumbers/>
              <w:spacing w:line="480" w:lineRule="auto"/>
              <w:jc w:val="both"/>
              <w:rPr>
                <w:rFonts w:ascii="Arial" w:eastAsia="Calibri" w:hAnsi="Arial" w:cs="Arial"/>
                <w:sz w:val="20"/>
                <w:szCs w:val="20"/>
              </w:rPr>
            </w:pPr>
            <w:r w:rsidRPr="00B17B9B">
              <w:rPr>
                <w:rFonts w:ascii="Arial" w:eastAsia="Calibri" w:hAnsi="Arial" w:cs="Arial"/>
                <w:sz w:val="20"/>
                <w:szCs w:val="20"/>
              </w:rPr>
              <w:t>73.93(±21.42)***</w:t>
            </w:r>
          </w:p>
        </w:tc>
      </w:tr>
    </w:tbl>
    <w:p w14:paraId="7AA7E6C4" w14:textId="77777777" w:rsidR="00997A5D" w:rsidRDefault="00997A5D" w:rsidP="00997A5D">
      <w:pPr>
        <w:pStyle w:val="SMcaption"/>
        <w:spacing w:line="480" w:lineRule="auto"/>
        <w:rPr>
          <w:rFonts w:ascii="Arial" w:hAnsi="Arial" w:cs="Arial"/>
          <w:b/>
          <w:bCs/>
          <w:sz w:val="20"/>
        </w:rPr>
      </w:pPr>
    </w:p>
    <w:p w14:paraId="164CEEAF" w14:textId="77777777" w:rsidR="00997A5D" w:rsidRPr="00B17B9B" w:rsidRDefault="00997A5D" w:rsidP="00997A5D">
      <w:pPr>
        <w:spacing w:line="480" w:lineRule="auto"/>
        <w:jc w:val="both"/>
        <w:rPr>
          <w:rFonts w:ascii="Arial" w:hAnsi="Arial" w:cs="Arial"/>
          <w:bCs/>
          <w:color w:val="000000" w:themeColor="text1"/>
          <w:sz w:val="20"/>
          <w:szCs w:val="20"/>
        </w:rPr>
      </w:pPr>
      <w:r w:rsidRPr="00B17B9B">
        <w:rPr>
          <w:rFonts w:ascii="Arial" w:hAnsi="Arial" w:cs="Arial"/>
          <w:b/>
          <w:color w:val="000000" w:themeColor="text1"/>
          <w:sz w:val="20"/>
          <w:szCs w:val="20"/>
        </w:rPr>
        <w:t>Table S4.</w:t>
      </w:r>
      <w:r w:rsidRPr="00B17B9B">
        <w:rPr>
          <w:rFonts w:ascii="Arial" w:hAnsi="Arial" w:cs="Arial"/>
          <w:bCs/>
          <w:color w:val="000000" w:themeColor="text1"/>
          <w:sz w:val="20"/>
          <w:szCs w:val="20"/>
        </w:rPr>
        <w:t xml:space="preserve"> Binding affinity of compounds of </w:t>
      </w:r>
      <w:r w:rsidRPr="00B17B9B">
        <w:rPr>
          <w:rFonts w:ascii="Arial" w:hAnsi="Arial" w:cs="Arial"/>
          <w:bCs/>
          <w:i/>
          <w:color w:val="000000" w:themeColor="text1"/>
          <w:sz w:val="20"/>
          <w:szCs w:val="20"/>
        </w:rPr>
        <w:t>Adhatoda Vasica</w:t>
      </w:r>
      <w:r w:rsidRPr="00B17B9B">
        <w:rPr>
          <w:rFonts w:ascii="Arial" w:hAnsi="Arial" w:cs="Arial"/>
          <w:bCs/>
          <w:color w:val="000000" w:themeColor="text1"/>
          <w:sz w:val="20"/>
          <w:szCs w:val="20"/>
        </w:rPr>
        <w:t xml:space="preserve"> </w:t>
      </w:r>
      <w:r>
        <w:rPr>
          <w:rFonts w:ascii="Arial" w:hAnsi="Arial" w:cs="Arial"/>
          <w:bCs/>
          <w:color w:val="000000" w:themeColor="text1"/>
          <w:sz w:val="20"/>
          <w:szCs w:val="20"/>
        </w:rPr>
        <w:t xml:space="preserve">extract </w:t>
      </w:r>
      <w:r w:rsidRPr="00B17B9B">
        <w:rPr>
          <w:rFonts w:ascii="Arial" w:hAnsi="Arial" w:cs="Arial"/>
          <w:bCs/>
          <w:color w:val="000000" w:themeColor="text1"/>
          <w:sz w:val="20"/>
          <w:szCs w:val="20"/>
        </w:rPr>
        <w:t xml:space="preserve">with proteins of </w:t>
      </w:r>
      <w:r>
        <w:rPr>
          <w:rFonts w:ascii="Arial" w:hAnsi="Arial" w:cs="Arial"/>
          <w:bCs/>
          <w:color w:val="000000" w:themeColor="text1"/>
          <w:sz w:val="20"/>
          <w:szCs w:val="20"/>
        </w:rPr>
        <w:t>h</w:t>
      </w:r>
      <w:r w:rsidRPr="00B17B9B">
        <w:rPr>
          <w:rFonts w:ascii="Arial" w:hAnsi="Arial" w:cs="Arial"/>
          <w:bCs/>
          <w:color w:val="000000" w:themeColor="text1"/>
          <w:sz w:val="20"/>
          <w:szCs w:val="20"/>
        </w:rPr>
        <w:t>ypoxia and inflammation pathways in kcal/mol using Schrodinger XP Glide package</w:t>
      </w:r>
      <w:r>
        <w:rPr>
          <w:rFonts w:ascii="Arial" w:hAnsi="Arial" w:cs="Arial"/>
          <w:bCs/>
          <w:color w:val="000000" w:themeColor="text1"/>
          <w:sz w:val="20"/>
          <w:szCs w:val="20"/>
        </w:rPr>
        <w:t xml:space="preserve"> (b</w:t>
      </w:r>
      <w:r w:rsidRPr="00A45621">
        <w:rPr>
          <w:rFonts w:ascii="Arial" w:hAnsi="Arial" w:cs="Arial"/>
          <w:bCs/>
          <w:color w:val="000000" w:themeColor="text1"/>
          <w:sz w:val="20"/>
          <w:szCs w:val="20"/>
        </w:rPr>
        <w:t xml:space="preserve">inding energies of AV’s component with tested proteins more than -6 kcal/mol. indicated by red </w:t>
      </w:r>
      <w:proofErr w:type="spellStart"/>
      <w:r w:rsidRPr="00A45621">
        <w:rPr>
          <w:rFonts w:ascii="Arial" w:hAnsi="Arial" w:cs="Arial"/>
          <w:bCs/>
          <w:color w:val="000000" w:themeColor="text1"/>
          <w:sz w:val="20"/>
          <w:szCs w:val="20"/>
        </w:rPr>
        <w:t>colour</w:t>
      </w:r>
      <w:proofErr w:type="spellEnd"/>
      <w:r>
        <w:rPr>
          <w:rFonts w:ascii="Arial" w:hAnsi="Arial" w:cs="Arial"/>
          <w:bCs/>
          <w:color w:val="000000" w:themeColor="text1"/>
          <w:sz w:val="20"/>
          <w:szCs w:val="20"/>
        </w:rPr>
        <w:t>)</w:t>
      </w:r>
    </w:p>
    <w:tbl>
      <w:tblPr>
        <w:tblW w:w="9230" w:type="dxa"/>
        <w:tblLook w:val="04A0" w:firstRow="1" w:lastRow="0" w:firstColumn="1" w:lastColumn="0" w:noHBand="0" w:noVBand="1"/>
      </w:tblPr>
      <w:tblGrid>
        <w:gridCol w:w="2707"/>
        <w:gridCol w:w="974"/>
        <w:gridCol w:w="816"/>
        <w:gridCol w:w="911"/>
        <w:gridCol w:w="950"/>
        <w:gridCol w:w="963"/>
        <w:gridCol w:w="963"/>
        <w:gridCol w:w="946"/>
      </w:tblGrid>
      <w:tr w:rsidR="00997A5D" w:rsidRPr="00167546" w14:paraId="09B4948B" w14:textId="77777777" w:rsidTr="00C157B8">
        <w:trPr>
          <w:trHeight w:val="320"/>
        </w:trPr>
        <w:tc>
          <w:tcPr>
            <w:tcW w:w="2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D5E42"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Compounds</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1EC5C3AC"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HIF-1α</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3F0721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IFN-γ</w:t>
            </w:r>
          </w:p>
        </w:tc>
        <w:tc>
          <w:tcPr>
            <w:tcW w:w="911" w:type="dxa"/>
            <w:tcBorders>
              <w:top w:val="single" w:sz="4" w:space="0" w:color="auto"/>
              <w:left w:val="nil"/>
              <w:bottom w:val="single" w:sz="4" w:space="0" w:color="auto"/>
              <w:right w:val="single" w:sz="4" w:space="0" w:color="auto"/>
            </w:tcBorders>
            <w:shd w:val="clear" w:color="auto" w:fill="auto"/>
            <w:vAlign w:val="center"/>
            <w:hideMark/>
          </w:tcPr>
          <w:p w14:paraId="5A5545E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IL-6</w:t>
            </w:r>
          </w:p>
        </w:tc>
        <w:tc>
          <w:tcPr>
            <w:tcW w:w="950" w:type="dxa"/>
            <w:tcBorders>
              <w:top w:val="single" w:sz="4" w:space="0" w:color="auto"/>
              <w:left w:val="nil"/>
              <w:bottom w:val="single" w:sz="4" w:space="0" w:color="auto"/>
              <w:right w:val="single" w:sz="4" w:space="0" w:color="auto"/>
            </w:tcBorders>
            <w:shd w:val="clear" w:color="auto" w:fill="auto"/>
            <w:vAlign w:val="center"/>
            <w:hideMark/>
          </w:tcPr>
          <w:p w14:paraId="14668FB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TGF-β</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3DA37A07"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JAK-1</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438D3AA1"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JAK-3</w:t>
            </w:r>
          </w:p>
        </w:tc>
        <w:tc>
          <w:tcPr>
            <w:tcW w:w="946" w:type="dxa"/>
            <w:tcBorders>
              <w:top w:val="single" w:sz="4" w:space="0" w:color="auto"/>
              <w:left w:val="nil"/>
              <w:bottom w:val="single" w:sz="4" w:space="0" w:color="auto"/>
              <w:right w:val="single" w:sz="4" w:space="0" w:color="auto"/>
            </w:tcBorders>
            <w:shd w:val="clear" w:color="auto" w:fill="auto"/>
            <w:vAlign w:val="center"/>
            <w:hideMark/>
          </w:tcPr>
          <w:p w14:paraId="1C0F156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TNF-α</w:t>
            </w:r>
          </w:p>
        </w:tc>
      </w:tr>
      <w:tr w:rsidR="00997A5D" w:rsidRPr="00167546" w14:paraId="07BCE731"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6FB34B98"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Choline</w:t>
            </w:r>
          </w:p>
        </w:tc>
        <w:tc>
          <w:tcPr>
            <w:tcW w:w="974" w:type="dxa"/>
            <w:tcBorders>
              <w:top w:val="nil"/>
              <w:left w:val="nil"/>
              <w:bottom w:val="single" w:sz="4" w:space="0" w:color="auto"/>
              <w:right w:val="single" w:sz="4" w:space="0" w:color="auto"/>
            </w:tcBorders>
            <w:shd w:val="clear" w:color="auto" w:fill="auto"/>
            <w:vAlign w:val="center"/>
            <w:hideMark/>
          </w:tcPr>
          <w:p w14:paraId="4C6801C6"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-2.21</w:t>
            </w:r>
          </w:p>
        </w:tc>
        <w:tc>
          <w:tcPr>
            <w:tcW w:w="816" w:type="dxa"/>
            <w:tcBorders>
              <w:top w:val="nil"/>
              <w:left w:val="nil"/>
              <w:bottom w:val="single" w:sz="4" w:space="0" w:color="auto"/>
              <w:right w:val="single" w:sz="4" w:space="0" w:color="auto"/>
            </w:tcBorders>
            <w:shd w:val="clear" w:color="auto" w:fill="auto"/>
            <w:vAlign w:val="center"/>
            <w:hideMark/>
          </w:tcPr>
          <w:p w14:paraId="4D18F70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-2.35</w:t>
            </w:r>
          </w:p>
        </w:tc>
        <w:tc>
          <w:tcPr>
            <w:tcW w:w="911" w:type="dxa"/>
            <w:tcBorders>
              <w:top w:val="nil"/>
              <w:left w:val="nil"/>
              <w:bottom w:val="single" w:sz="4" w:space="0" w:color="auto"/>
              <w:right w:val="single" w:sz="4" w:space="0" w:color="auto"/>
            </w:tcBorders>
            <w:shd w:val="clear" w:color="auto" w:fill="auto"/>
            <w:vAlign w:val="center"/>
            <w:hideMark/>
          </w:tcPr>
          <w:p w14:paraId="51C88E52"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-1.93</w:t>
            </w:r>
          </w:p>
        </w:tc>
        <w:tc>
          <w:tcPr>
            <w:tcW w:w="950" w:type="dxa"/>
            <w:tcBorders>
              <w:top w:val="nil"/>
              <w:left w:val="nil"/>
              <w:bottom w:val="single" w:sz="4" w:space="0" w:color="auto"/>
              <w:right w:val="single" w:sz="4" w:space="0" w:color="auto"/>
            </w:tcBorders>
            <w:shd w:val="clear" w:color="auto" w:fill="auto"/>
            <w:vAlign w:val="center"/>
            <w:hideMark/>
          </w:tcPr>
          <w:p w14:paraId="1608B90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-3.3</w:t>
            </w:r>
          </w:p>
        </w:tc>
        <w:tc>
          <w:tcPr>
            <w:tcW w:w="963" w:type="dxa"/>
            <w:tcBorders>
              <w:top w:val="nil"/>
              <w:left w:val="nil"/>
              <w:bottom w:val="single" w:sz="4" w:space="0" w:color="auto"/>
              <w:right w:val="single" w:sz="4" w:space="0" w:color="auto"/>
            </w:tcBorders>
            <w:shd w:val="clear" w:color="auto" w:fill="auto"/>
            <w:vAlign w:val="center"/>
            <w:hideMark/>
          </w:tcPr>
          <w:p w14:paraId="67AF2831"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-2.47</w:t>
            </w:r>
          </w:p>
        </w:tc>
        <w:tc>
          <w:tcPr>
            <w:tcW w:w="963" w:type="dxa"/>
            <w:tcBorders>
              <w:top w:val="nil"/>
              <w:left w:val="nil"/>
              <w:bottom w:val="single" w:sz="4" w:space="0" w:color="auto"/>
              <w:right w:val="single" w:sz="4" w:space="0" w:color="auto"/>
            </w:tcBorders>
            <w:shd w:val="clear" w:color="auto" w:fill="auto"/>
            <w:vAlign w:val="center"/>
            <w:hideMark/>
          </w:tcPr>
          <w:p w14:paraId="45A5DA29"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-3.448</w:t>
            </w:r>
          </w:p>
        </w:tc>
        <w:tc>
          <w:tcPr>
            <w:tcW w:w="946" w:type="dxa"/>
            <w:tcBorders>
              <w:top w:val="nil"/>
              <w:left w:val="nil"/>
              <w:bottom w:val="single" w:sz="4" w:space="0" w:color="auto"/>
              <w:right w:val="single" w:sz="4" w:space="0" w:color="auto"/>
            </w:tcBorders>
            <w:shd w:val="clear" w:color="auto" w:fill="auto"/>
            <w:vAlign w:val="center"/>
            <w:hideMark/>
          </w:tcPr>
          <w:p w14:paraId="06AF222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-1.87</w:t>
            </w:r>
          </w:p>
        </w:tc>
      </w:tr>
      <w:tr w:rsidR="00997A5D" w:rsidRPr="00167546" w14:paraId="49EB69FF"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74FDF3CD"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Betaine</w:t>
            </w:r>
          </w:p>
        </w:tc>
        <w:tc>
          <w:tcPr>
            <w:tcW w:w="974" w:type="dxa"/>
            <w:tcBorders>
              <w:top w:val="nil"/>
              <w:left w:val="nil"/>
              <w:bottom w:val="single" w:sz="4" w:space="0" w:color="auto"/>
              <w:right w:val="single" w:sz="4" w:space="0" w:color="auto"/>
            </w:tcBorders>
            <w:shd w:val="clear" w:color="auto" w:fill="auto"/>
            <w:vAlign w:val="center"/>
            <w:hideMark/>
          </w:tcPr>
          <w:p w14:paraId="4D7EF7BB"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-2.35</w:t>
            </w:r>
          </w:p>
        </w:tc>
        <w:tc>
          <w:tcPr>
            <w:tcW w:w="816" w:type="dxa"/>
            <w:tcBorders>
              <w:top w:val="nil"/>
              <w:left w:val="nil"/>
              <w:bottom w:val="single" w:sz="4" w:space="0" w:color="auto"/>
              <w:right w:val="single" w:sz="4" w:space="0" w:color="auto"/>
            </w:tcBorders>
            <w:shd w:val="clear" w:color="auto" w:fill="auto"/>
            <w:vAlign w:val="center"/>
            <w:hideMark/>
          </w:tcPr>
          <w:p w14:paraId="1AF2AF4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-3.14</w:t>
            </w:r>
          </w:p>
        </w:tc>
        <w:tc>
          <w:tcPr>
            <w:tcW w:w="911" w:type="dxa"/>
            <w:tcBorders>
              <w:top w:val="nil"/>
              <w:left w:val="nil"/>
              <w:bottom w:val="single" w:sz="4" w:space="0" w:color="auto"/>
              <w:right w:val="single" w:sz="4" w:space="0" w:color="auto"/>
            </w:tcBorders>
            <w:shd w:val="clear" w:color="auto" w:fill="auto"/>
            <w:vAlign w:val="center"/>
            <w:hideMark/>
          </w:tcPr>
          <w:p w14:paraId="6B3C0C2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-2.74</w:t>
            </w:r>
          </w:p>
        </w:tc>
        <w:tc>
          <w:tcPr>
            <w:tcW w:w="950" w:type="dxa"/>
            <w:tcBorders>
              <w:top w:val="nil"/>
              <w:left w:val="nil"/>
              <w:bottom w:val="single" w:sz="4" w:space="0" w:color="auto"/>
              <w:right w:val="single" w:sz="4" w:space="0" w:color="auto"/>
            </w:tcBorders>
            <w:shd w:val="clear" w:color="auto" w:fill="auto"/>
            <w:vAlign w:val="center"/>
            <w:hideMark/>
          </w:tcPr>
          <w:p w14:paraId="79AB966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-2.29</w:t>
            </w:r>
          </w:p>
        </w:tc>
        <w:tc>
          <w:tcPr>
            <w:tcW w:w="963" w:type="dxa"/>
            <w:tcBorders>
              <w:top w:val="nil"/>
              <w:left w:val="nil"/>
              <w:bottom w:val="single" w:sz="4" w:space="0" w:color="auto"/>
              <w:right w:val="single" w:sz="4" w:space="0" w:color="auto"/>
            </w:tcBorders>
            <w:shd w:val="clear" w:color="auto" w:fill="auto"/>
            <w:vAlign w:val="center"/>
            <w:hideMark/>
          </w:tcPr>
          <w:p w14:paraId="46B4C91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w:t>
            </w:r>
          </w:p>
        </w:tc>
        <w:tc>
          <w:tcPr>
            <w:tcW w:w="963" w:type="dxa"/>
            <w:tcBorders>
              <w:top w:val="nil"/>
              <w:left w:val="nil"/>
              <w:bottom w:val="single" w:sz="4" w:space="0" w:color="auto"/>
              <w:right w:val="single" w:sz="4" w:space="0" w:color="auto"/>
            </w:tcBorders>
            <w:shd w:val="clear" w:color="auto" w:fill="auto"/>
            <w:vAlign w:val="center"/>
            <w:hideMark/>
          </w:tcPr>
          <w:p w14:paraId="2093B766"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-3.49</w:t>
            </w:r>
          </w:p>
        </w:tc>
        <w:tc>
          <w:tcPr>
            <w:tcW w:w="946" w:type="dxa"/>
            <w:tcBorders>
              <w:top w:val="nil"/>
              <w:left w:val="nil"/>
              <w:bottom w:val="single" w:sz="4" w:space="0" w:color="auto"/>
              <w:right w:val="single" w:sz="4" w:space="0" w:color="auto"/>
            </w:tcBorders>
            <w:shd w:val="clear" w:color="auto" w:fill="auto"/>
            <w:vAlign w:val="center"/>
            <w:hideMark/>
          </w:tcPr>
          <w:p w14:paraId="5DEF8C6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-2.84</w:t>
            </w:r>
          </w:p>
        </w:tc>
      </w:tr>
      <w:tr w:rsidR="00997A5D" w:rsidRPr="00167546" w14:paraId="1C076A55"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674E3626"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proofErr w:type="spellStart"/>
            <w:r w:rsidRPr="00167546">
              <w:rPr>
                <w:rFonts w:ascii="Arial" w:eastAsia="Times New Roman" w:hAnsi="Arial" w:cs="Arial"/>
                <w:color w:val="000000"/>
                <w:sz w:val="20"/>
                <w:szCs w:val="20"/>
                <w:lang w:eastAsia="en-GB"/>
              </w:rPr>
              <w:t>Vasicinol</w:t>
            </w:r>
            <w:proofErr w:type="spellEnd"/>
          </w:p>
        </w:tc>
        <w:tc>
          <w:tcPr>
            <w:tcW w:w="974" w:type="dxa"/>
            <w:tcBorders>
              <w:top w:val="nil"/>
              <w:left w:val="nil"/>
              <w:bottom w:val="single" w:sz="4" w:space="0" w:color="auto"/>
              <w:right w:val="single" w:sz="4" w:space="0" w:color="auto"/>
            </w:tcBorders>
            <w:shd w:val="clear" w:color="auto" w:fill="auto"/>
            <w:vAlign w:val="center"/>
            <w:hideMark/>
          </w:tcPr>
          <w:p w14:paraId="3E8039D4"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-1.72</w:t>
            </w:r>
          </w:p>
        </w:tc>
        <w:tc>
          <w:tcPr>
            <w:tcW w:w="816" w:type="dxa"/>
            <w:tcBorders>
              <w:top w:val="nil"/>
              <w:left w:val="nil"/>
              <w:bottom w:val="single" w:sz="4" w:space="0" w:color="auto"/>
              <w:right w:val="single" w:sz="4" w:space="0" w:color="auto"/>
            </w:tcBorders>
            <w:shd w:val="clear" w:color="auto" w:fill="auto"/>
            <w:vAlign w:val="center"/>
            <w:hideMark/>
          </w:tcPr>
          <w:p w14:paraId="583754AD"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-3.77</w:t>
            </w:r>
          </w:p>
        </w:tc>
        <w:tc>
          <w:tcPr>
            <w:tcW w:w="911" w:type="dxa"/>
            <w:tcBorders>
              <w:top w:val="nil"/>
              <w:left w:val="nil"/>
              <w:bottom w:val="single" w:sz="4" w:space="0" w:color="auto"/>
              <w:right w:val="single" w:sz="4" w:space="0" w:color="auto"/>
            </w:tcBorders>
            <w:shd w:val="clear" w:color="auto" w:fill="auto"/>
            <w:vAlign w:val="center"/>
            <w:hideMark/>
          </w:tcPr>
          <w:p w14:paraId="5DB868C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-2.35</w:t>
            </w:r>
          </w:p>
        </w:tc>
        <w:tc>
          <w:tcPr>
            <w:tcW w:w="950" w:type="dxa"/>
            <w:tcBorders>
              <w:top w:val="nil"/>
              <w:left w:val="nil"/>
              <w:bottom w:val="single" w:sz="4" w:space="0" w:color="auto"/>
              <w:right w:val="single" w:sz="4" w:space="0" w:color="auto"/>
            </w:tcBorders>
            <w:shd w:val="clear" w:color="auto" w:fill="auto"/>
            <w:vAlign w:val="center"/>
            <w:hideMark/>
          </w:tcPr>
          <w:p w14:paraId="06999FA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-3.06</w:t>
            </w:r>
          </w:p>
        </w:tc>
        <w:tc>
          <w:tcPr>
            <w:tcW w:w="963" w:type="dxa"/>
            <w:tcBorders>
              <w:top w:val="nil"/>
              <w:left w:val="nil"/>
              <w:bottom w:val="single" w:sz="4" w:space="0" w:color="auto"/>
              <w:right w:val="single" w:sz="4" w:space="0" w:color="auto"/>
            </w:tcBorders>
            <w:shd w:val="clear" w:color="auto" w:fill="auto"/>
            <w:vAlign w:val="center"/>
            <w:hideMark/>
          </w:tcPr>
          <w:p w14:paraId="4E8D691B"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-6.36</w:t>
            </w:r>
          </w:p>
        </w:tc>
        <w:tc>
          <w:tcPr>
            <w:tcW w:w="963" w:type="dxa"/>
            <w:tcBorders>
              <w:top w:val="nil"/>
              <w:left w:val="nil"/>
              <w:bottom w:val="single" w:sz="4" w:space="0" w:color="auto"/>
              <w:right w:val="single" w:sz="4" w:space="0" w:color="auto"/>
            </w:tcBorders>
            <w:shd w:val="clear" w:color="auto" w:fill="auto"/>
            <w:vAlign w:val="center"/>
            <w:hideMark/>
          </w:tcPr>
          <w:p w14:paraId="2206228D"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-7.52</w:t>
            </w:r>
          </w:p>
        </w:tc>
        <w:tc>
          <w:tcPr>
            <w:tcW w:w="946" w:type="dxa"/>
            <w:tcBorders>
              <w:top w:val="nil"/>
              <w:left w:val="nil"/>
              <w:bottom w:val="single" w:sz="4" w:space="0" w:color="auto"/>
              <w:right w:val="single" w:sz="4" w:space="0" w:color="auto"/>
            </w:tcBorders>
            <w:shd w:val="clear" w:color="auto" w:fill="auto"/>
            <w:vAlign w:val="center"/>
            <w:hideMark/>
          </w:tcPr>
          <w:p w14:paraId="60684AB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themeColor="text1"/>
                <w:sz w:val="20"/>
                <w:szCs w:val="20"/>
                <w:lang w:eastAsia="en-GB"/>
              </w:rPr>
              <w:t>-2.95</w:t>
            </w:r>
          </w:p>
        </w:tc>
      </w:tr>
      <w:tr w:rsidR="00997A5D" w:rsidRPr="00167546" w14:paraId="1C8B377C"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63871186"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Adhavasicinone</w:t>
            </w:r>
          </w:p>
        </w:tc>
        <w:tc>
          <w:tcPr>
            <w:tcW w:w="974" w:type="dxa"/>
            <w:tcBorders>
              <w:top w:val="nil"/>
              <w:left w:val="nil"/>
              <w:bottom w:val="single" w:sz="4" w:space="0" w:color="auto"/>
              <w:right w:val="single" w:sz="4" w:space="0" w:color="auto"/>
            </w:tcBorders>
            <w:shd w:val="clear" w:color="auto" w:fill="auto"/>
            <w:vAlign w:val="center"/>
            <w:hideMark/>
          </w:tcPr>
          <w:p w14:paraId="4FB828E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-2.09</w:t>
            </w:r>
          </w:p>
        </w:tc>
        <w:tc>
          <w:tcPr>
            <w:tcW w:w="816" w:type="dxa"/>
            <w:tcBorders>
              <w:top w:val="nil"/>
              <w:left w:val="nil"/>
              <w:bottom w:val="single" w:sz="4" w:space="0" w:color="auto"/>
              <w:right w:val="single" w:sz="4" w:space="0" w:color="auto"/>
            </w:tcBorders>
            <w:shd w:val="clear" w:color="auto" w:fill="auto"/>
            <w:vAlign w:val="center"/>
            <w:hideMark/>
          </w:tcPr>
          <w:p w14:paraId="670717D6"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-3.91</w:t>
            </w:r>
          </w:p>
        </w:tc>
        <w:tc>
          <w:tcPr>
            <w:tcW w:w="911" w:type="dxa"/>
            <w:tcBorders>
              <w:top w:val="nil"/>
              <w:left w:val="nil"/>
              <w:bottom w:val="single" w:sz="4" w:space="0" w:color="auto"/>
              <w:right w:val="single" w:sz="4" w:space="0" w:color="auto"/>
            </w:tcBorders>
            <w:shd w:val="clear" w:color="auto" w:fill="auto"/>
            <w:vAlign w:val="center"/>
            <w:hideMark/>
          </w:tcPr>
          <w:p w14:paraId="162A63BB"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-2.59</w:t>
            </w:r>
          </w:p>
        </w:tc>
        <w:tc>
          <w:tcPr>
            <w:tcW w:w="950" w:type="dxa"/>
            <w:tcBorders>
              <w:top w:val="nil"/>
              <w:left w:val="nil"/>
              <w:bottom w:val="single" w:sz="4" w:space="0" w:color="auto"/>
              <w:right w:val="single" w:sz="4" w:space="0" w:color="auto"/>
            </w:tcBorders>
            <w:shd w:val="clear" w:color="auto" w:fill="auto"/>
            <w:vAlign w:val="center"/>
            <w:hideMark/>
          </w:tcPr>
          <w:p w14:paraId="7340C17D"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-2.26</w:t>
            </w:r>
          </w:p>
        </w:tc>
        <w:tc>
          <w:tcPr>
            <w:tcW w:w="963" w:type="dxa"/>
            <w:tcBorders>
              <w:top w:val="nil"/>
              <w:left w:val="nil"/>
              <w:bottom w:val="single" w:sz="4" w:space="0" w:color="auto"/>
              <w:right w:val="single" w:sz="4" w:space="0" w:color="auto"/>
            </w:tcBorders>
            <w:shd w:val="clear" w:color="auto" w:fill="auto"/>
            <w:vAlign w:val="center"/>
            <w:hideMark/>
          </w:tcPr>
          <w:p w14:paraId="164BE05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-5.5</w:t>
            </w:r>
          </w:p>
        </w:tc>
        <w:tc>
          <w:tcPr>
            <w:tcW w:w="963" w:type="dxa"/>
            <w:tcBorders>
              <w:top w:val="nil"/>
              <w:left w:val="nil"/>
              <w:bottom w:val="single" w:sz="4" w:space="0" w:color="auto"/>
              <w:right w:val="single" w:sz="4" w:space="0" w:color="auto"/>
            </w:tcBorders>
            <w:shd w:val="clear" w:color="auto" w:fill="auto"/>
            <w:vAlign w:val="center"/>
            <w:hideMark/>
          </w:tcPr>
          <w:p w14:paraId="77E9E38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-6.03</w:t>
            </w:r>
          </w:p>
        </w:tc>
        <w:tc>
          <w:tcPr>
            <w:tcW w:w="946" w:type="dxa"/>
            <w:tcBorders>
              <w:top w:val="nil"/>
              <w:left w:val="nil"/>
              <w:bottom w:val="single" w:sz="4" w:space="0" w:color="auto"/>
              <w:right w:val="single" w:sz="4" w:space="0" w:color="auto"/>
            </w:tcBorders>
            <w:shd w:val="clear" w:color="auto" w:fill="auto"/>
            <w:vAlign w:val="center"/>
            <w:hideMark/>
          </w:tcPr>
          <w:p w14:paraId="62CAE39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-1.23</w:t>
            </w:r>
          </w:p>
        </w:tc>
      </w:tr>
      <w:tr w:rsidR="00997A5D" w:rsidRPr="00167546" w14:paraId="5845EBC0"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23DC5907"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proofErr w:type="spellStart"/>
            <w:r w:rsidRPr="00167546">
              <w:rPr>
                <w:rFonts w:ascii="Arial" w:eastAsia="Times New Roman" w:hAnsi="Arial" w:cs="Arial"/>
                <w:color w:val="000000"/>
                <w:sz w:val="20"/>
                <w:szCs w:val="20"/>
                <w:lang w:eastAsia="en-GB"/>
              </w:rPr>
              <w:t>Linarinic_acid</w:t>
            </w:r>
            <w:proofErr w:type="spellEnd"/>
          </w:p>
        </w:tc>
        <w:tc>
          <w:tcPr>
            <w:tcW w:w="974" w:type="dxa"/>
            <w:tcBorders>
              <w:top w:val="nil"/>
              <w:left w:val="nil"/>
              <w:bottom w:val="single" w:sz="4" w:space="0" w:color="auto"/>
              <w:right w:val="single" w:sz="4" w:space="0" w:color="auto"/>
            </w:tcBorders>
            <w:shd w:val="clear" w:color="auto" w:fill="auto"/>
            <w:vAlign w:val="center"/>
            <w:hideMark/>
          </w:tcPr>
          <w:p w14:paraId="5750383C"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-2.04</w:t>
            </w:r>
          </w:p>
        </w:tc>
        <w:tc>
          <w:tcPr>
            <w:tcW w:w="816" w:type="dxa"/>
            <w:tcBorders>
              <w:top w:val="nil"/>
              <w:left w:val="nil"/>
              <w:bottom w:val="single" w:sz="4" w:space="0" w:color="auto"/>
              <w:right w:val="single" w:sz="4" w:space="0" w:color="auto"/>
            </w:tcBorders>
            <w:shd w:val="clear" w:color="auto" w:fill="auto"/>
            <w:vAlign w:val="center"/>
            <w:hideMark/>
          </w:tcPr>
          <w:p w14:paraId="3B8A35B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-4.35</w:t>
            </w:r>
          </w:p>
        </w:tc>
        <w:tc>
          <w:tcPr>
            <w:tcW w:w="911" w:type="dxa"/>
            <w:tcBorders>
              <w:top w:val="nil"/>
              <w:left w:val="nil"/>
              <w:bottom w:val="single" w:sz="4" w:space="0" w:color="auto"/>
              <w:right w:val="single" w:sz="4" w:space="0" w:color="auto"/>
            </w:tcBorders>
            <w:shd w:val="clear" w:color="auto" w:fill="auto"/>
            <w:vAlign w:val="center"/>
            <w:hideMark/>
          </w:tcPr>
          <w:p w14:paraId="403B2769"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-2.23</w:t>
            </w:r>
          </w:p>
        </w:tc>
        <w:tc>
          <w:tcPr>
            <w:tcW w:w="950" w:type="dxa"/>
            <w:tcBorders>
              <w:top w:val="nil"/>
              <w:left w:val="nil"/>
              <w:bottom w:val="single" w:sz="4" w:space="0" w:color="auto"/>
              <w:right w:val="single" w:sz="4" w:space="0" w:color="auto"/>
            </w:tcBorders>
            <w:shd w:val="clear" w:color="auto" w:fill="auto"/>
            <w:vAlign w:val="center"/>
            <w:hideMark/>
          </w:tcPr>
          <w:p w14:paraId="3863CC0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w:t>
            </w:r>
          </w:p>
        </w:tc>
        <w:tc>
          <w:tcPr>
            <w:tcW w:w="963" w:type="dxa"/>
            <w:tcBorders>
              <w:top w:val="nil"/>
              <w:left w:val="nil"/>
              <w:bottom w:val="single" w:sz="4" w:space="0" w:color="auto"/>
              <w:right w:val="single" w:sz="4" w:space="0" w:color="auto"/>
            </w:tcBorders>
            <w:shd w:val="clear" w:color="auto" w:fill="auto"/>
            <w:vAlign w:val="center"/>
            <w:hideMark/>
          </w:tcPr>
          <w:p w14:paraId="6795E23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-5.19</w:t>
            </w:r>
          </w:p>
        </w:tc>
        <w:tc>
          <w:tcPr>
            <w:tcW w:w="963" w:type="dxa"/>
            <w:tcBorders>
              <w:top w:val="nil"/>
              <w:left w:val="nil"/>
              <w:bottom w:val="single" w:sz="4" w:space="0" w:color="auto"/>
              <w:right w:val="single" w:sz="4" w:space="0" w:color="auto"/>
            </w:tcBorders>
            <w:shd w:val="clear" w:color="auto" w:fill="auto"/>
            <w:vAlign w:val="center"/>
            <w:hideMark/>
          </w:tcPr>
          <w:p w14:paraId="7C13ECA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-6.02</w:t>
            </w:r>
          </w:p>
        </w:tc>
        <w:tc>
          <w:tcPr>
            <w:tcW w:w="946" w:type="dxa"/>
            <w:tcBorders>
              <w:top w:val="nil"/>
              <w:left w:val="nil"/>
              <w:bottom w:val="single" w:sz="4" w:space="0" w:color="auto"/>
              <w:right w:val="single" w:sz="4" w:space="0" w:color="auto"/>
            </w:tcBorders>
            <w:shd w:val="clear" w:color="auto" w:fill="auto"/>
            <w:vAlign w:val="center"/>
            <w:hideMark/>
          </w:tcPr>
          <w:p w14:paraId="236AEE5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-2.48</w:t>
            </w:r>
          </w:p>
        </w:tc>
      </w:tr>
      <w:tr w:rsidR="00997A5D" w:rsidRPr="00167546" w14:paraId="3A46C33B"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0D71F96C"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Vasicine</w:t>
            </w:r>
          </w:p>
        </w:tc>
        <w:tc>
          <w:tcPr>
            <w:tcW w:w="974" w:type="dxa"/>
            <w:tcBorders>
              <w:top w:val="nil"/>
              <w:left w:val="nil"/>
              <w:bottom w:val="single" w:sz="4" w:space="0" w:color="auto"/>
              <w:right w:val="single" w:sz="4" w:space="0" w:color="auto"/>
            </w:tcBorders>
            <w:shd w:val="clear" w:color="auto" w:fill="auto"/>
            <w:vAlign w:val="center"/>
            <w:hideMark/>
          </w:tcPr>
          <w:p w14:paraId="687A617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-1.9</w:t>
            </w:r>
          </w:p>
        </w:tc>
        <w:tc>
          <w:tcPr>
            <w:tcW w:w="816" w:type="dxa"/>
            <w:tcBorders>
              <w:top w:val="nil"/>
              <w:left w:val="nil"/>
              <w:bottom w:val="single" w:sz="4" w:space="0" w:color="auto"/>
              <w:right w:val="single" w:sz="4" w:space="0" w:color="auto"/>
            </w:tcBorders>
            <w:shd w:val="clear" w:color="auto" w:fill="auto"/>
            <w:vAlign w:val="center"/>
            <w:hideMark/>
          </w:tcPr>
          <w:p w14:paraId="39F961F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-3.92</w:t>
            </w:r>
          </w:p>
        </w:tc>
        <w:tc>
          <w:tcPr>
            <w:tcW w:w="911" w:type="dxa"/>
            <w:tcBorders>
              <w:top w:val="nil"/>
              <w:left w:val="nil"/>
              <w:bottom w:val="single" w:sz="4" w:space="0" w:color="auto"/>
              <w:right w:val="single" w:sz="4" w:space="0" w:color="auto"/>
            </w:tcBorders>
            <w:shd w:val="clear" w:color="auto" w:fill="auto"/>
            <w:vAlign w:val="center"/>
            <w:hideMark/>
          </w:tcPr>
          <w:p w14:paraId="2F308E8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-2.15</w:t>
            </w:r>
          </w:p>
        </w:tc>
        <w:tc>
          <w:tcPr>
            <w:tcW w:w="950" w:type="dxa"/>
            <w:tcBorders>
              <w:top w:val="nil"/>
              <w:left w:val="nil"/>
              <w:bottom w:val="single" w:sz="4" w:space="0" w:color="auto"/>
              <w:right w:val="single" w:sz="4" w:space="0" w:color="auto"/>
            </w:tcBorders>
            <w:shd w:val="clear" w:color="auto" w:fill="auto"/>
            <w:vAlign w:val="center"/>
            <w:hideMark/>
          </w:tcPr>
          <w:p w14:paraId="74D9DC8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-3.67</w:t>
            </w:r>
          </w:p>
        </w:tc>
        <w:tc>
          <w:tcPr>
            <w:tcW w:w="963" w:type="dxa"/>
            <w:tcBorders>
              <w:top w:val="nil"/>
              <w:left w:val="nil"/>
              <w:bottom w:val="single" w:sz="4" w:space="0" w:color="auto"/>
              <w:right w:val="single" w:sz="4" w:space="0" w:color="auto"/>
            </w:tcBorders>
            <w:shd w:val="clear" w:color="auto" w:fill="auto"/>
            <w:vAlign w:val="center"/>
            <w:hideMark/>
          </w:tcPr>
          <w:p w14:paraId="64ED824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-5.53</w:t>
            </w:r>
          </w:p>
        </w:tc>
        <w:tc>
          <w:tcPr>
            <w:tcW w:w="963" w:type="dxa"/>
            <w:tcBorders>
              <w:top w:val="nil"/>
              <w:left w:val="nil"/>
              <w:bottom w:val="single" w:sz="4" w:space="0" w:color="auto"/>
              <w:right w:val="single" w:sz="4" w:space="0" w:color="auto"/>
            </w:tcBorders>
            <w:shd w:val="clear" w:color="auto" w:fill="auto"/>
            <w:vAlign w:val="center"/>
            <w:hideMark/>
          </w:tcPr>
          <w:p w14:paraId="06AACA6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-5.41</w:t>
            </w:r>
          </w:p>
        </w:tc>
        <w:tc>
          <w:tcPr>
            <w:tcW w:w="946" w:type="dxa"/>
            <w:tcBorders>
              <w:top w:val="nil"/>
              <w:left w:val="nil"/>
              <w:bottom w:val="single" w:sz="4" w:space="0" w:color="auto"/>
              <w:right w:val="single" w:sz="4" w:space="0" w:color="auto"/>
            </w:tcBorders>
            <w:shd w:val="clear" w:color="auto" w:fill="auto"/>
            <w:vAlign w:val="center"/>
            <w:hideMark/>
          </w:tcPr>
          <w:p w14:paraId="6123ECF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-2.22</w:t>
            </w:r>
          </w:p>
        </w:tc>
      </w:tr>
      <w:tr w:rsidR="00997A5D" w:rsidRPr="00167546" w14:paraId="37EC194B"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47BC7FCE"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Vasicinolone</w:t>
            </w:r>
          </w:p>
        </w:tc>
        <w:tc>
          <w:tcPr>
            <w:tcW w:w="974" w:type="dxa"/>
            <w:tcBorders>
              <w:top w:val="nil"/>
              <w:left w:val="nil"/>
              <w:bottom w:val="single" w:sz="4" w:space="0" w:color="auto"/>
              <w:right w:val="single" w:sz="4" w:space="0" w:color="auto"/>
            </w:tcBorders>
            <w:shd w:val="clear" w:color="auto" w:fill="auto"/>
            <w:vAlign w:val="center"/>
            <w:hideMark/>
          </w:tcPr>
          <w:p w14:paraId="257FE5B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-2.3</w:t>
            </w:r>
          </w:p>
        </w:tc>
        <w:tc>
          <w:tcPr>
            <w:tcW w:w="816" w:type="dxa"/>
            <w:tcBorders>
              <w:top w:val="nil"/>
              <w:left w:val="nil"/>
              <w:bottom w:val="single" w:sz="4" w:space="0" w:color="auto"/>
              <w:right w:val="single" w:sz="4" w:space="0" w:color="auto"/>
            </w:tcBorders>
            <w:shd w:val="clear" w:color="auto" w:fill="auto"/>
            <w:vAlign w:val="center"/>
            <w:hideMark/>
          </w:tcPr>
          <w:p w14:paraId="369C7C31"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-3.79</w:t>
            </w:r>
          </w:p>
        </w:tc>
        <w:tc>
          <w:tcPr>
            <w:tcW w:w="911" w:type="dxa"/>
            <w:tcBorders>
              <w:top w:val="nil"/>
              <w:left w:val="nil"/>
              <w:bottom w:val="single" w:sz="4" w:space="0" w:color="auto"/>
              <w:right w:val="single" w:sz="4" w:space="0" w:color="auto"/>
            </w:tcBorders>
            <w:shd w:val="clear" w:color="auto" w:fill="auto"/>
            <w:vAlign w:val="center"/>
            <w:hideMark/>
          </w:tcPr>
          <w:p w14:paraId="2C552E0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-2.93</w:t>
            </w:r>
          </w:p>
        </w:tc>
        <w:tc>
          <w:tcPr>
            <w:tcW w:w="950" w:type="dxa"/>
            <w:tcBorders>
              <w:top w:val="nil"/>
              <w:left w:val="nil"/>
              <w:bottom w:val="single" w:sz="4" w:space="0" w:color="auto"/>
              <w:right w:val="single" w:sz="4" w:space="0" w:color="auto"/>
            </w:tcBorders>
            <w:shd w:val="clear" w:color="auto" w:fill="auto"/>
            <w:vAlign w:val="center"/>
            <w:hideMark/>
          </w:tcPr>
          <w:p w14:paraId="5AD4A926"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-2.74</w:t>
            </w:r>
          </w:p>
        </w:tc>
        <w:tc>
          <w:tcPr>
            <w:tcW w:w="963" w:type="dxa"/>
            <w:tcBorders>
              <w:top w:val="nil"/>
              <w:left w:val="nil"/>
              <w:bottom w:val="single" w:sz="4" w:space="0" w:color="auto"/>
              <w:right w:val="single" w:sz="4" w:space="0" w:color="auto"/>
            </w:tcBorders>
            <w:shd w:val="clear" w:color="auto" w:fill="auto"/>
            <w:vAlign w:val="center"/>
            <w:hideMark/>
          </w:tcPr>
          <w:p w14:paraId="2B69FD62"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-6.3</w:t>
            </w:r>
          </w:p>
        </w:tc>
        <w:tc>
          <w:tcPr>
            <w:tcW w:w="963" w:type="dxa"/>
            <w:tcBorders>
              <w:top w:val="nil"/>
              <w:left w:val="nil"/>
              <w:bottom w:val="single" w:sz="4" w:space="0" w:color="auto"/>
              <w:right w:val="single" w:sz="4" w:space="0" w:color="auto"/>
            </w:tcBorders>
            <w:shd w:val="clear" w:color="auto" w:fill="auto"/>
            <w:vAlign w:val="center"/>
            <w:hideMark/>
          </w:tcPr>
          <w:p w14:paraId="1C2A65A1"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-6.91</w:t>
            </w:r>
          </w:p>
        </w:tc>
        <w:tc>
          <w:tcPr>
            <w:tcW w:w="946" w:type="dxa"/>
            <w:tcBorders>
              <w:top w:val="nil"/>
              <w:left w:val="nil"/>
              <w:bottom w:val="single" w:sz="4" w:space="0" w:color="auto"/>
              <w:right w:val="single" w:sz="4" w:space="0" w:color="auto"/>
            </w:tcBorders>
            <w:shd w:val="clear" w:color="auto" w:fill="auto"/>
            <w:vAlign w:val="center"/>
            <w:hideMark/>
          </w:tcPr>
          <w:p w14:paraId="2189A0D7"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themeColor="text1"/>
                <w:sz w:val="20"/>
                <w:szCs w:val="20"/>
                <w:lang w:eastAsia="en-GB"/>
              </w:rPr>
              <w:t>-3.24</w:t>
            </w:r>
          </w:p>
        </w:tc>
      </w:tr>
      <w:tr w:rsidR="00997A5D" w:rsidRPr="00167546" w14:paraId="21869F6F"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77932D22"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lastRenderedPageBreak/>
              <w:t>5_methoxyvasicine</w:t>
            </w:r>
          </w:p>
        </w:tc>
        <w:tc>
          <w:tcPr>
            <w:tcW w:w="974" w:type="dxa"/>
            <w:tcBorders>
              <w:top w:val="nil"/>
              <w:left w:val="nil"/>
              <w:bottom w:val="single" w:sz="4" w:space="0" w:color="auto"/>
              <w:right w:val="single" w:sz="4" w:space="0" w:color="auto"/>
            </w:tcBorders>
            <w:shd w:val="clear" w:color="auto" w:fill="auto"/>
            <w:vAlign w:val="center"/>
            <w:hideMark/>
          </w:tcPr>
          <w:p w14:paraId="643757D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-1.95</w:t>
            </w:r>
          </w:p>
        </w:tc>
        <w:tc>
          <w:tcPr>
            <w:tcW w:w="816" w:type="dxa"/>
            <w:tcBorders>
              <w:top w:val="nil"/>
              <w:left w:val="nil"/>
              <w:bottom w:val="single" w:sz="4" w:space="0" w:color="auto"/>
              <w:right w:val="single" w:sz="4" w:space="0" w:color="auto"/>
            </w:tcBorders>
            <w:shd w:val="clear" w:color="auto" w:fill="auto"/>
            <w:vAlign w:val="center"/>
            <w:hideMark/>
          </w:tcPr>
          <w:p w14:paraId="3A32329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-3.66</w:t>
            </w:r>
          </w:p>
        </w:tc>
        <w:tc>
          <w:tcPr>
            <w:tcW w:w="911" w:type="dxa"/>
            <w:tcBorders>
              <w:top w:val="nil"/>
              <w:left w:val="nil"/>
              <w:bottom w:val="single" w:sz="4" w:space="0" w:color="auto"/>
              <w:right w:val="single" w:sz="4" w:space="0" w:color="auto"/>
            </w:tcBorders>
            <w:shd w:val="clear" w:color="auto" w:fill="auto"/>
            <w:vAlign w:val="center"/>
            <w:hideMark/>
          </w:tcPr>
          <w:p w14:paraId="32CCAAD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-2.05</w:t>
            </w:r>
          </w:p>
        </w:tc>
        <w:tc>
          <w:tcPr>
            <w:tcW w:w="950" w:type="dxa"/>
            <w:tcBorders>
              <w:top w:val="nil"/>
              <w:left w:val="nil"/>
              <w:bottom w:val="single" w:sz="4" w:space="0" w:color="auto"/>
              <w:right w:val="single" w:sz="4" w:space="0" w:color="auto"/>
            </w:tcBorders>
            <w:shd w:val="clear" w:color="auto" w:fill="auto"/>
            <w:vAlign w:val="center"/>
            <w:hideMark/>
          </w:tcPr>
          <w:p w14:paraId="70C3EDD2"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-2.04</w:t>
            </w:r>
          </w:p>
        </w:tc>
        <w:tc>
          <w:tcPr>
            <w:tcW w:w="963" w:type="dxa"/>
            <w:tcBorders>
              <w:top w:val="nil"/>
              <w:left w:val="nil"/>
              <w:bottom w:val="single" w:sz="4" w:space="0" w:color="auto"/>
              <w:right w:val="single" w:sz="4" w:space="0" w:color="auto"/>
            </w:tcBorders>
            <w:shd w:val="clear" w:color="auto" w:fill="auto"/>
            <w:vAlign w:val="center"/>
            <w:hideMark/>
          </w:tcPr>
          <w:p w14:paraId="2787961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-5.3</w:t>
            </w:r>
          </w:p>
        </w:tc>
        <w:tc>
          <w:tcPr>
            <w:tcW w:w="963" w:type="dxa"/>
            <w:tcBorders>
              <w:top w:val="nil"/>
              <w:left w:val="nil"/>
              <w:bottom w:val="single" w:sz="4" w:space="0" w:color="auto"/>
              <w:right w:val="single" w:sz="4" w:space="0" w:color="auto"/>
            </w:tcBorders>
            <w:shd w:val="clear" w:color="auto" w:fill="auto"/>
            <w:vAlign w:val="center"/>
            <w:hideMark/>
          </w:tcPr>
          <w:p w14:paraId="1794B88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-5.81</w:t>
            </w:r>
          </w:p>
        </w:tc>
        <w:tc>
          <w:tcPr>
            <w:tcW w:w="946" w:type="dxa"/>
            <w:tcBorders>
              <w:top w:val="nil"/>
              <w:left w:val="nil"/>
              <w:bottom w:val="single" w:sz="4" w:space="0" w:color="auto"/>
              <w:right w:val="single" w:sz="4" w:space="0" w:color="auto"/>
            </w:tcBorders>
            <w:shd w:val="clear" w:color="auto" w:fill="auto"/>
            <w:vAlign w:val="center"/>
            <w:hideMark/>
          </w:tcPr>
          <w:p w14:paraId="3F790A22"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-1.23</w:t>
            </w:r>
          </w:p>
        </w:tc>
      </w:tr>
      <w:tr w:rsidR="00997A5D" w:rsidRPr="00167546" w14:paraId="5C1566CE"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449F1A13"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proofErr w:type="spellStart"/>
            <w:r w:rsidRPr="00167546">
              <w:rPr>
                <w:rFonts w:ascii="Arial" w:eastAsia="Times New Roman" w:hAnsi="Arial" w:cs="Arial"/>
                <w:color w:val="000000"/>
                <w:sz w:val="20"/>
                <w:szCs w:val="20"/>
                <w:lang w:eastAsia="en-GB"/>
              </w:rPr>
              <w:t>Vasicine_glycoside</w:t>
            </w:r>
            <w:proofErr w:type="spellEnd"/>
          </w:p>
        </w:tc>
        <w:tc>
          <w:tcPr>
            <w:tcW w:w="974" w:type="dxa"/>
            <w:tcBorders>
              <w:top w:val="nil"/>
              <w:left w:val="nil"/>
              <w:bottom w:val="single" w:sz="4" w:space="0" w:color="auto"/>
              <w:right w:val="single" w:sz="4" w:space="0" w:color="auto"/>
            </w:tcBorders>
            <w:shd w:val="clear" w:color="auto" w:fill="auto"/>
            <w:vAlign w:val="center"/>
            <w:hideMark/>
          </w:tcPr>
          <w:p w14:paraId="26B81FF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-3.59</w:t>
            </w:r>
          </w:p>
        </w:tc>
        <w:tc>
          <w:tcPr>
            <w:tcW w:w="816" w:type="dxa"/>
            <w:tcBorders>
              <w:top w:val="nil"/>
              <w:left w:val="nil"/>
              <w:bottom w:val="single" w:sz="4" w:space="0" w:color="auto"/>
              <w:right w:val="single" w:sz="4" w:space="0" w:color="auto"/>
            </w:tcBorders>
            <w:shd w:val="clear" w:color="auto" w:fill="auto"/>
            <w:vAlign w:val="center"/>
            <w:hideMark/>
          </w:tcPr>
          <w:p w14:paraId="00AE66F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-6.11</w:t>
            </w:r>
          </w:p>
        </w:tc>
        <w:tc>
          <w:tcPr>
            <w:tcW w:w="911" w:type="dxa"/>
            <w:tcBorders>
              <w:top w:val="nil"/>
              <w:left w:val="nil"/>
              <w:bottom w:val="single" w:sz="4" w:space="0" w:color="auto"/>
              <w:right w:val="single" w:sz="4" w:space="0" w:color="auto"/>
            </w:tcBorders>
            <w:shd w:val="clear" w:color="auto" w:fill="auto"/>
            <w:vAlign w:val="center"/>
            <w:hideMark/>
          </w:tcPr>
          <w:p w14:paraId="3DB1330D"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-3.73</w:t>
            </w:r>
          </w:p>
        </w:tc>
        <w:tc>
          <w:tcPr>
            <w:tcW w:w="950" w:type="dxa"/>
            <w:tcBorders>
              <w:top w:val="nil"/>
              <w:left w:val="nil"/>
              <w:bottom w:val="single" w:sz="4" w:space="0" w:color="auto"/>
              <w:right w:val="single" w:sz="4" w:space="0" w:color="auto"/>
            </w:tcBorders>
            <w:shd w:val="clear" w:color="auto" w:fill="auto"/>
            <w:vAlign w:val="center"/>
            <w:hideMark/>
          </w:tcPr>
          <w:p w14:paraId="52005656"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-4.03</w:t>
            </w:r>
          </w:p>
        </w:tc>
        <w:tc>
          <w:tcPr>
            <w:tcW w:w="963" w:type="dxa"/>
            <w:tcBorders>
              <w:top w:val="nil"/>
              <w:left w:val="nil"/>
              <w:bottom w:val="single" w:sz="4" w:space="0" w:color="auto"/>
              <w:right w:val="single" w:sz="4" w:space="0" w:color="auto"/>
            </w:tcBorders>
            <w:shd w:val="clear" w:color="auto" w:fill="auto"/>
            <w:vAlign w:val="center"/>
            <w:hideMark/>
          </w:tcPr>
          <w:p w14:paraId="71FCF3A9"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-8.22</w:t>
            </w:r>
          </w:p>
        </w:tc>
        <w:tc>
          <w:tcPr>
            <w:tcW w:w="963" w:type="dxa"/>
            <w:tcBorders>
              <w:top w:val="nil"/>
              <w:left w:val="nil"/>
              <w:bottom w:val="single" w:sz="4" w:space="0" w:color="auto"/>
              <w:right w:val="single" w:sz="4" w:space="0" w:color="auto"/>
            </w:tcBorders>
            <w:shd w:val="clear" w:color="auto" w:fill="auto"/>
            <w:vAlign w:val="center"/>
            <w:hideMark/>
          </w:tcPr>
          <w:p w14:paraId="101C931B"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-5.97</w:t>
            </w:r>
          </w:p>
        </w:tc>
        <w:tc>
          <w:tcPr>
            <w:tcW w:w="946" w:type="dxa"/>
            <w:tcBorders>
              <w:top w:val="nil"/>
              <w:left w:val="nil"/>
              <w:bottom w:val="single" w:sz="4" w:space="0" w:color="auto"/>
              <w:right w:val="single" w:sz="4" w:space="0" w:color="auto"/>
            </w:tcBorders>
            <w:shd w:val="clear" w:color="auto" w:fill="auto"/>
            <w:vAlign w:val="center"/>
            <w:hideMark/>
          </w:tcPr>
          <w:p w14:paraId="33443E4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-3.73</w:t>
            </w:r>
          </w:p>
        </w:tc>
      </w:tr>
      <w:tr w:rsidR="00997A5D" w:rsidRPr="00167546" w14:paraId="7D49F492" w14:textId="77777777" w:rsidTr="00C157B8">
        <w:trPr>
          <w:trHeight w:val="3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3C15DE34"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Vasicinone</w:t>
            </w:r>
          </w:p>
        </w:tc>
        <w:tc>
          <w:tcPr>
            <w:tcW w:w="974" w:type="dxa"/>
            <w:tcBorders>
              <w:top w:val="nil"/>
              <w:left w:val="nil"/>
              <w:bottom w:val="single" w:sz="4" w:space="0" w:color="auto"/>
              <w:right w:val="single" w:sz="4" w:space="0" w:color="auto"/>
            </w:tcBorders>
            <w:shd w:val="clear" w:color="auto" w:fill="auto"/>
            <w:vAlign w:val="center"/>
            <w:hideMark/>
          </w:tcPr>
          <w:p w14:paraId="2DFA43E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-2.19</w:t>
            </w:r>
          </w:p>
        </w:tc>
        <w:tc>
          <w:tcPr>
            <w:tcW w:w="816" w:type="dxa"/>
            <w:tcBorders>
              <w:top w:val="nil"/>
              <w:left w:val="nil"/>
              <w:bottom w:val="single" w:sz="4" w:space="0" w:color="auto"/>
              <w:right w:val="single" w:sz="4" w:space="0" w:color="auto"/>
            </w:tcBorders>
            <w:shd w:val="clear" w:color="auto" w:fill="auto"/>
            <w:vAlign w:val="center"/>
            <w:hideMark/>
          </w:tcPr>
          <w:p w14:paraId="750C255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-4.55</w:t>
            </w:r>
          </w:p>
        </w:tc>
        <w:tc>
          <w:tcPr>
            <w:tcW w:w="911" w:type="dxa"/>
            <w:tcBorders>
              <w:top w:val="nil"/>
              <w:left w:val="nil"/>
              <w:bottom w:val="single" w:sz="4" w:space="0" w:color="auto"/>
              <w:right w:val="single" w:sz="4" w:space="0" w:color="auto"/>
            </w:tcBorders>
            <w:shd w:val="clear" w:color="auto" w:fill="auto"/>
            <w:vAlign w:val="center"/>
            <w:hideMark/>
          </w:tcPr>
          <w:p w14:paraId="6E02A4A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-2.33</w:t>
            </w:r>
          </w:p>
        </w:tc>
        <w:tc>
          <w:tcPr>
            <w:tcW w:w="950" w:type="dxa"/>
            <w:tcBorders>
              <w:top w:val="nil"/>
              <w:left w:val="nil"/>
              <w:bottom w:val="single" w:sz="4" w:space="0" w:color="auto"/>
              <w:right w:val="single" w:sz="4" w:space="0" w:color="auto"/>
            </w:tcBorders>
            <w:shd w:val="clear" w:color="auto" w:fill="auto"/>
            <w:vAlign w:val="center"/>
            <w:hideMark/>
          </w:tcPr>
          <w:p w14:paraId="767346F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-3.21</w:t>
            </w:r>
          </w:p>
        </w:tc>
        <w:tc>
          <w:tcPr>
            <w:tcW w:w="963" w:type="dxa"/>
            <w:tcBorders>
              <w:top w:val="nil"/>
              <w:left w:val="nil"/>
              <w:bottom w:val="single" w:sz="4" w:space="0" w:color="auto"/>
              <w:right w:val="single" w:sz="4" w:space="0" w:color="auto"/>
            </w:tcBorders>
            <w:shd w:val="clear" w:color="auto" w:fill="auto"/>
            <w:vAlign w:val="center"/>
            <w:hideMark/>
          </w:tcPr>
          <w:p w14:paraId="3F75BF9B"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-6.58</w:t>
            </w:r>
          </w:p>
        </w:tc>
        <w:tc>
          <w:tcPr>
            <w:tcW w:w="963" w:type="dxa"/>
            <w:tcBorders>
              <w:top w:val="nil"/>
              <w:left w:val="nil"/>
              <w:bottom w:val="single" w:sz="4" w:space="0" w:color="auto"/>
              <w:right w:val="single" w:sz="4" w:space="0" w:color="auto"/>
            </w:tcBorders>
            <w:shd w:val="clear" w:color="auto" w:fill="auto"/>
            <w:vAlign w:val="center"/>
            <w:hideMark/>
          </w:tcPr>
          <w:p w14:paraId="2344635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-4.44</w:t>
            </w:r>
          </w:p>
        </w:tc>
        <w:tc>
          <w:tcPr>
            <w:tcW w:w="946" w:type="dxa"/>
            <w:tcBorders>
              <w:top w:val="nil"/>
              <w:left w:val="nil"/>
              <w:bottom w:val="single" w:sz="4" w:space="0" w:color="auto"/>
              <w:right w:val="single" w:sz="4" w:space="0" w:color="auto"/>
            </w:tcBorders>
            <w:shd w:val="clear" w:color="auto" w:fill="auto"/>
            <w:vAlign w:val="center"/>
            <w:hideMark/>
          </w:tcPr>
          <w:p w14:paraId="11A4E09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-2.6</w:t>
            </w:r>
          </w:p>
        </w:tc>
      </w:tr>
      <w:tr w:rsidR="00997A5D" w:rsidRPr="00167546" w14:paraId="0F5DECF4"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193889D1" w14:textId="77777777" w:rsidR="00997A5D" w:rsidRDefault="00997A5D" w:rsidP="00C157B8">
            <w:pPr>
              <w:spacing w:after="0" w:line="480" w:lineRule="auto"/>
              <w:rPr>
                <w:rFonts w:ascii="Arial" w:eastAsia="Times New Roman" w:hAnsi="Arial" w:cs="Arial"/>
                <w:color w:val="C00000"/>
                <w:sz w:val="20"/>
                <w:szCs w:val="20"/>
                <w:lang w:eastAsia="en-GB"/>
              </w:rPr>
            </w:pPr>
            <w:r w:rsidRPr="00167546">
              <w:rPr>
                <w:rFonts w:ascii="Arial" w:eastAsia="Times New Roman" w:hAnsi="Arial" w:cs="Arial"/>
                <w:color w:val="C00000"/>
                <w:sz w:val="20"/>
                <w:szCs w:val="20"/>
                <w:lang w:eastAsia="en-GB"/>
              </w:rPr>
              <w:t>Luteolin_6_8_di_</w:t>
            </w:r>
          </w:p>
          <w:p w14:paraId="290BC54F"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proofErr w:type="spellStart"/>
            <w:r w:rsidRPr="00167546">
              <w:rPr>
                <w:rFonts w:ascii="Arial" w:eastAsia="Times New Roman" w:hAnsi="Arial" w:cs="Arial"/>
                <w:color w:val="C00000"/>
                <w:sz w:val="20"/>
                <w:szCs w:val="20"/>
                <w:lang w:eastAsia="en-GB"/>
              </w:rPr>
              <w:t>C_glucoside</w:t>
            </w:r>
            <w:proofErr w:type="spellEnd"/>
          </w:p>
        </w:tc>
        <w:tc>
          <w:tcPr>
            <w:tcW w:w="974" w:type="dxa"/>
            <w:tcBorders>
              <w:top w:val="nil"/>
              <w:left w:val="nil"/>
              <w:bottom w:val="single" w:sz="4" w:space="0" w:color="auto"/>
              <w:right w:val="single" w:sz="4" w:space="0" w:color="auto"/>
            </w:tcBorders>
            <w:shd w:val="clear" w:color="auto" w:fill="auto"/>
            <w:vAlign w:val="center"/>
            <w:hideMark/>
          </w:tcPr>
          <w:p w14:paraId="439D2BE2"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-9.31</w:t>
            </w:r>
          </w:p>
        </w:tc>
        <w:tc>
          <w:tcPr>
            <w:tcW w:w="816" w:type="dxa"/>
            <w:tcBorders>
              <w:top w:val="nil"/>
              <w:left w:val="nil"/>
              <w:bottom w:val="single" w:sz="4" w:space="0" w:color="auto"/>
              <w:right w:val="single" w:sz="4" w:space="0" w:color="auto"/>
            </w:tcBorders>
            <w:shd w:val="clear" w:color="auto" w:fill="auto"/>
            <w:vAlign w:val="center"/>
            <w:hideMark/>
          </w:tcPr>
          <w:p w14:paraId="7FA9622D"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-7.08</w:t>
            </w:r>
          </w:p>
        </w:tc>
        <w:tc>
          <w:tcPr>
            <w:tcW w:w="911" w:type="dxa"/>
            <w:tcBorders>
              <w:top w:val="nil"/>
              <w:left w:val="nil"/>
              <w:bottom w:val="single" w:sz="4" w:space="0" w:color="auto"/>
              <w:right w:val="single" w:sz="4" w:space="0" w:color="auto"/>
            </w:tcBorders>
            <w:shd w:val="clear" w:color="auto" w:fill="auto"/>
            <w:vAlign w:val="center"/>
            <w:hideMark/>
          </w:tcPr>
          <w:p w14:paraId="202859D3"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-6.94</w:t>
            </w:r>
          </w:p>
        </w:tc>
        <w:tc>
          <w:tcPr>
            <w:tcW w:w="950" w:type="dxa"/>
            <w:tcBorders>
              <w:top w:val="nil"/>
              <w:left w:val="nil"/>
              <w:bottom w:val="single" w:sz="4" w:space="0" w:color="auto"/>
              <w:right w:val="single" w:sz="4" w:space="0" w:color="auto"/>
            </w:tcBorders>
            <w:shd w:val="clear" w:color="auto" w:fill="auto"/>
            <w:vAlign w:val="center"/>
            <w:hideMark/>
          </w:tcPr>
          <w:p w14:paraId="470AC8B2"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NA</w:t>
            </w:r>
          </w:p>
        </w:tc>
        <w:tc>
          <w:tcPr>
            <w:tcW w:w="963" w:type="dxa"/>
            <w:tcBorders>
              <w:top w:val="nil"/>
              <w:left w:val="nil"/>
              <w:bottom w:val="single" w:sz="4" w:space="0" w:color="auto"/>
              <w:right w:val="single" w:sz="4" w:space="0" w:color="auto"/>
            </w:tcBorders>
            <w:shd w:val="clear" w:color="auto" w:fill="auto"/>
            <w:vAlign w:val="center"/>
            <w:hideMark/>
          </w:tcPr>
          <w:p w14:paraId="03C234BA"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-12.08</w:t>
            </w:r>
          </w:p>
        </w:tc>
        <w:tc>
          <w:tcPr>
            <w:tcW w:w="963" w:type="dxa"/>
            <w:tcBorders>
              <w:top w:val="nil"/>
              <w:left w:val="nil"/>
              <w:bottom w:val="single" w:sz="4" w:space="0" w:color="auto"/>
              <w:right w:val="single" w:sz="4" w:space="0" w:color="auto"/>
            </w:tcBorders>
            <w:shd w:val="clear" w:color="auto" w:fill="auto"/>
            <w:vAlign w:val="center"/>
            <w:hideMark/>
          </w:tcPr>
          <w:p w14:paraId="4C6D71CD"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-10.55</w:t>
            </w:r>
          </w:p>
        </w:tc>
        <w:tc>
          <w:tcPr>
            <w:tcW w:w="946" w:type="dxa"/>
            <w:tcBorders>
              <w:top w:val="nil"/>
              <w:left w:val="nil"/>
              <w:bottom w:val="single" w:sz="4" w:space="0" w:color="auto"/>
              <w:right w:val="single" w:sz="4" w:space="0" w:color="auto"/>
            </w:tcBorders>
            <w:shd w:val="clear" w:color="auto" w:fill="auto"/>
            <w:vAlign w:val="center"/>
            <w:hideMark/>
          </w:tcPr>
          <w:p w14:paraId="1DB3A216"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-8.36</w:t>
            </w:r>
          </w:p>
        </w:tc>
      </w:tr>
      <w:tr w:rsidR="00997A5D" w:rsidRPr="00167546" w14:paraId="76F4CAA6" w14:textId="77777777" w:rsidTr="00C157B8">
        <w:trPr>
          <w:trHeight w:val="7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215800A5" w14:textId="77777777" w:rsidR="00997A5D" w:rsidRDefault="00997A5D" w:rsidP="00C157B8">
            <w:pPr>
              <w:spacing w:after="0" w:line="480" w:lineRule="auto"/>
              <w:rPr>
                <w:rFonts w:ascii="Arial" w:eastAsia="Times New Roman" w:hAnsi="Arial" w:cs="Arial"/>
                <w:color w:val="C00000"/>
                <w:sz w:val="20"/>
                <w:szCs w:val="20"/>
                <w:lang w:eastAsia="en-GB"/>
              </w:rPr>
            </w:pPr>
            <w:r w:rsidRPr="00167546">
              <w:rPr>
                <w:rFonts w:ascii="Arial" w:eastAsia="Times New Roman" w:hAnsi="Arial" w:cs="Arial"/>
                <w:color w:val="C00000"/>
                <w:sz w:val="20"/>
                <w:szCs w:val="20"/>
                <w:lang w:eastAsia="en-GB"/>
              </w:rPr>
              <w:t>Luteolin_6C_glucoside</w:t>
            </w:r>
          </w:p>
          <w:p w14:paraId="481D6FAA"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_8C_arabinoside</w:t>
            </w:r>
          </w:p>
        </w:tc>
        <w:tc>
          <w:tcPr>
            <w:tcW w:w="974" w:type="dxa"/>
            <w:tcBorders>
              <w:top w:val="nil"/>
              <w:left w:val="nil"/>
              <w:bottom w:val="single" w:sz="4" w:space="0" w:color="auto"/>
              <w:right w:val="single" w:sz="4" w:space="0" w:color="auto"/>
            </w:tcBorders>
            <w:shd w:val="clear" w:color="auto" w:fill="auto"/>
            <w:vAlign w:val="center"/>
            <w:hideMark/>
          </w:tcPr>
          <w:p w14:paraId="2C51AFAA"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-7.93</w:t>
            </w:r>
          </w:p>
        </w:tc>
        <w:tc>
          <w:tcPr>
            <w:tcW w:w="816" w:type="dxa"/>
            <w:tcBorders>
              <w:top w:val="nil"/>
              <w:left w:val="nil"/>
              <w:bottom w:val="single" w:sz="4" w:space="0" w:color="auto"/>
              <w:right w:val="single" w:sz="4" w:space="0" w:color="auto"/>
            </w:tcBorders>
            <w:shd w:val="clear" w:color="auto" w:fill="auto"/>
            <w:vAlign w:val="center"/>
            <w:hideMark/>
          </w:tcPr>
          <w:p w14:paraId="54CCDD9B"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-6.63</w:t>
            </w:r>
          </w:p>
        </w:tc>
        <w:tc>
          <w:tcPr>
            <w:tcW w:w="911" w:type="dxa"/>
            <w:tcBorders>
              <w:top w:val="nil"/>
              <w:left w:val="nil"/>
              <w:bottom w:val="single" w:sz="4" w:space="0" w:color="auto"/>
              <w:right w:val="single" w:sz="4" w:space="0" w:color="auto"/>
            </w:tcBorders>
            <w:shd w:val="clear" w:color="auto" w:fill="auto"/>
            <w:vAlign w:val="center"/>
            <w:hideMark/>
          </w:tcPr>
          <w:p w14:paraId="525E5CC6"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-5.74</w:t>
            </w:r>
          </w:p>
        </w:tc>
        <w:tc>
          <w:tcPr>
            <w:tcW w:w="950" w:type="dxa"/>
            <w:tcBorders>
              <w:top w:val="nil"/>
              <w:left w:val="nil"/>
              <w:bottom w:val="single" w:sz="4" w:space="0" w:color="auto"/>
              <w:right w:val="single" w:sz="4" w:space="0" w:color="auto"/>
            </w:tcBorders>
            <w:shd w:val="clear" w:color="auto" w:fill="auto"/>
            <w:vAlign w:val="center"/>
            <w:hideMark/>
          </w:tcPr>
          <w:p w14:paraId="0919ED2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-4.22</w:t>
            </w:r>
          </w:p>
        </w:tc>
        <w:tc>
          <w:tcPr>
            <w:tcW w:w="963" w:type="dxa"/>
            <w:tcBorders>
              <w:top w:val="nil"/>
              <w:left w:val="nil"/>
              <w:bottom w:val="single" w:sz="4" w:space="0" w:color="auto"/>
              <w:right w:val="single" w:sz="4" w:space="0" w:color="auto"/>
            </w:tcBorders>
            <w:shd w:val="clear" w:color="auto" w:fill="auto"/>
            <w:vAlign w:val="center"/>
            <w:hideMark/>
          </w:tcPr>
          <w:p w14:paraId="42AAAC42"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-10.25</w:t>
            </w:r>
          </w:p>
        </w:tc>
        <w:tc>
          <w:tcPr>
            <w:tcW w:w="963" w:type="dxa"/>
            <w:tcBorders>
              <w:top w:val="nil"/>
              <w:left w:val="nil"/>
              <w:bottom w:val="single" w:sz="4" w:space="0" w:color="auto"/>
              <w:right w:val="single" w:sz="4" w:space="0" w:color="auto"/>
            </w:tcBorders>
            <w:shd w:val="clear" w:color="auto" w:fill="auto"/>
            <w:vAlign w:val="center"/>
            <w:hideMark/>
          </w:tcPr>
          <w:p w14:paraId="289F2C55"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-9.61</w:t>
            </w:r>
          </w:p>
        </w:tc>
        <w:tc>
          <w:tcPr>
            <w:tcW w:w="946" w:type="dxa"/>
            <w:tcBorders>
              <w:top w:val="nil"/>
              <w:left w:val="nil"/>
              <w:bottom w:val="single" w:sz="4" w:space="0" w:color="auto"/>
              <w:right w:val="single" w:sz="4" w:space="0" w:color="auto"/>
            </w:tcBorders>
            <w:shd w:val="clear" w:color="auto" w:fill="auto"/>
            <w:vAlign w:val="center"/>
            <w:hideMark/>
          </w:tcPr>
          <w:p w14:paraId="7D746FDF"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-9.41</w:t>
            </w:r>
          </w:p>
        </w:tc>
      </w:tr>
      <w:tr w:rsidR="00997A5D" w:rsidRPr="00167546" w14:paraId="41FF119E"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280F4043"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Kaempferol_3_O_rutinoside</w:t>
            </w:r>
          </w:p>
        </w:tc>
        <w:tc>
          <w:tcPr>
            <w:tcW w:w="974" w:type="dxa"/>
            <w:tcBorders>
              <w:top w:val="nil"/>
              <w:left w:val="nil"/>
              <w:bottom w:val="single" w:sz="4" w:space="0" w:color="auto"/>
              <w:right w:val="single" w:sz="4" w:space="0" w:color="auto"/>
            </w:tcBorders>
            <w:shd w:val="clear" w:color="auto" w:fill="auto"/>
            <w:vAlign w:val="center"/>
            <w:hideMark/>
          </w:tcPr>
          <w:p w14:paraId="6C210ADA"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-7.92</w:t>
            </w:r>
          </w:p>
        </w:tc>
        <w:tc>
          <w:tcPr>
            <w:tcW w:w="816" w:type="dxa"/>
            <w:tcBorders>
              <w:top w:val="nil"/>
              <w:left w:val="nil"/>
              <w:bottom w:val="single" w:sz="4" w:space="0" w:color="auto"/>
              <w:right w:val="single" w:sz="4" w:space="0" w:color="auto"/>
            </w:tcBorders>
            <w:shd w:val="clear" w:color="auto" w:fill="auto"/>
            <w:vAlign w:val="center"/>
            <w:hideMark/>
          </w:tcPr>
          <w:p w14:paraId="4AAA3618"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-7.16</w:t>
            </w:r>
          </w:p>
        </w:tc>
        <w:tc>
          <w:tcPr>
            <w:tcW w:w="911" w:type="dxa"/>
            <w:tcBorders>
              <w:top w:val="nil"/>
              <w:left w:val="nil"/>
              <w:bottom w:val="single" w:sz="4" w:space="0" w:color="auto"/>
              <w:right w:val="single" w:sz="4" w:space="0" w:color="auto"/>
            </w:tcBorders>
            <w:shd w:val="clear" w:color="auto" w:fill="auto"/>
            <w:vAlign w:val="center"/>
            <w:hideMark/>
          </w:tcPr>
          <w:p w14:paraId="7EEA1BF1"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-5.87</w:t>
            </w:r>
          </w:p>
        </w:tc>
        <w:tc>
          <w:tcPr>
            <w:tcW w:w="950" w:type="dxa"/>
            <w:tcBorders>
              <w:top w:val="nil"/>
              <w:left w:val="nil"/>
              <w:bottom w:val="single" w:sz="4" w:space="0" w:color="auto"/>
              <w:right w:val="single" w:sz="4" w:space="0" w:color="auto"/>
            </w:tcBorders>
            <w:shd w:val="clear" w:color="auto" w:fill="auto"/>
            <w:vAlign w:val="center"/>
            <w:hideMark/>
          </w:tcPr>
          <w:p w14:paraId="763EFBF6"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-7.45</w:t>
            </w:r>
          </w:p>
        </w:tc>
        <w:tc>
          <w:tcPr>
            <w:tcW w:w="963" w:type="dxa"/>
            <w:tcBorders>
              <w:top w:val="nil"/>
              <w:left w:val="nil"/>
              <w:bottom w:val="single" w:sz="4" w:space="0" w:color="auto"/>
              <w:right w:val="single" w:sz="4" w:space="0" w:color="auto"/>
            </w:tcBorders>
            <w:shd w:val="clear" w:color="auto" w:fill="auto"/>
            <w:vAlign w:val="center"/>
            <w:hideMark/>
          </w:tcPr>
          <w:p w14:paraId="6954FFAE"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-7.83</w:t>
            </w:r>
          </w:p>
        </w:tc>
        <w:tc>
          <w:tcPr>
            <w:tcW w:w="963" w:type="dxa"/>
            <w:tcBorders>
              <w:top w:val="nil"/>
              <w:left w:val="nil"/>
              <w:bottom w:val="single" w:sz="4" w:space="0" w:color="auto"/>
              <w:right w:val="single" w:sz="4" w:space="0" w:color="auto"/>
            </w:tcBorders>
            <w:shd w:val="clear" w:color="auto" w:fill="auto"/>
            <w:vAlign w:val="center"/>
            <w:hideMark/>
          </w:tcPr>
          <w:p w14:paraId="7CE1A507"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-6.73</w:t>
            </w:r>
          </w:p>
        </w:tc>
        <w:tc>
          <w:tcPr>
            <w:tcW w:w="946" w:type="dxa"/>
            <w:tcBorders>
              <w:top w:val="nil"/>
              <w:left w:val="nil"/>
              <w:bottom w:val="single" w:sz="4" w:space="0" w:color="auto"/>
              <w:right w:val="single" w:sz="4" w:space="0" w:color="auto"/>
            </w:tcBorders>
            <w:shd w:val="clear" w:color="auto" w:fill="auto"/>
            <w:vAlign w:val="center"/>
            <w:hideMark/>
          </w:tcPr>
          <w:p w14:paraId="7784F02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themeColor="text1"/>
                <w:sz w:val="20"/>
                <w:szCs w:val="20"/>
                <w:lang w:eastAsia="en-GB"/>
              </w:rPr>
              <w:t>-5.63</w:t>
            </w:r>
          </w:p>
        </w:tc>
      </w:tr>
      <w:tr w:rsidR="00997A5D" w:rsidRPr="00167546" w14:paraId="4E015CC0" w14:textId="77777777" w:rsidTr="00C157B8">
        <w:trPr>
          <w:trHeight w:val="72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7153AC71" w14:textId="77777777" w:rsidR="00997A5D" w:rsidRDefault="00997A5D" w:rsidP="00C157B8">
            <w:pPr>
              <w:spacing w:after="0" w:line="480" w:lineRule="auto"/>
              <w:rPr>
                <w:rFonts w:ascii="Arial" w:eastAsia="Times New Roman" w:hAnsi="Arial" w:cs="Arial"/>
                <w:color w:val="C00000"/>
                <w:sz w:val="20"/>
                <w:szCs w:val="20"/>
                <w:lang w:eastAsia="en-GB"/>
              </w:rPr>
            </w:pPr>
            <w:r w:rsidRPr="00167546">
              <w:rPr>
                <w:rFonts w:ascii="Arial" w:eastAsia="Times New Roman" w:hAnsi="Arial" w:cs="Arial"/>
                <w:color w:val="C00000"/>
                <w:sz w:val="20"/>
                <w:szCs w:val="20"/>
                <w:lang w:eastAsia="en-GB"/>
              </w:rPr>
              <w:t>Apigenin_6C_glucoside_</w:t>
            </w:r>
          </w:p>
          <w:p w14:paraId="320B6748"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8C_arabinoside</w:t>
            </w:r>
          </w:p>
        </w:tc>
        <w:tc>
          <w:tcPr>
            <w:tcW w:w="974" w:type="dxa"/>
            <w:tcBorders>
              <w:top w:val="nil"/>
              <w:left w:val="nil"/>
              <w:bottom w:val="single" w:sz="4" w:space="0" w:color="auto"/>
              <w:right w:val="single" w:sz="4" w:space="0" w:color="auto"/>
            </w:tcBorders>
            <w:shd w:val="clear" w:color="auto" w:fill="auto"/>
            <w:vAlign w:val="center"/>
            <w:hideMark/>
          </w:tcPr>
          <w:p w14:paraId="7A861549"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-7.55</w:t>
            </w:r>
          </w:p>
        </w:tc>
        <w:tc>
          <w:tcPr>
            <w:tcW w:w="816" w:type="dxa"/>
            <w:tcBorders>
              <w:top w:val="nil"/>
              <w:left w:val="nil"/>
              <w:bottom w:val="single" w:sz="4" w:space="0" w:color="auto"/>
              <w:right w:val="single" w:sz="4" w:space="0" w:color="auto"/>
            </w:tcBorders>
            <w:shd w:val="clear" w:color="auto" w:fill="auto"/>
            <w:vAlign w:val="center"/>
            <w:hideMark/>
          </w:tcPr>
          <w:p w14:paraId="04EB937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-4.31</w:t>
            </w:r>
          </w:p>
        </w:tc>
        <w:tc>
          <w:tcPr>
            <w:tcW w:w="911" w:type="dxa"/>
            <w:tcBorders>
              <w:top w:val="nil"/>
              <w:left w:val="nil"/>
              <w:bottom w:val="single" w:sz="4" w:space="0" w:color="auto"/>
              <w:right w:val="single" w:sz="4" w:space="0" w:color="auto"/>
            </w:tcBorders>
            <w:shd w:val="clear" w:color="auto" w:fill="auto"/>
            <w:vAlign w:val="center"/>
            <w:hideMark/>
          </w:tcPr>
          <w:p w14:paraId="5C84550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-5.12</w:t>
            </w:r>
          </w:p>
        </w:tc>
        <w:tc>
          <w:tcPr>
            <w:tcW w:w="950" w:type="dxa"/>
            <w:tcBorders>
              <w:top w:val="nil"/>
              <w:left w:val="nil"/>
              <w:bottom w:val="single" w:sz="4" w:space="0" w:color="auto"/>
              <w:right w:val="single" w:sz="4" w:space="0" w:color="auto"/>
            </w:tcBorders>
            <w:shd w:val="clear" w:color="auto" w:fill="auto"/>
            <w:vAlign w:val="center"/>
            <w:hideMark/>
          </w:tcPr>
          <w:p w14:paraId="5BBFCF5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-3.71</w:t>
            </w:r>
          </w:p>
        </w:tc>
        <w:tc>
          <w:tcPr>
            <w:tcW w:w="963" w:type="dxa"/>
            <w:tcBorders>
              <w:top w:val="nil"/>
              <w:left w:val="nil"/>
              <w:bottom w:val="single" w:sz="4" w:space="0" w:color="auto"/>
              <w:right w:val="single" w:sz="4" w:space="0" w:color="auto"/>
            </w:tcBorders>
            <w:shd w:val="clear" w:color="auto" w:fill="auto"/>
            <w:vAlign w:val="center"/>
            <w:hideMark/>
          </w:tcPr>
          <w:p w14:paraId="6882A4A8"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-9.09</w:t>
            </w:r>
          </w:p>
        </w:tc>
        <w:tc>
          <w:tcPr>
            <w:tcW w:w="963" w:type="dxa"/>
            <w:tcBorders>
              <w:top w:val="nil"/>
              <w:left w:val="nil"/>
              <w:bottom w:val="single" w:sz="4" w:space="0" w:color="auto"/>
              <w:right w:val="single" w:sz="4" w:space="0" w:color="auto"/>
            </w:tcBorders>
            <w:shd w:val="clear" w:color="auto" w:fill="auto"/>
            <w:vAlign w:val="center"/>
            <w:hideMark/>
          </w:tcPr>
          <w:p w14:paraId="76F3AF9F"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-8.08</w:t>
            </w:r>
          </w:p>
        </w:tc>
        <w:tc>
          <w:tcPr>
            <w:tcW w:w="946" w:type="dxa"/>
            <w:tcBorders>
              <w:top w:val="nil"/>
              <w:left w:val="nil"/>
              <w:bottom w:val="single" w:sz="4" w:space="0" w:color="auto"/>
              <w:right w:val="single" w:sz="4" w:space="0" w:color="auto"/>
            </w:tcBorders>
            <w:shd w:val="clear" w:color="auto" w:fill="auto"/>
            <w:vAlign w:val="center"/>
            <w:hideMark/>
          </w:tcPr>
          <w:p w14:paraId="7DA56ADB"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-9.18</w:t>
            </w:r>
          </w:p>
        </w:tc>
      </w:tr>
      <w:tr w:rsidR="00997A5D" w:rsidRPr="00167546" w14:paraId="4904A42D"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25502212" w14:textId="77777777" w:rsidR="00997A5D" w:rsidRDefault="00997A5D" w:rsidP="00C157B8">
            <w:pPr>
              <w:spacing w:after="0" w:line="480" w:lineRule="auto"/>
              <w:rPr>
                <w:rFonts w:ascii="Arial" w:eastAsia="Times New Roman" w:hAnsi="Arial" w:cs="Arial"/>
                <w:color w:val="C00000"/>
                <w:sz w:val="20"/>
                <w:szCs w:val="20"/>
                <w:lang w:eastAsia="en-GB"/>
              </w:rPr>
            </w:pPr>
            <w:r w:rsidRPr="00167546">
              <w:rPr>
                <w:rFonts w:ascii="Arial" w:eastAsia="Times New Roman" w:hAnsi="Arial" w:cs="Arial"/>
                <w:color w:val="C00000"/>
                <w:sz w:val="20"/>
                <w:szCs w:val="20"/>
                <w:lang w:eastAsia="en-GB"/>
              </w:rPr>
              <w:t>Luteolin_6_8_di_</w:t>
            </w:r>
          </w:p>
          <w:p w14:paraId="0E37CABC"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proofErr w:type="spellStart"/>
            <w:r w:rsidRPr="00167546">
              <w:rPr>
                <w:rFonts w:ascii="Arial" w:eastAsia="Times New Roman" w:hAnsi="Arial" w:cs="Arial"/>
                <w:color w:val="C00000"/>
                <w:sz w:val="20"/>
                <w:szCs w:val="20"/>
                <w:lang w:eastAsia="en-GB"/>
              </w:rPr>
              <w:t>C_arabinoside</w:t>
            </w:r>
            <w:proofErr w:type="spellEnd"/>
          </w:p>
        </w:tc>
        <w:tc>
          <w:tcPr>
            <w:tcW w:w="974" w:type="dxa"/>
            <w:tcBorders>
              <w:top w:val="nil"/>
              <w:left w:val="nil"/>
              <w:bottom w:val="single" w:sz="4" w:space="0" w:color="auto"/>
              <w:right w:val="single" w:sz="4" w:space="0" w:color="auto"/>
            </w:tcBorders>
            <w:shd w:val="clear" w:color="auto" w:fill="auto"/>
            <w:vAlign w:val="center"/>
            <w:hideMark/>
          </w:tcPr>
          <w:p w14:paraId="0D6938A3"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-7.63</w:t>
            </w:r>
          </w:p>
        </w:tc>
        <w:tc>
          <w:tcPr>
            <w:tcW w:w="816" w:type="dxa"/>
            <w:tcBorders>
              <w:top w:val="nil"/>
              <w:left w:val="nil"/>
              <w:bottom w:val="single" w:sz="4" w:space="0" w:color="auto"/>
              <w:right w:val="single" w:sz="4" w:space="0" w:color="auto"/>
            </w:tcBorders>
            <w:shd w:val="clear" w:color="auto" w:fill="auto"/>
            <w:vAlign w:val="center"/>
            <w:hideMark/>
          </w:tcPr>
          <w:p w14:paraId="18AE6A62"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-6.1</w:t>
            </w:r>
          </w:p>
        </w:tc>
        <w:tc>
          <w:tcPr>
            <w:tcW w:w="911" w:type="dxa"/>
            <w:tcBorders>
              <w:top w:val="nil"/>
              <w:left w:val="nil"/>
              <w:bottom w:val="single" w:sz="4" w:space="0" w:color="auto"/>
              <w:right w:val="single" w:sz="4" w:space="0" w:color="auto"/>
            </w:tcBorders>
            <w:shd w:val="clear" w:color="auto" w:fill="auto"/>
            <w:vAlign w:val="center"/>
            <w:hideMark/>
          </w:tcPr>
          <w:p w14:paraId="7633E8AC"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-6.64</w:t>
            </w:r>
          </w:p>
        </w:tc>
        <w:tc>
          <w:tcPr>
            <w:tcW w:w="950" w:type="dxa"/>
            <w:tcBorders>
              <w:top w:val="nil"/>
              <w:left w:val="nil"/>
              <w:bottom w:val="single" w:sz="4" w:space="0" w:color="auto"/>
              <w:right w:val="single" w:sz="4" w:space="0" w:color="auto"/>
            </w:tcBorders>
            <w:shd w:val="clear" w:color="auto" w:fill="auto"/>
            <w:vAlign w:val="center"/>
            <w:hideMark/>
          </w:tcPr>
          <w:p w14:paraId="4071FBBB"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-3.94</w:t>
            </w:r>
          </w:p>
        </w:tc>
        <w:tc>
          <w:tcPr>
            <w:tcW w:w="963" w:type="dxa"/>
            <w:tcBorders>
              <w:top w:val="nil"/>
              <w:left w:val="nil"/>
              <w:bottom w:val="single" w:sz="4" w:space="0" w:color="auto"/>
              <w:right w:val="single" w:sz="4" w:space="0" w:color="auto"/>
            </w:tcBorders>
            <w:shd w:val="clear" w:color="auto" w:fill="auto"/>
            <w:vAlign w:val="center"/>
            <w:hideMark/>
          </w:tcPr>
          <w:p w14:paraId="6FD3087A"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-10.21</w:t>
            </w:r>
          </w:p>
        </w:tc>
        <w:tc>
          <w:tcPr>
            <w:tcW w:w="963" w:type="dxa"/>
            <w:tcBorders>
              <w:top w:val="nil"/>
              <w:left w:val="nil"/>
              <w:bottom w:val="single" w:sz="4" w:space="0" w:color="auto"/>
              <w:right w:val="single" w:sz="4" w:space="0" w:color="auto"/>
            </w:tcBorders>
            <w:shd w:val="clear" w:color="auto" w:fill="auto"/>
            <w:vAlign w:val="center"/>
            <w:hideMark/>
          </w:tcPr>
          <w:p w14:paraId="0DF91E78"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-8.86</w:t>
            </w:r>
          </w:p>
        </w:tc>
        <w:tc>
          <w:tcPr>
            <w:tcW w:w="946" w:type="dxa"/>
            <w:tcBorders>
              <w:top w:val="nil"/>
              <w:left w:val="nil"/>
              <w:bottom w:val="single" w:sz="4" w:space="0" w:color="auto"/>
              <w:right w:val="single" w:sz="4" w:space="0" w:color="auto"/>
            </w:tcBorders>
            <w:shd w:val="clear" w:color="auto" w:fill="auto"/>
            <w:vAlign w:val="center"/>
            <w:hideMark/>
          </w:tcPr>
          <w:p w14:paraId="291295AC"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-8.55</w:t>
            </w:r>
          </w:p>
        </w:tc>
      </w:tr>
      <w:tr w:rsidR="00997A5D" w:rsidRPr="00167546" w14:paraId="29B9FA11"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521B3122"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Luteolin_6C_glucoside</w:t>
            </w:r>
          </w:p>
        </w:tc>
        <w:tc>
          <w:tcPr>
            <w:tcW w:w="974" w:type="dxa"/>
            <w:tcBorders>
              <w:top w:val="nil"/>
              <w:left w:val="nil"/>
              <w:bottom w:val="single" w:sz="4" w:space="0" w:color="auto"/>
              <w:right w:val="single" w:sz="4" w:space="0" w:color="auto"/>
            </w:tcBorders>
            <w:shd w:val="clear" w:color="auto" w:fill="auto"/>
            <w:vAlign w:val="center"/>
            <w:hideMark/>
          </w:tcPr>
          <w:p w14:paraId="7838B692"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-5.95</w:t>
            </w:r>
          </w:p>
        </w:tc>
        <w:tc>
          <w:tcPr>
            <w:tcW w:w="816" w:type="dxa"/>
            <w:tcBorders>
              <w:top w:val="nil"/>
              <w:left w:val="nil"/>
              <w:bottom w:val="single" w:sz="4" w:space="0" w:color="auto"/>
              <w:right w:val="single" w:sz="4" w:space="0" w:color="auto"/>
            </w:tcBorders>
            <w:shd w:val="clear" w:color="auto" w:fill="auto"/>
            <w:vAlign w:val="center"/>
            <w:hideMark/>
          </w:tcPr>
          <w:p w14:paraId="32C0FB59"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-4.98</w:t>
            </w:r>
          </w:p>
        </w:tc>
        <w:tc>
          <w:tcPr>
            <w:tcW w:w="911" w:type="dxa"/>
            <w:tcBorders>
              <w:top w:val="nil"/>
              <w:left w:val="nil"/>
              <w:bottom w:val="single" w:sz="4" w:space="0" w:color="auto"/>
              <w:right w:val="single" w:sz="4" w:space="0" w:color="auto"/>
            </w:tcBorders>
            <w:shd w:val="clear" w:color="auto" w:fill="auto"/>
            <w:vAlign w:val="center"/>
            <w:hideMark/>
          </w:tcPr>
          <w:p w14:paraId="307745F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-5.21</w:t>
            </w:r>
          </w:p>
        </w:tc>
        <w:tc>
          <w:tcPr>
            <w:tcW w:w="950" w:type="dxa"/>
            <w:tcBorders>
              <w:top w:val="nil"/>
              <w:left w:val="nil"/>
              <w:bottom w:val="single" w:sz="4" w:space="0" w:color="auto"/>
              <w:right w:val="single" w:sz="4" w:space="0" w:color="auto"/>
            </w:tcBorders>
            <w:shd w:val="clear" w:color="auto" w:fill="auto"/>
            <w:vAlign w:val="center"/>
            <w:hideMark/>
          </w:tcPr>
          <w:p w14:paraId="6AC5181B"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-4.06</w:t>
            </w:r>
          </w:p>
        </w:tc>
        <w:tc>
          <w:tcPr>
            <w:tcW w:w="963" w:type="dxa"/>
            <w:tcBorders>
              <w:top w:val="nil"/>
              <w:left w:val="nil"/>
              <w:bottom w:val="single" w:sz="4" w:space="0" w:color="auto"/>
              <w:right w:val="single" w:sz="4" w:space="0" w:color="auto"/>
            </w:tcBorders>
            <w:shd w:val="clear" w:color="auto" w:fill="auto"/>
            <w:vAlign w:val="center"/>
            <w:hideMark/>
          </w:tcPr>
          <w:p w14:paraId="263AC729"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-11.11</w:t>
            </w:r>
          </w:p>
        </w:tc>
        <w:tc>
          <w:tcPr>
            <w:tcW w:w="963" w:type="dxa"/>
            <w:tcBorders>
              <w:top w:val="nil"/>
              <w:left w:val="nil"/>
              <w:bottom w:val="single" w:sz="4" w:space="0" w:color="auto"/>
              <w:right w:val="single" w:sz="4" w:space="0" w:color="auto"/>
            </w:tcBorders>
            <w:shd w:val="clear" w:color="auto" w:fill="auto"/>
            <w:vAlign w:val="center"/>
            <w:hideMark/>
          </w:tcPr>
          <w:p w14:paraId="37F73368"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-9.85</w:t>
            </w:r>
          </w:p>
        </w:tc>
        <w:tc>
          <w:tcPr>
            <w:tcW w:w="946" w:type="dxa"/>
            <w:tcBorders>
              <w:top w:val="nil"/>
              <w:left w:val="nil"/>
              <w:bottom w:val="single" w:sz="4" w:space="0" w:color="auto"/>
              <w:right w:val="single" w:sz="4" w:space="0" w:color="auto"/>
            </w:tcBorders>
            <w:shd w:val="clear" w:color="auto" w:fill="auto"/>
            <w:vAlign w:val="center"/>
            <w:hideMark/>
          </w:tcPr>
          <w:p w14:paraId="217BE983"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-6.88</w:t>
            </w:r>
          </w:p>
        </w:tc>
      </w:tr>
      <w:tr w:rsidR="00997A5D" w:rsidRPr="00167546" w14:paraId="2363DEAF"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5EBB2FD9" w14:textId="77777777" w:rsidR="00997A5D" w:rsidRDefault="00997A5D" w:rsidP="00C157B8">
            <w:pPr>
              <w:spacing w:after="0" w:line="480" w:lineRule="auto"/>
              <w:rPr>
                <w:rFonts w:ascii="Arial" w:eastAsia="Times New Roman" w:hAnsi="Arial" w:cs="Arial"/>
                <w:color w:val="C00000"/>
                <w:sz w:val="20"/>
                <w:szCs w:val="20"/>
                <w:lang w:eastAsia="en-GB"/>
              </w:rPr>
            </w:pPr>
            <w:r w:rsidRPr="00167546">
              <w:rPr>
                <w:rFonts w:ascii="Arial" w:eastAsia="Times New Roman" w:hAnsi="Arial" w:cs="Arial"/>
                <w:color w:val="C00000"/>
                <w:sz w:val="20"/>
                <w:szCs w:val="20"/>
                <w:lang w:eastAsia="en-GB"/>
              </w:rPr>
              <w:t>Apigenin_6_8_di_</w:t>
            </w:r>
          </w:p>
          <w:p w14:paraId="4E277139"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proofErr w:type="spellStart"/>
            <w:r w:rsidRPr="00167546">
              <w:rPr>
                <w:rFonts w:ascii="Arial" w:eastAsia="Times New Roman" w:hAnsi="Arial" w:cs="Arial"/>
                <w:color w:val="C00000"/>
                <w:sz w:val="20"/>
                <w:szCs w:val="20"/>
                <w:lang w:eastAsia="en-GB"/>
              </w:rPr>
              <w:t>C_arabinoside</w:t>
            </w:r>
            <w:proofErr w:type="spellEnd"/>
          </w:p>
        </w:tc>
        <w:tc>
          <w:tcPr>
            <w:tcW w:w="974" w:type="dxa"/>
            <w:tcBorders>
              <w:top w:val="nil"/>
              <w:left w:val="nil"/>
              <w:bottom w:val="single" w:sz="4" w:space="0" w:color="auto"/>
              <w:right w:val="single" w:sz="4" w:space="0" w:color="auto"/>
            </w:tcBorders>
            <w:shd w:val="clear" w:color="auto" w:fill="auto"/>
            <w:vAlign w:val="center"/>
            <w:hideMark/>
          </w:tcPr>
          <w:p w14:paraId="5A2F65E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-6.45</w:t>
            </w:r>
          </w:p>
        </w:tc>
        <w:tc>
          <w:tcPr>
            <w:tcW w:w="816" w:type="dxa"/>
            <w:tcBorders>
              <w:top w:val="nil"/>
              <w:left w:val="nil"/>
              <w:bottom w:val="single" w:sz="4" w:space="0" w:color="auto"/>
              <w:right w:val="single" w:sz="4" w:space="0" w:color="auto"/>
            </w:tcBorders>
            <w:shd w:val="clear" w:color="auto" w:fill="auto"/>
            <w:vAlign w:val="center"/>
            <w:hideMark/>
          </w:tcPr>
          <w:p w14:paraId="67664D93"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-6.55</w:t>
            </w:r>
          </w:p>
        </w:tc>
        <w:tc>
          <w:tcPr>
            <w:tcW w:w="911" w:type="dxa"/>
            <w:tcBorders>
              <w:top w:val="nil"/>
              <w:left w:val="nil"/>
              <w:bottom w:val="single" w:sz="4" w:space="0" w:color="auto"/>
              <w:right w:val="single" w:sz="4" w:space="0" w:color="auto"/>
            </w:tcBorders>
            <w:shd w:val="clear" w:color="auto" w:fill="auto"/>
            <w:vAlign w:val="center"/>
            <w:hideMark/>
          </w:tcPr>
          <w:p w14:paraId="5ABAF2BE"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-5.68</w:t>
            </w:r>
          </w:p>
        </w:tc>
        <w:tc>
          <w:tcPr>
            <w:tcW w:w="950" w:type="dxa"/>
            <w:tcBorders>
              <w:top w:val="nil"/>
              <w:left w:val="nil"/>
              <w:bottom w:val="single" w:sz="4" w:space="0" w:color="auto"/>
              <w:right w:val="single" w:sz="4" w:space="0" w:color="auto"/>
            </w:tcBorders>
            <w:shd w:val="clear" w:color="auto" w:fill="auto"/>
            <w:vAlign w:val="center"/>
            <w:hideMark/>
          </w:tcPr>
          <w:p w14:paraId="50FF43E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-3.24</w:t>
            </w:r>
          </w:p>
        </w:tc>
        <w:tc>
          <w:tcPr>
            <w:tcW w:w="963" w:type="dxa"/>
            <w:tcBorders>
              <w:top w:val="nil"/>
              <w:left w:val="nil"/>
              <w:bottom w:val="single" w:sz="4" w:space="0" w:color="auto"/>
              <w:right w:val="single" w:sz="4" w:space="0" w:color="auto"/>
            </w:tcBorders>
            <w:shd w:val="clear" w:color="auto" w:fill="auto"/>
            <w:vAlign w:val="center"/>
            <w:hideMark/>
          </w:tcPr>
          <w:p w14:paraId="6BDCEFCC"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-7.78</w:t>
            </w:r>
          </w:p>
        </w:tc>
        <w:tc>
          <w:tcPr>
            <w:tcW w:w="963" w:type="dxa"/>
            <w:tcBorders>
              <w:top w:val="nil"/>
              <w:left w:val="nil"/>
              <w:bottom w:val="single" w:sz="4" w:space="0" w:color="auto"/>
              <w:right w:val="single" w:sz="4" w:space="0" w:color="auto"/>
            </w:tcBorders>
            <w:shd w:val="clear" w:color="auto" w:fill="auto"/>
            <w:vAlign w:val="center"/>
            <w:hideMark/>
          </w:tcPr>
          <w:p w14:paraId="15E8611E"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-8.33</w:t>
            </w:r>
          </w:p>
        </w:tc>
        <w:tc>
          <w:tcPr>
            <w:tcW w:w="946" w:type="dxa"/>
            <w:tcBorders>
              <w:top w:val="nil"/>
              <w:left w:val="nil"/>
              <w:bottom w:val="single" w:sz="4" w:space="0" w:color="auto"/>
              <w:right w:val="single" w:sz="4" w:space="0" w:color="auto"/>
            </w:tcBorders>
            <w:shd w:val="clear" w:color="auto" w:fill="auto"/>
            <w:vAlign w:val="center"/>
            <w:hideMark/>
          </w:tcPr>
          <w:p w14:paraId="0EE2870E"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-8.19</w:t>
            </w:r>
          </w:p>
        </w:tc>
      </w:tr>
      <w:tr w:rsidR="00997A5D" w:rsidRPr="00167546" w14:paraId="0B9CF728"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496294B3"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Apigenin_6C_glucoside</w:t>
            </w:r>
          </w:p>
        </w:tc>
        <w:tc>
          <w:tcPr>
            <w:tcW w:w="974" w:type="dxa"/>
            <w:tcBorders>
              <w:top w:val="nil"/>
              <w:left w:val="nil"/>
              <w:bottom w:val="single" w:sz="4" w:space="0" w:color="auto"/>
              <w:right w:val="single" w:sz="4" w:space="0" w:color="auto"/>
            </w:tcBorders>
            <w:shd w:val="clear" w:color="auto" w:fill="auto"/>
            <w:vAlign w:val="center"/>
            <w:hideMark/>
          </w:tcPr>
          <w:p w14:paraId="65EF688C"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-3.03</w:t>
            </w:r>
          </w:p>
        </w:tc>
        <w:tc>
          <w:tcPr>
            <w:tcW w:w="816" w:type="dxa"/>
            <w:tcBorders>
              <w:top w:val="nil"/>
              <w:left w:val="nil"/>
              <w:bottom w:val="single" w:sz="4" w:space="0" w:color="auto"/>
              <w:right w:val="single" w:sz="4" w:space="0" w:color="auto"/>
            </w:tcBorders>
            <w:shd w:val="clear" w:color="auto" w:fill="auto"/>
            <w:vAlign w:val="center"/>
            <w:hideMark/>
          </w:tcPr>
          <w:p w14:paraId="2C8AB4AD"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-5.9</w:t>
            </w:r>
          </w:p>
        </w:tc>
        <w:tc>
          <w:tcPr>
            <w:tcW w:w="911" w:type="dxa"/>
            <w:tcBorders>
              <w:top w:val="nil"/>
              <w:left w:val="nil"/>
              <w:bottom w:val="single" w:sz="4" w:space="0" w:color="auto"/>
              <w:right w:val="single" w:sz="4" w:space="0" w:color="auto"/>
            </w:tcBorders>
            <w:shd w:val="clear" w:color="auto" w:fill="auto"/>
            <w:vAlign w:val="center"/>
            <w:hideMark/>
          </w:tcPr>
          <w:p w14:paraId="6042275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-4.46</w:t>
            </w:r>
          </w:p>
        </w:tc>
        <w:tc>
          <w:tcPr>
            <w:tcW w:w="950" w:type="dxa"/>
            <w:tcBorders>
              <w:top w:val="nil"/>
              <w:left w:val="nil"/>
              <w:bottom w:val="single" w:sz="4" w:space="0" w:color="auto"/>
              <w:right w:val="single" w:sz="4" w:space="0" w:color="auto"/>
            </w:tcBorders>
            <w:shd w:val="clear" w:color="auto" w:fill="auto"/>
            <w:vAlign w:val="center"/>
            <w:hideMark/>
          </w:tcPr>
          <w:p w14:paraId="64EB196D"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-5.92</w:t>
            </w:r>
          </w:p>
        </w:tc>
        <w:tc>
          <w:tcPr>
            <w:tcW w:w="963" w:type="dxa"/>
            <w:tcBorders>
              <w:top w:val="nil"/>
              <w:left w:val="nil"/>
              <w:bottom w:val="single" w:sz="4" w:space="0" w:color="auto"/>
              <w:right w:val="single" w:sz="4" w:space="0" w:color="auto"/>
            </w:tcBorders>
            <w:shd w:val="clear" w:color="auto" w:fill="auto"/>
            <w:vAlign w:val="center"/>
            <w:hideMark/>
          </w:tcPr>
          <w:p w14:paraId="2A3B63FC"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-9.21</w:t>
            </w:r>
          </w:p>
        </w:tc>
        <w:tc>
          <w:tcPr>
            <w:tcW w:w="963" w:type="dxa"/>
            <w:tcBorders>
              <w:top w:val="nil"/>
              <w:left w:val="nil"/>
              <w:bottom w:val="single" w:sz="4" w:space="0" w:color="auto"/>
              <w:right w:val="single" w:sz="4" w:space="0" w:color="auto"/>
            </w:tcBorders>
            <w:shd w:val="clear" w:color="auto" w:fill="auto"/>
            <w:vAlign w:val="center"/>
            <w:hideMark/>
          </w:tcPr>
          <w:p w14:paraId="437777EA"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-8.01</w:t>
            </w:r>
          </w:p>
        </w:tc>
        <w:tc>
          <w:tcPr>
            <w:tcW w:w="946" w:type="dxa"/>
            <w:tcBorders>
              <w:top w:val="nil"/>
              <w:left w:val="nil"/>
              <w:bottom w:val="single" w:sz="4" w:space="0" w:color="auto"/>
              <w:right w:val="single" w:sz="4" w:space="0" w:color="auto"/>
            </w:tcBorders>
            <w:shd w:val="clear" w:color="auto" w:fill="auto"/>
            <w:vAlign w:val="center"/>
            <w:hideMark/>
          </w:tcPr>
          <w:p w14:paraId="59401CC7"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themeColor="text1"/>
                <w:sz w:val="20"/>
                <w:szCs w:val="20"/>
                <w:lang w:eastAsia="en-GB"/>
              </w:rPr>
              <w:t>-5.85</w:t>
            </w:r>
          </w:p>
        </w:tc>
      </w:tr>
      <w:tr w:rsidR="00997A5D" w:rsidRPr="00167546" w14:paraId="0B4D7C14"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1FC26C7C"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Luteolin_6_C_arabinoside</w:t>
            </w:r>
          </w:p>
        </w:tc>
        <w:tc>
          <w:tcPr>
            <w:tcW w:w="974" w:type="dxa"/>
            <w:tcBorders>
              <w:top w:val="nil"/>
              <w:left w:val="nil"/>
              <w:bottom w:val="single" w:sz="4" w:space="0" w:color="auto"/>
              <w:right w:val="single" w:sz="4" w:space="0" w:color="auto"/>
            </w:tcBorders>
            <w:shd w:val="clear" w:color="auto" w:fill="auto"/>
            <w:vAlign w:val="center"/>
            <w:hideMark/>
          </w:tcPr>
          <w:p w14:paraId="00C8984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-5.1</w:t>
            </w:r>
          </w:p>
        </w:tc>
        <w:tc>
          <w:tcPr>
            <w:tcW w:w="816" w:type="dxa"/>
            <w:tcBorders>
              <w:top w:val="nil"/>
              <w:left w:val="nil"/>
              <w:bottom w:val="single" w:sz="4" w:space="0" w:color="auto"/>
              <w:right w:val="single" w:sz="4" w:space="0" w:color="auto"/>
            </w:tcBorders>
            <w:shd w:val="clear" w:color="auto" w:fill="auto"/>
            <w:vAlign w:val="center"/>
            <w:hideMark/>
          </w:tcPr>
          <w:p w14:paraId="2A87B836"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-6.57</w:t>
            </w:r>
          </w:p>
        </w:tc>
        <w:tc>
          <w:tcPr>
            <w:tcW w:w="911" w:type="dxa"/>
            <w:tcBorders>
              <w:top w:val="nil"/>
              <w:left w:val="nil"/>
              <w:bottom w:val="single" w:sz="4" w:space="0" w:color="auto"/>
              <w:right w:val="single" w:sz="4" w:space="0" w:color="auto"/>
            </w:tcBorders>
            <w:shd w:val="clear" w:color="auto" w:fill="auto"/>
            <w:vAlign w:val="center"/>
            <w:hideMark/>
          </w:tcPr>
          <w:p w14:paraId="33B2BB39"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-5.33</w:t>
            </w:r>
          </w:p>
        </w:tc>
        <w:tc>
          <w:tcPr>
            <w:tcW w:w="950" w:type="dxa"/>
            <w:tcBorders>
              <w:top w:val="nil"/>
              <w:left w:val="nil"/>
              <w:bottom w:val="single" w:sz="4" w:space="0" w:color="auto"/>
              <w:right w:val="single" w:sz="4" w:space="0" w:color="auto"/>
            </w:tcBorders>
            <w:shd w:val="clear" w:color="auto" w:fill="auto"/>
            <w:vAlign w:val="center"/>
            <w:hideMark/>
          </w:tcPr>
          <w:p w14:paraId="6AC5433F"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-7.33</w:t>
            </w:r>
          </w:p>
        </w:tc>
        <w:tc>
          <w:tcPr>
            <w:tcW w:w="963" w:type="dxa"/>
            <w:tcBorders>
              <w:top w:val="nil"/>
              <w:left w:val="nil"/>
              <w:bottom w:val="single" w:sz="4" w:space="0" w:color="auto"/>
              <w:right w:val="single" w:sz="4" w:space="0" w:color="auto"/>
            </w:tcBorders>
            <w:shd w:val="clear" w:color="auto" w:fill="auto"/>
            <w:vAlign w:val="center"/>
            <w:hideMark/>
          </w:tcPr>
          <w:p w14:paraId="2CB1BFA9"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-8.9</w:t>
            </w:r>
          </w:p>
        </w:tc>
        <w:tc>
          <w:tcPr>
            <w:tcW w:w="963" w:type="dxa"/>
            <w:tcBorders>
              <w:top w:val="nil"/>
              <w:left w:val="nil"/>
              <w:bottom w:val="single" w:sz="4" w:space="0" w:color="auto"/>
              <w:right w:val="single" w:sz="4" w:space="0" w:color="auto"/>
            </w:tcBorders>
            <w:shd w:val="clear" w:color="auto" w:fill="auto"/>
            <w:vAlign w:val="center"/>
            <w:hideMark/>
          </w:tcPr>
          <w:p w14:paraId="3A128AB1"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-10.04</w:t>
            </w:r>
          </w:p>
        </w:tc>
        <w:tc>
          <w:tcPr>
            <w:tcW w:w="946" w:type="dxa"/>
            <w:tcBorders>
              <w:top w:val="nil"/>
              <w:left w:val="nil"/>
              <w:bottom w:val="single" w:sz="4" w:space="0" w:color="auto"/>
              <w:right w:val="single" w:sz="4" w:space="0" w:color="auto"/>
            </w:tcBorders>
            <w:shd w:val="clear" w:color="auto" w:fill="auto"/>
            <w:vAlign w:val="center"/>
            <w:hideMark/>
          </w:tcPr>
          <w:p w14:paraId="745F6909"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themeColor="text1"/>
                <w:sz w:val="20"/>
                <w:szCs w:val="20"/>
                <w:lang w:eastAsia="en-GB"/>
              </w:rPr>
              <w:t>-6.43</w:t>
            </w:r>
          </w:p>
        </w:tc>
      </w:tr>
      <w:tr w:rsidR="00997A5D" w:rsidRPr="00167546" w14:paraId="0DE34459"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369DBDD8"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Quercetin_3_O_glucoside</w:t>
            </w:r>
          </w:p>
        </w:tc>
        <w:tc>
          <w:tcPr>
            <w:tcW w:w="974" w:type="dxa"/>
            <w:tcBorders>
              <w:top w:val="nil"/>
              <w:left w:val="nil"/>
              <w:bottom w:val="single" w:sz="4" w:space="0" w:color="auto"/>
              <w:right w:val="single" w:sz="4" w:space="0" w:color="auto"/>
            </w:tcBorders>
            <w:shd w:val="clear" w:color="auto" w:fill="auto"/>
            <w:vAlign w:val="center"/>
            <w:hideMark/>
          </w:tcPr>
          <w:p w14:paraId="5C88D23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-6.27</w:t>
            </w:r>
          </w:p>
        </w:tc>
        <w:tc>
          <w:tcPr>
            <w:tcW w:w="816" w:type="dxa"/>
            <w:tcBorders>
              <w:top w:val="nil"/>
              <w:left w:val="nil"/>
              <w:bottom w:val="single" w:sz="4" w:space="0" w:color="auto"/>
              <w:right w:val="single" w:sz="4" w:space="0" w:color="auto"/>
            </w:tcBorders>
            <w:shd w:val="clear" w:color="auto" w:fill="auto"/>
            <w:vAlign w:val="center"/>
            <w:hideMark/>
          </w:tcPr>
          <w:p w14:paraId="07F69F5F"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-7.11</w:t>
            </w:r>
          </w:p>
        </w:tc>
        <w:tc>
          <w:tcPr>
            <w:tcW w:w="911" w:type="dxa"/>
            <w:tcBorders>
              <w:top w:val="nil"/>
              <w:left w:val="nil"/>
              <w:bottom w:val="single" w:sz="4" w:space="0" w:color="auto"/>
              <w:right w:val="single" w:sz="4" w:space="0" w:color="auto"/>
            </w:tcBorders>
            <w:shd w:val="clear" w:color="auto" w:fill="auto"/>
            <w:vAlign w:val="center"/>
            <w:hideMark/>
          </w:tcPr>
          <w:p w14:paraId="1B4CA2E1"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-5.89</w:t>
            </w:r>
          </w:p>
        </w:tc>
        <w:tc>
          <w:tcPr>
            <w:tcW w:w="950" w:type="dxa"/>
            <w:tcBorders>
              <w:top w:val="nil"/>
              <w:left w:val="nil"/>
              <w:bottom w:val="single" w:sz="4" w:space="0" w:color="auto"/>
              <w:right w:val="single" w:sz="4" w:space="0" w:color="auto"/>
            </w:tcBorders>
            <w:shd w:val="clear" w:color="auto" w:fill="auto"/>
            <w:vAlign w:val="center"/>
            <w:hideMark/>
          </w:tcPr>
          <w:p w14:paraId="66116163"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-4.77</w:t>
            </w:r>
          </w:p>
        </w:tc>
        <w:tc>
          <w:tcPr>
            <w:tcW w:w="963" w:type="dxa"/>
            <w:tcBorders>
              <w:top w:val="nil"/>
              <w:left w:val="nil"/>
              <w:bottom w:val="single" w:sz="4" w:space="0" w:color="auto"/>
              <w:right w:val="single" w:sz="4" w:space="0" w:color="auto"/>
            </w:tcBorders>
            <w:shd w:val="clear" w:color="auto" w:fill="auto"/>
            <w:vAlign w:val="center"/>
            <w:hideMark/>
          </w:tcPr>
          <w:p w14:paraId="43D1F007"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-6.75</w:t>
            </w:r>
          </w:p>
        </w:tc>
        <w:tc>
          <w:tcPr>
            <w:tcW w:w="963" w:type="dxa"/>
            <w:tcBorders>
              <w:top w:val="nil"/>
              <w:left w:val="nil"/>
              <w:bottom w:val="single" w:sz="4" w:space="0" w:color="auto"/>
              <w:right w:val="single" w:sz="4" w:space="0" w:color="auto"/>
            </w:tcBorders>
            <w:shd w:val="clear" w:color="auto" w:fill="auto"/>
            <w:vAlign w:val="center"/>
            <w:hideMark/>
          </w:tcPr>
          <w:p w14:paraId="67F206F2"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-9.21</w:t>
            </w:r>
          </w:p>
        </w:tc>
        <w:tc>
          <w:tcPr>
            <w:tcW w:w="946" w:type="dxa"/>
            <w:tcBorders>
              <w:top w:val="nil"/>
              <w:left w:val="nil"/>
              <w:bottom w:val="single" w:sz="4" w:space="0" w:color="auto"/>
              <w:right w:val="single" w:sz="4" w:space="0" w:color="auto"/>
            </w:tcBorders>
            <w:shd w:val="clear" w:color="auto" w:fill="auto"/>
            <w:vAlign w:val="center"/>
            <w:hideMark/>
          </w:tcPr>
          <w:p w14:paraId="4B0159EA"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-7.7</w:t>
            </w:r>
          </w:p>
        </w:tc>
      </w:tr>
      <w:tr w:rsidR="00997A5D" w:rsidRPr="00167546" w14:paraId="3D944628" w14:textId="77777777" w:rsidTr="00C157B8">
        <w:trPr>
          <w:trHeight w:val="480"/>
        </w:trPr>
        <w:tc>
          <w:tcPr>
            <w:tcW w:w="2707" w:type="dxa"/>
            <w:tcBorders>
              <w:top w:val="nil"/>
              <w:left w:val="single" w:sz="4" w:space="0" w:color="auto"/>
              <w:bottom w:val="single" w:sz="4" w:space="0" w:color="auto"/>
              <w:right w:val="single" w:sz="4" w:space="0" w:color="auto"/>
            </w:tcBorders>
            <w:shd w:val="clear" w:color="auto" w:fill="auto"/>
            <w:vAlign w:val="center"/>
            <w:hideMark/>
          </w:tcPr>
          <w:p w14:paraId="62C1B1BE" w14:textId="77777777" w:rsidR="00997A5D" w:rsidRPr="00167546" w:rsidRDefault="00997A5D" w:rsidP="00C157B8">
            <w:pPr>
              <w:spacing w:after="0" w:line="480" w:lineRule="auto"/>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Apigenin_8_C_arabinoside</w:t>
            </w:r>
          </w:p>
        </w:tc>
        <w:tc>
          <w:tcPr>
            <w:tcW w:w="974" w:type="dxa"/>
            <w:tcBorders>
              <w:top w:val="nil"/>
              <w:left w:val="nil"/>
              <w:bottom w:val="single" w:sz="4" w:space="0" w:color="auto"/>
              <w:right w:val="single" w:sz="4" w:space="0" w:color="auto"/>
            </w:tcBorders>
            <w:shd w:val="clear" w:color="auto" w:fill="auto"/>
            <w:vAlign w:val="center"/>
            <w:hideMark/>
          </w:tcPr>
          <w:p w14:paraId="3BCCB4B1"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-4.8</w:t>
            </w:r>
          </w:p>
        </w:tc>
        <w:tc>
          <w:tcPr>
            <w:tcW w:w="816" w:type="dxa"/>
            <w:tcBorders>
              <w:top w:val="nil"/>
              <w:left w:val="nil"/>
              <w:bottom w:val="single" w:sz="4" w:space="0" w:color="auto"/>
              <w:right w:val="single" w:sz="4" w:space="0" w:color="auto"/>
            </w:tcBorders>
            <w:shd w:val="clear" w:color="auto" w:fill="auto"/>
            <w:vAlign w:val="center"/>
            <w:hideMark/>
          </w:tcPr>
          <w:p w14:paraId="373CCF01"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-4.94</w:t>
            </w:r>
          </w:p>
        </w:tc>
        <w:tc>
          <w:tcPr>
            <w:tcW w:w="911" w:type="dxa"/>
            <w:tcBorders>
              <w:top w:val="nil"/>
              <w:left w:val="nil"/>
              <w:bottom w:val="single" w:sz="4" w:space="0" w:color="auto"/>
              <w:right w:val="single" w:sz="4" w:space="0" w:color="auto"/>
            </w:tcBorders>
            <w:shd w:val="clear" w:color="auto" w:fill="auto"/>
            <w:vAlign w:val="center"/>
            <w:hideMark/>
          </w:tcPr>
          <w:p w14:paraId="32DE3800"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-5.02</w:t>
            </w:r>
          </w:p>
        </w:tc>
        <w:tc>
          <w:tcPr>
            <w:tcW w:w="950" w:type="dxa"/>
            <w:tcBorders>
              <w:top w:val="nil"/>
              <w:left w:val="nil"/>
              <w:bottom w:val="single" w:sz="4" w:space="0" w:color="auto"/>
              <w:right w:val="single" w:sz="4" w:space="0" w:color="auto"/>
            </w:tcBorders>
            <w:shd w:val="clear" w:color="auto" w:fill="auto"/>
            <w:vAlign w:val="center"/>
            <w:hideMark/>
          </w:tcPr>
          <w:p w14:paraId="12171B4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-4.5</w:t>
            </w:r>
          </w:p>
        </w:tc>
        <w:tc>
          <w:tcPr>
            <w:tcW w:w="963" w:type="dxa"/>
            <w:tcBorders>
              <w:top w:val="nil"/>
              <w:left w:val="nil"/>
              <w:bottom w:val="single" w:sz="4" w:space="0" w:color="auto"/>
              <w:right w:val="single" w:sz="4" w:space="0" w:color="auto"/>
            </w:tcBorders>
            <w:shd w:val="clear" w:color="auto" w:fill="auto"/>
            <w:vAlign w:val="center"/>
            <w:hideMark/>
          </w:tcPr>
          <w:p w14:paraId="1B7E9DB5"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-10.3</w:t>
            </w:r>
          </w:p>
        </w:tc>
        <w:tc>
          <w:tcPr>
            <w:tcW w:w="963" w:type="dxa"/>
            <w:tcBorders>
              <w:top w:val="nil"/>
              <w:left w:val="nil"/>
              <w:bottom w:val="single" w:sz="4" w:space="0" w:color="auto"/>
              <w:right w:val="single" w:sz="4" w:space="0" w:color="auto"/>
            </w:tcBorders>
            <w:shd w:val="clear" w:color="auto" w:fill="auto"/>
            <w:vAlign w:val="center"/>
            <w:hideMark/>
          </w:tcPr>
          <w:p w14:paraId="6374E897" w14:textId="77777777" w:rsidR="00997A5D" w:rsidRPr="00167546" w:rsidRDefault="00997A5D" w:rsidP="00C157B8">
            <w:pPr>
              <w:spacing w:after="0" w:line="480" w:lineRule="auto"/>
              <w:jc w:val="center"/>
              <w:rPr>
                <w:rFonts w:ascii="Arial" w:eastAsia="Times New Roman" w:hAnsi="Arial" w:cs="Arial"/>
                <w:color w:val="C00000"/>
                <w:sz w:val="20"/>
                <w:szCs w:val="20"/>
                <w:lang w:val="en-GB" w:eastAsia="en-GB"/>
              </w:rPr>
            </w:pPr>
            <w:r w:rsidRPr="00167546">
              <w:rPr>
                <w:rFonts w:ascii="Arial" w:eastAsia="Times New Roman" w:hAnsi="Arial" w:cs="Arial"/>
                <w:color w:val="C00000"/>
                <w:sz w:val="20"/>
                <w:szCs w:val="20"/>
                <w:lang w:eastAsia="en-GB"/>
              </w:rPr>
              <w:t>-11.28</w:t>
            </w:r>
          </w:p>
        </w:tc>
        <w:tc>
          <w:tcPr>
            <w:tcW w:w="946" w:type="dxa"/>
            <w:tcBorders>
              <w:top w:val="nil"/>
              <w:left w:val="nil"/>
              <w:bottom w:val="single" w:sz="4" w:space="0" w:color="auto"/>
              <w:right w:val="single" w:sz="4" w:space="0" w:color="auto"/>
            </w:tcBorders>
            <w:shd w:val="clear" w:color="auto" w:fill="auto"/>
            <w:vAlign w:val="center"/>
            <w:hideMark/>
          </w:tcPr>
          <w:p w14:paraId="170BDFC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themeColor="text1"/>
                <w:sz w:val="20"/>
                <w:szCs w:val="20"/>
                <w:lang w:eastAsia="en-GB"/>
              </w:rPr>
              <w:t>-6.24</w:t>
            </w:r>
          </w:p>
        </w:tc>
      </w:tr>
    </w:tbl>
    <w:p w14:paraId="7C545235" w14:textId="77777777" w:rsidR="00997A5D" w:rsidRDefault="00997A5D" w:rsidP="00997A5D">
      <w:pPr>
        <w:pStyle w:val="SMcaption"/>
        <w:spacing w:line="480" w:lineRule="auto"/>
        <w:rPr>
          <w:rFonts w:ascii="Arial" w:hAnsi="Arial" w:cs="Arial"/>
          <w:b/>
          <w:bCs/>
          <w:sz w:val="20"/>
        </w:rPr>
      </w:pPr>
    </w:p>
    <w:p w14:paraId="49E2A7C0" w14:textId="77777777" w:rsidR="00997A5D" w:rsidRDefault="00997A5D" w:rsidP="00997A5D">
      <w:pPr>
        <w:pStyle w:val="SMcaption"/>
        <w:spacing w:line="480" w:lineRule="auto"/>
        <w:rPr>
          <w:rFonts w:ascii="Arial" w:hAnsi="Arial" w:cs="Arial"/>
          <w:b/>
          <w:bCs/>
          <w:sz w:val="20"/>
        </w:rPr>
      </w:pPr>
    </w:p>
    <w:p w14:paraId="174A4B31" w14:textId="77777777" w:rsidR="00997A5D" w:rsidRDefault="00997A5D" w:rsidP="00997A5D">
      <w:pPr>
        <w:pStyle w:val="SMcaption"/>
        <w:spacing w:line="480" w:lineRule="auto"/>
        <w:rPr>
          <w:rFonts w:ascii="Arial" w:hAnsi="Arial" w:cs="Arial"/>
          <w:b/>
          <w:bCs/>
          <w:sz w:val="20"/>
        </w:rPr>
      </w:pPr>
      <w:r w:rsidRPr="005D6D0D">
        <w:rPr>
          <w:rFonts w:ascii="Arial" w:hAnsi="Arial" w:cs="Arial"/>
          <w:b/>
          <w:bCs/>
          <w:sz w:val="20"/>
        </w:rPr>
        <w:t xml:space="preserve">Table S5. </w:t>
      </w:r>
      <w:r w:rsidRPr="005D6D0D">
        <w:rPr>
          <w:rFonts w:ascii="Arial" w:hAnsi="Arial" w:cs="Arial"/>
          <w:sz w:val="20"/>
        </w:rPr>
        <w:t xml:space="preserve">Interaction of active compounds of </w:t>
      </w:r>
      <w:r w:rsidRPr="00167546">
        <w:rPr>
          <w:rFonts w:ascii="Arial" w:hAnsi="Arial" w:cs="Arial"/>
          <w:i/>
          <w:iCs/>
          <w:sz w:val="20"/>
        </w:rPr>
        <w:t>Adhatoda Vasica</w:t>
      </w:r>
      <w:r w:rsidRPr="005D6D0D">
        <w:rPr>
          <w:rFonts w:ascii="Arial" w:hAnsi="Arial" w:cs="Arial"/>
          <w:sz w:val="20"/>
        </w:rPr>
        <w:t xml:space="preserve"> </w:t>
      </w:r>
      <w:r>
        <w:rPr>
          <w:rFonts w:ascii="Arial" w:hAnsi="Arial" w:cs="Arial"/>
          <w:bCs/>
          <w:color w:val="000000" w:themeColor="text1"/>
          <w:sz w:val="20"/>
        </w:rPr>
        <w:t>extract</w:t>
      </w:r>
      <w:r w:rsidRPr="005D6D0D">
        <w:rPr>
          <w:rFonts w:ascii="Arial" w:hAnsi="Arial" w:cs="Arial"/>
          <w:sz w:val="20"/>
        </w:rPr>
        <w:t xml:space="preserve"> with proteins of Hypoxia and inflammation pathways.</w:t>
      </w:r>
    </w:p>
    <w:tbl>
      <w:tblPr>
        <w:tblW w:w="8784" w:type="dxa"/>
        <w:tblLayout w:type="fixed"/>
        <w:tblLook w:val="04A0" w:firstRow="1" w:lastRow="0" w:firstColumn="1" w:lastColumn="0" w:noHBand="0" w:noVBand="1"/>
      </w:tblPr>
      <w:tblGrid>
        <w:gridCol w:w="655"/>
        <w:gridCol w:w="1041"/>
        <w:gridCol w:w="1701"/>
        <w:gridCol w:w="3119"/>
        <w:gridCol w:w="1134"/>
        <w:gridCol w:w="1134"/>
      </w:tblGrid>
      <w:tr w:rsidR="00997A5D" w:rsidRPr="00167546" w14:paraId="13EAA395" w14:textId="77777777" w:rsidTr="00C157B8">
        <w:trPr>
          <w:trHeight w:val="1020"/>
        </w:trPr>
        <w:tc>
          <w:tcPr>
            <w:tcW w:w="6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33537F" w14:textId="77777777" w:rsidR="00997A5D" w:rsidRPr="00167546" w:rsidRDefault="00997A5D" w:rsidP="00C157B8">
            <w:pPr>
              <w:spacing w:after="0" w:line="480" w:lineRule="auto"/>
              <w:rPr>
                <w:rFonts w:ascii="Arial" w:eastAsia="Times New Roman" w:hAnsi="Arial" w:cs="Arial"/>
                <w:b/>
                <w:bCs/>
                <w:color w:val="000000"/>
                <w:sz w:val="20"/>
                <w:szCs w:val="20"/>
                <w:lang w:eastAsia="en-GB"/>
              </w:rPr>
            </w:pPr>
            <w:r w:rsidRPr="00167546">
              <w:rPr>
                <w:rFonts w:ascii="Arial" w:eastAsia="Times New Roman" w:hAnsi="Arial" w:cs="Arial"/>
                <w:b/>
                <w:bCs/>
                <w:color w:val="000000"/>
                <w:sz w:val="20"/>
                <w:szCs w:val="20"/>
                <w:lang w:eastAsia="en-GB"/>
              </w:rPr>
              <w:t>S.</w:t>
            </w:r>
          </w:p>
          <w:p w14:paraId="0416E790" w14:textId="77777777" w:rsidR="00997A5D" w:rsidRPr="00167546" w:rsidRDefault="00997A5D" w:rsidP="00C157B8">
            <w:pPr>
              <w:spacing w:after="0" w:line="480" w:lineRule="auto"/>
              <w:rPr>
                <w:rFonts w:ascii="Arial" w:eastAsia="Times New Roman" w:hAnsi="Arial" w:cs="Arial"/>
                <w:b/>
                <w:bCs/>
                <w:color w:val="000000"/>
                <w:sz w:val="20"/>
                <w:szCs w:val="20"/>
                <w:lang w:val="en-GB" w:eastAsia="en-GB"/>
              </w:rPr>
            </w:pPr>
            <w:r w:rsidRPr="00167546">
              <w:rPr>
                <w:rFonts w:ascii="Arial" w:eastAsia="Times New Roman" w:hAnsi="Arial" w:cs="Arial"/>
                <w:b/>
                <w:bCs/>
                <w:color w:val="000000"/>
                <w:sz w:val="20"/>
                <w:szCs w:val="20"/>
                <w:lang w:eastAsia="en-GB"/>
              </w:rPr>
              <w:t>No</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7DBE2A2B" w14:textId="77777777" w:rsidR="00997A5D" w:rsidRPr="00167546" w:rsidRDefault="00997A5D" w:rsidP="00C157B8">
            <w:pPr>
              <w:spacing w:after="0" w:line="480" w:lineRule="auto"/>
              <w:rPr>
                <w:rFonts w:ascii="Arial" w:eastAsia="Times New Roman" w:hAnsi="Arial" w:cs="Arial"/>
                <w:b/>
                <w:bCs/>
                <w:color w:val="000000"/>
                <w:sz w:val="20"/>
                <w:szCs w:val="20"/>
                <w:lang w:val="en-GB" w:eastAsia="en-GB"/>
              </w:rPr>
            </w:pPr>
            <w:r w:rsidRPr="00167546">
              <w:rPr>
                <w:rFonts w:ascii="Arial" w:eastAsia="Times New Roman" w:hAnsi="Arial" w:cs="Arial"/>
                <w:b/>
                <w:bCs/>
                <w:color w:val="000000"/>
                <w:sz w:val="20"/>
                <w:szCs w:val="20"/>
                <w:lang w:eastAsia="en-GB"/>
              </w:rPr>
              <w:t>Proteins</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364AFEE" w14:textId="77777777" w:rsidR="00997A5D" w:rsidRPr="00167546" w:rsidRDefault="00997A5D" w:rsidP="00C157B8">
            <w:pPr>
              <w:spacing w:after="0" w:line="480" w:lineRule="auto"/>
              <w:rPr>
                <w:rFonts w:ascii="Arial" w:eastAsia="Times New Roman" w:hAnsi="Arial" w:cs="Arial"/>
                <w:b/>
                <w:bCs/>
                <w:color w:val="000000"/>
                <w:sz w:val="20"/>
                <w:szCs w:val="20"/>
                <w:lang w:val="en-GB" w:eastAsia="en-GB"/>
              </w:rPr>
            </w:pPr>
            <w:r w:rsidRPr="00167546">
              <w:rPr>
                <w:rFonts w:ascii="Arial" w:eastAsia="Times New Roman" w:hAnsi="Arial" w:cs="Arial"/>
                <w:b/>
                <w:bCs/>
                <w:color w:val="000000"/>
                <w:sz w:val="20"/>
                <w:szCs w:val="20"/>
                <w:lang w:eastAsia="en-GB"/>
              </w:rPr>
              <w:t>Compounds</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48BDFE20" w14:textId="77777777" w:rsidR="00997A5D" w:rsidRPr="00167546" w:rsidRDefault="00997A5D" w:rsidP="00C157B8">
            <w:pPr>
              <w:spacing w:after="0" w:line="480" w:lineRule="auto"/>
              <w:rPr>
                <w:rFonts w:ascii="Arial" w:eastAsia="Times New Roman" w:hAnsi="Arial" w:cs="Arial"/>
                <w:b/>
                <w:bCs/>
                <w:color w:val="000000"/>
                <w:sz w:val="20"/>
                <w:szCs w:val="20"/>
                <w:lang w:val="en-GB" w:eastAsia="en-GB"/>
              </w:rPr>
            </w:pPr>
            <w:r w:rsidRPr="00167546">
              <w:rPr>
                <w:rFonts w:ascii="Arial" w:eastAsia="Times New Roman" w:hAnsi="Arial" w:cs="Arial"/>
                <w:b/>
                <w:bCs/>
                <w:color w:val="000000"/>
                <w:sz w:val="20"/>
                <w:szCs w:val="20"/>
                <w:lang w:eastAsia="en-GB"/>
              </w:rPr>
              <w:t>Interacting Residues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BCAE219" w14:textId="77777777" w:rsidR="00997A5D" w:rsidRPr="00167546" w:rsidRDefault="00997A5D" w:rsidP="00C157B8">
            <w:pPr>
              <w:spacing w:after="0" w:line="480" w:lineRule="auto"/>
              <w:rPr>
                <w:rFonts w:ascii="Arial" w:eastAsia="Times New Roman" w:hAnsi="Arial" w:cs="Arial"/>
                <w:b/>
                <w:bCs/>
                <w:color w:val="000000"/>
                <w:sz w:val="20"/>
                <w:szCs w:val="20"/>
                <w:lang w:eastAsia="en-GB"/>
              </w:rPr>
            </w:pPr>
            <w:r w:rsidRPr="00167546">
              <w:rPr>
                <w:rFonts w:ascii="Arial" w:eastAsia="Times New Roman" w:hAnsi="Arial" w:cs="Arial"/>
                <w:b/>
                <w:bCs/>
                <w:color w:val="000000"/>
                <w:sz w:val="20"/>
                <w:szCs w:val="20"/>
                <w:lang w:eastAsia="en-GB"/>
              </w:rPr>
              <w:t xml:space="preserve">No. of </w:t>
            </w:r>
          </w:p>
          <w:p w14:paraId="7150B611" w14:textId="77777777" w:rsidR="00997A5D" w:rsidRPr="00167546" w:rsidRDefault="00997A5D" w:rsidP="00C157B8">
            <w:pPr>
              <w:spacing w:after="0" w:line="480" w:lineRule="auto"/>
              <w:rPr>
                <w:rFonts w:ascii="Arial" w:eastAsia="Times New Roman" w:hAnsi="Arial" w:cs="Arial"/>
                <w:b/>
                <w:bCs/>
                <w:color w:val="000000"/>
                <w:sz w:val="20"/>
                <w:szCs w:val="20"/>
                <w:lang w:val="en-GB" w:eastAsia="en-GB"/>
              </w:rPr>
            </w:pPr>
            <w:r w:rsidRPr="00167546">
              <w:rPr>
                <w:rFonts w:ascii="Arial" w:eastAsia="Times New Roman" w:hAnsi="Arial" w:cs="Arial"/>
                <w:b/>
                <w:bCs/>
                <w:color w:val="000000"/>
                <w:sz w:val="20"/>
                <w:szCs w:val="20"/>
                <w:lang w:eastAsia="en-GB"/>
              </w:rPr>
              <w:t>H- bonds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06593FA" w14:textId="77777777" w:rsidR="00997A5D" w:rsidRPr="00167546" w:rsidRDefault="00997A5D" w:rsidP="00C157B8">
            <w:pPr>
              <w:spacing w:after="0" w:line="480" w:lineRule="auto"/>
              <w:rPr>
                <w:rFonts w:ascii="Arial" w:eastAsia="Times New Roman" w:hAnsi="Arial" w:cs="Arial"/>
                <w:b/>
                <w:bCs/>
                <w:color w:val="000000"/>
                <w:sz w:val="20"/>
                <w:szCs w:val="20"/>
                <w:lang w:val="en-GB" w:eastAsia="en-GB"/>
              </w:rPr>
            </w:pPr>
            <w:r w:rsidRPr="00167546">
              <w:rPr>
                <w:rFonts w:ascii="Arial" w:eastAsia="Times New Roman" w:hAnsi="Arial" w:cs="Arial"/>
                <w:b/>
                <w:bCs/>
                <w:color w:val="000000"/>
                <w:sz w:val="20"/>
                <w:szCs w:val="20"/>
                <w:lang w:eastAsia="en-GB"/>
              </w:rPr>
              <w:t>Docking Score in kcal/mol</w:t>
            </w:r>
          </w:p>
        </w:tc>
      </w:tr>
      <w:tr w:rsidR="00997A5D" w:rsidRPr="00167546" w14:paraId="2A3BC7C5" w14:textId="77777777" w:rsidTr="00C157B8">
        <w:trPr>
          <w:trHeight w:val="1360"/>
        </w:trPr>
        <w:tc>
          <w:tcPr>
            <w:tcW w:w="655" w:type="dxa"/>
            <w:tcBorders>
              <w:top w:val="nil"/>
              <w:left w:val="single" w:sz="4" w:space="0" w:color="auto"/>
              <w:bottom w:val="single" w:sz="4" w:space="0" w:color="auto"/>
              <w:right w:val="single" w:sz="4" w:space="0" w:color="auto"/>
            </w:tcBorders>
            <w:shd w:val="clear" w:color="auto" w:fill="auto"/>
            <w:vAlign w:val="center"/>
            <w:hideMark/>
          </w:tcPr>
          <w:p w14:paraId="2B9242BA"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w:t>
            </w:r>
          </w:p>
        </w:tc>
        <w:tc>
          <w:tcPr>
            <w:tcW w:w="1041" w:type="dxa"/>
            <w:tcBorders>
              <w:top w:val="nil"/>
              <w:left w:val="nil"/>
              <w:bottom w:val="single" w:sz="4" w:space="0" w:color="auto"/>
              <w:right w:val="single" w:sz="4" w:space="0" w:color="auto"/>
            </w:tcBorders>
            <w:shd w:val="clear" w:color="auto" w:fill="auto"/>
            <w:vAlign w:val="center"/>
            <w:hideMark/>
          </w:tcPr>
          <w:p w14:paraId="2516AADF"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HIF-1α</w:t>
            </w:r>
          </w:p>
        </w:tc>
        <w:tc>
          <w:tcPr>
            <w:tcW w:w="1701" w:type="dxa"/>
            <w:tcBorders>
              <w:top w:val="nil"/>
              <w:left w:val="nil"/>
              <w:bottom w:val="single" w:sz="4" w:space="0" w:color="auto"/>
              <w:right w:val="single" w:sz="4" w:space="0" w:color="auto"/>
            </w:tcBorders>
            <w:shd w:val="clear" w:color="auto" w:fill="auto"/>
            <w:vAlign w:val="center"/>
            <w:hideMark/>
          </w:tcPr>
          <w:p w14:paraId="71A5E38F"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Luteolin-6,8-di-C-glucoside</w:t>
            </w:r>
          </w:p>
        </w:tc>
        <w:tc>
          <w:tcPr>
            <w:tcW w:w="3119" w:type="dxa"/>
            <w:tcBorders>
              <w:top w:val="nil"/>
              <w:left w:val="nil"/>
              <w:bottom w:val="single" w:sz="4" w:space="0" w:color="auto"/>
              <w:right w:val="single" w:sz="4" w:space="0" w:color="auto"/>
            </w:tcBorders>
            <w:shd w:val="clear" w:color="auto" w:fill="auto"/>
            <w:vAlign w:val="center"/>
            <w:hideMark/>
          </w:tcPr>
          <w:p w14:paraId="0417C7C9"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proofErr w:type="spellStart"/>
            <w:r w:rsidRPr="00167546">
              <w:rPr>
                <w:rFonts w:ascii="Arial" w:eastAsia="Times New Roman" w:hAnsi="Arial" w:cs="Arial"/>
                <w:color w:val="000000"/>
                <w:sz w:val="20"/>
                <w:szCs w:val="20"/>
                <w:lang w:eastAsia="en-GB"/>
              </w:rPr>
              <w:t>Cys</w:t>
            </w:r>
            <w:proofErr w:type="spellEnd"/>
            <w:r w:rsidRPr="00167546">
              <w:rPr>
                <w:rFonts w:ascii="Arial" w:eastAsia="Times New Roman" w:hAnsi="Arial" w:cs="Arial"/>
                <w:color w:val="000000"/>
                <w:sz w:val="20"/>
                <w:szCs w:val="20"/>
                <w:lang w:eastAsia="en-GB"/>
              </w:rPr>
              <w:t xml:space="preserve"> 15, Ala 19, Leu 28, Leu 37, Gln 39</w:t>
            </w:r>
          </w:p>
        </w:tc>
        <w:tc>
          <w:tcPr>
            <w:tcW w:w="1134" w:type="dxa"/>
            <w:tcBorders>
              <w:top w:val="nil"/>
              <w:left w:val="nil"/>
              <w:bottom w:val="single" w:sz="4" w:space="0" w:color="auto"/>
              <w:right w:val="single" w:sz="4" w:space="0" w:color="auto"/>
            </w:tcBorders>
            <w:shd w:val="clear" w:color="auto" w:fill="auto"/>
            <w:vAlign w:val="center"/>
            <w:hideMark/>
          </w:tcPr>
          <w:p w14:paraId="1F580D9D"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8</w:t>
            </w:r>
          </w:p>
        </w:tc>
        <w:tc>
          <w:tcPr>
            <w:tcW w:w="1134" w:type="dxa"/>
            <w:tcBorders>
              <w:top w:val="nil"/>
              <w:left w:val="nil"/>
              <w:bottom w:val="single" w:sz="4" w:space="0" w:color="auto"/>
              <w:right w:val="single" w:sz="4" w:space="0" w:color="auto"/>
            </w:tcBorders>
            <w:shd w:val="clear" w:color="auto" w:fill="auto"/>
            <w:vAlign w:val="center"/>
            <w:hideMark/>
          </w:tcPr>
          <w:p w14:paraId="100EFE3B"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-9.31</w:t>
            </w:r>
          </w:p>
        </w:tc>
      </w:tr>
      <w:tr w:rsidR="00997A5D" w:rsidRPr="00167546" w14:paraId="34A118AA" w14:textId="77777777" w:rsidTr="00C157B8">
        <w:trPr>
          <w:trHeight w:val="1360"/>
        </w:trPr>
        <w:tc>
          <w:tcPr>
            <w:tcW w:w="655" w:type="dxa"/>
            <w:tcBorders>
              <w:top w:val="nil"/>
              <w:left w:val="single" w:sz="4" w:space="0" w:color="auto"/>
              <w:bottom w:val="single" w:sz="4" w:space="0" w:color="auto"/>
              <w:right w:val="single" w:sz="4" w:space="0" w:color="auto"/>
            </w:tcBorders>
            <w:shd w:val="clear" w:color="auto" w:fill="auto"/>
          </w:tcPr>
          <w:p w14:paraId="526B9C18" w14:textId="77777777" w:rsidR="00997A5D" w:rsidRPr="00167546" w:rsidRDefault="00997A5D" w:rsidP="00C157B8">
            <w:pPr>
              <w:spacing w:after="0" w:line="480" w:lineRule="auto"/>
              <w:jc w:val="center"/>
              <w:rPr>
                <w:rFonts w:ascii="Arial" w:eastAsia="Times New Roman" w:hAnsi="Arial" w:cs="Arial"/>
                <w:color w:val="000000"/>
                <w:sz w:val="20"/>
                <w:szCs w:val="20"/>
                <w:lang w:eastAsia="en-GB"/>
              </w:rPr>
            </w:pPr>
            <w:r w:rsidRPr="00167546">
              <w:rPr>
                <w:rFonts w:ascii="Arial" w:hAnsi="Arial" w:cs="Arial"/>
                <w:sz w:val="20"/>
                <w:szCs w:val="20"/>
              </w:rPr>
              <w:lastRenderedPageBreak/>
              <w:t>2</w:t>
            </w:r>
          </w:p>
        </w:tc>
        <w:tc>
          <w:tcPr>
            <w:tcW w:w="1041" w:type="dxa"/>
            <w:tcBorders>
              <w:top w:val="nil"/>
              <w:left w:val="nil"/>
              <w:bottom w:val="single" w:sz="4" w:space="0" w:color="auto"/>
              <w:right w:val="single" w:sz="4" w:space="0" w:color="auto"/>
            </w:tcBorders>
            <w:shd w:val="clear" w:color="auto" w:fill="auto"/>
          </w:tcPr>
          <w:p w14:paraId="05502229" w14:textId="77777777" w:rsidR="00997A5D" w:rsidRPr="00167546" w:rsidRDefault="00997A5D" w:rsidP="00C157B8">
            <w:pPr>
              <w:spacing w:after="0" w:line="480" w:lineRule="auto"/>
              <w:rPr>
                <w:rFonts w:ascii="Arial" w:eastAsia="Times New Roman" w:hAnsi="Arial" w:cs="Arial"/>
                <w:color w:val="000000"/>
                <w:sz w:val="20"/>
                <w:szCs w:val="20"/>
                <w:lang w:eastAsia="en-GB"/>
              </w:rPr>
            </w:pPr>
            <w:r w:rsidRPr="00167546">
              <w:rPr>
                <w:rFonts w:ascii="Arial" w:hAnsi="Arial" w:cs="Arial"/>
                <w:sz w:val="20"/>
                <w:szCs w:val="20"/>
              </w:rPr>
              <w:t>IFN-γ</w:t>
            </w:r>
          </w:p>
        </w:tc>
        <w:tc>
          <w:tcPr>
            <w:tcW w:w="1701" w:type="dxa"/>
            <w:tcBorders>
              <w:top w:val="nil"/>
              <w:left w:val="nil"/>
              <w:bottom w:val="single" w:sz="4" w:space="0" w:color="auto"/>
              <w:right w:val="single" w:sz="4" w:space="0" w:color="auto"/>
            </w:tcBorders>
            <w:shd w:val="clear" w:color="auto" w:fill="auto"/>
          </w:tcPr>
          <w:p w14:paraId="6E3B1F69" w14:textId="77777777" w:rsidR="00997A5D" w:rsidRPr="00167546" w:rsidRDefault="00997A5D" w:rsidP="00C157B8">
            <w:pPr>
              <w:spacing w:after="0" w:line="480" w:lineRule="auto"/>
              <w:rPr>
                <w:rFonts w:ascii="Arial" w:eastAsia="Times New Roman" w:hAnsi="Arial" w:cs="Arial"/>
                <w:color w:val="000000"/>
                <w:sz w:val="20"/>
                <w:szCs w:val="20"/>
                <w:lang w:eastAsia="en-GB"/>
              </w:rPr>
            </w:pPr>
            <w:r w:rsidRPr="00167546">
              <w:rPr>
                <w:rFonts w:ascii="Arial" w:hAnsi="Arial" w:cs="Arial"/>
                <w:sz w:val="20"/>
                <w:szCs w:val="20"/>
              </w:rPr>
              <w:t>Kaempferol-3-O-rutinoside</w:t>
            </w:r>
          </w:p>
        </w:tc>
        <w:tc>
          <w:tcPr>
            <w:tcW w:w="3119" w:type="dxa"/>
            <w:tcBorders>
              <w:top w:val="nil"/>
              <w:left w:val="nil"/>
              <w:bottom w:val="single" w:sz="4" w:space="0" w:color="auto"/>
              <w:right w:val="single" w:sz="4" w:space="0" w:color="auto"/>
            </w:tcBorders>
            <w:shd w:val="clear" w:color="auto" w:fill="auto"/>
          </w:tcPr>
          <w:p w14:paraId="6D30F8E7" w14:textId="77777777" w:rsidR="00997A5D" w:rsidRPr="00167546" w:rsidRDefault="00997A5D" w:rsidP="00C157B8">
            <w:pPr>
              <w:spacing w:after="0" w:line="480" w:lineRule="auto"/>
              <w:rPr>
                <w:rFonts w:ascii="Arial" w:eastAsia="Times New Roman" w:hAnsi="Arial" w:cs="Arial"/>
                <w:color w:val="000000"/>
                <w:sz w:val="20"/>
                <w:szCs w:val="20"/>
                <w:lang w:eastAsia="en-GB"/>
              </w:rPr>
            </w:pPr>
            <w:r w:rsidRPr="00167546">
              <w:rPr>
                <w:rFonts w:ascii="Arial" w:hAnsi="Arial" w:cs="Arial"/>
                <w:sz w:val="20"/>
                <w:szCs w:val="20"/>
              </w:rPr>
              <w:t xml:space="preserve">Leu 95, </w:t>
            </w:r>
            <w:proofErr w:type="spellStart"/>
            <w:r w:rsidRPr="00167546">
              <w:rPr>
                <w:rFonts w:ascii="Arial" w:hAnsi="Arial" w:cs="Arial"/>
                <w:sz w:val="20"/>
                <w:szCs w:val="20"/>
              </w:rPr>
              <w:t>Thr</w:t>
            </w:r>
            <w:proofErr w:type="spellEnd"/>
            <w:r w:rsidRPr="00167546">
              <w:rPr>
                <w:rFonts w:ascii="Arial" w:hAnsi="Arial" w:cs="Arial"/>
                <w:sz w:val="20"/>
                <w:szCs w:val="20"/>
              </w:rPr>
              <w:t xml:space="preserve"> 96, </w:t>
            </w:r>
            <w:proofErr w:type="spellStart"/>
            <w:r w:rsidRPr="00167546">
              <w:rPr>
                <w:rFonts w:ascii="Arial" w:hAnsi="Arial" w:cs="Arial"/>
                <w:sz w:val="20"/>
                <w:szCs w:val="20"/>
              </w:rPr>
              <w:t>Asn</w:t>
            </w:r>
            <w:proofErr w:type="spellEnd"/>
            <w:r w:rsidRPr="00167546">
              <w:rPr>
                <w:rFonts w:ascii="Arial" w:hAnsi="Arial" w:cs="Arial"/>
                <w:sz w:val="20"/>
                <w:szCs w:val="20"/>
              </w:rPr>
              <w:t xml:space="preserve"> 97</w:t>
            </w:r>
          </w:p>
        </w:tc>
        <w:tc>
          <w:tcPr>
            <w:tcW w:w="1134" w:type="dxa"/>
            <w:tcBorders>
              <w:top w:val="nil"/>
              <w:left w:val="nil"/>
              <w:bottom w:val="single" w:sz="4" w:space="0" w:color="auto"/>
              <w:right w:val="single" w:sz="4" w:space="0" w:color="auto"/>
            </w:tcBorders>
            <w:shd w:val="clear" w:color="auto" w:fill="auto"/>
          </w:tcPr>
          <w:p w14:paraId="0AC99634" w14:textId="77777777" w:rsidR="00997A5D" w:rsidRPr="00167546" w:rsidRDefault="00997A5D" w:rsidP="00C157B8">
            <w:pPr>
              <w:spacing w:after="0" w:line="480" w:lineRule="auto"/>
              <w:jc w:val="right"/>
              <w:rPr>
                <w:rFonts w:ascii="Arial" w:eastAsia="Times New Roman" w:hAnsi="Arial" w:cs="Arial"/>
                <w:color w:val="000000"/>
                <w:sz w:val="20"/>
                <w:szCs w:val="20"/>
                <w:lang w:eastAsia="en-GB"/>
              </w:rPr>
            </w:pPr>
            <w:r w:rsidRPr="00167546">
              <w:rPr>
                <w:rFonts w:ascii="Arial" w:hAnsi="Arial" w:cs="Arial"/>
                <w:sz w:val="20"/>
                <w:szCs w:val="20"/>
              </w:rPr>
              <w:t>3</w:t>
            </w:r>
          </w:p>
        </w:tc>
        <w:tc>
          <w:tcPr>
            <w:tcW w:w="1134" w:type="dxa"/>
            <w:tcBorders>
              <w:top w:val="nil"/>
              <w:left w:val="nil"/>
              <w:bottom w:val="single" w:sz="4" w:space="0" w:color="auto"/>
              <w:right w:val="single" w:sz="4" w:space="0" w:color="auto"/>
            </w:tcBorders>
            <w:shd w:val="clear" w:color="auto" w:fill="auto"/>
          </w:tcPr>
          <w:p w14:paraId="72940C19" w14:textId="77777777" w:rsidR="00997A5D" w:rsidRPr="00167546" w:rsidRDefault="00997A5D" w:rsidP="00C157B8">
            <w:pPr>
              <w:spacing w:after="0" w:line="480" w:lineRule="auto"/>
              <w:jc w:val="right"/>
              <w:rPr>
                <w:rFonts w:ascii="Arial" w:eastAsia="Times New Roman" w:hAnsi="Arial" w:cs="Arial"/>
                <w:color w:val="000000"/>
                <w:sz w:val="20"/>
                <w:szCs w:val="20"/>
                <w:lang w:eastAsia="en-GB"/>
              </w:rPr>
            </w:pPr>
            <w:r w:rsidRPr="00167546">
              <w:rPr>
                <w:rFonts w:ascii="Arial" w:hAnsi="Arial" w:cs="Arial"/>
                <w:sz w:val="20"/>
                <w:szCs w:val="20"/>
              </w:rPr>
              <w:t>-7.16</w:t>
            </w:r>
          </w:p>
        </w:tc>
      </w:tr>
      <w:tr w:rsidR="00997A5D" w:rsidRPr="00167546" w14:paraId="74EE4D15" w14:textId="77777777" w:rsidTr="00C157B8">
        <w:trPr>
          <w:trHeight w:val="1020"/>
        </w:trPr>
        <w:tc>
          <w:tcPr>
            <w:tcW w:w="655" w:type="dxa"/>
            <w:tcBorders>
              <w:top w:val="nil"/>
              <w:left w:val="single" w:sz="4" w:space="0" w:color="auto"/>
              <w:bottom w:val="single" w:sz="4" w:space="0" w:color="auto"/>
              <w:right w:val="single" w:sz="4" w:space="0" w:color="auto"/>
            </w:tcBorders>
            <w:shd w:val="clear" w:color="auto" w:fill="auto"/>
            <w:vAlign w:val="center"/>
            <w:hideMark/>
          </w:tcPr>
          <w:p w14:paraId="233BF5B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2</w:t>
            </w:r>
          </w:p>
        </w:tc>
        <w:tc>
          <w:tcPr>
            <w:tcW w:w="1041" w:type="dxa"/>
            <w:tcBorders>
              <w:top w:val="nil"/>
              <w:left w:val="nil"/>
              <w:bottom w:val="single" w:sz="4" w:space="0" w:color="auto"/>
              <w:right w:val="single" w:sz="4" w:space="0" w:color="auto"/>
            </w:tcBorders>
            <w:shd w:val="clear" w:color="auto" w:fill="auto"/>
            <w:vAlign w:val="center"/>
            <w:hideMark/>
          </w:tcPr>
          <w:p w14:paraId="4E4E6404"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IL-6</w:t>
            </w:r>
          </w:p>
        </w:tc>
        <w:tc>
          <w:tcPr>
            <w:tcW w:w="1701" w:type="dxa"/>
            <w:tcBorders>
              <w:top w:val="nil"/>
              <w:left w:val="nil"/>
              <w:bottom w:val="single" w:sz="4" w:space="0" w:color="auto"/>
              <w:right w:val="single" w:sz="4" w:space="0" w:color="auto"/>
            </w:tcBorders>
            <w:shd w:val="clear" w:color="auto" w:fill="auto"/>
            <w:vAlign w:val="center"/>
            <w:hideMark/>
          </w:tcPr>
          <w:p w14:paraId="305FD4EE"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Luteolin-6,8-di-C-glucoside</w:t>
            </w:r>
          </w:p>
        </w:tc>
        <w:tc>
          <w:tcPr>
            <w:tcW w:w="3119" w:type="dxa"/>
            <w:tcBorders>
              <w:top w:val="nil"/>
              <w:left w:val="nil"/>
              <w:bottom w:val="single" w:sz="4" w:space="0" w:color="auto"/>
              <w:right w:val="single" w:sz="4" w:space="0" w:color="auto"/>
            </w:tcBorders>
            <w:shd w:val="clear" w:color="auto" w:fill="auto"/>
            <w:vAlign w:val="center"/>
            <w:hideMark/>
          </w:tcPr>
          <w:p w14:paraId="67788261"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Lys 171, Glu 172</w:t>
            </w:r>
          </w:p>
        </w:tc>
        <w:tc>
          <w:tcPr>
            <w:tcW w:w="1134" w:type="dxa"/>
            <w:tcBorders>
              <w:top w:val="nil"/>
              <w:left w:val="nil"/>
              <w:bottom w:val="single" w:sz="4" w:space="0" w:color="auto"/>
              <w:right w:val="single" w:sz="4" w:space="0" w:color="auto"/>
            </w:tcBorders>
            <w:shd w:val="clear" w:color="auto" w:fill="auto"/>
            <w:vAlign w:val="center"/>
            <w:hideMark/>
          </w:tcPr>
          <w:p w14:paraId="152EADDD"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w:t>
            </w:r>
          </w:p>
        </w:tc>
        <w:tc>
          <w:tcPr>
            <w:tcW w:w="1134" w:type="dxa"/>
            <w:tcBorders>
              <w:top w:val="nil"/>
              <w:left w:val="nil"/>
              <w:bottom w:val="single" w:sz="4" w:space="0" w:color="auto"/>
              <w:right w:val="single" w:sz="4" w:space="0" w:color="auto"/>
            </w:tcBorders>
            <w:shd w:val="clear" w:color="auto" w:fill="auto"/>
            <w:vAlign w:val="center"/>
            <w:hideMark/>
          </w:tcPr>
          <w:p w14:paraId="3AD0BCF8"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-6.94</w:t>
            </w:r>
          </w:p>
        </w:tc>
      </w:tr>
      <w:tr w:rsidR="00997A5D" w:rsidRPr="00167546" w14:paraId="1CF4A94E" w14:textId="77777777" w:rsidTr="00C157B8">
        <w:trPr>
          <w:trHeight w:val="1020"/>
        </w:trPr>
        <w:tc>
          <w:tcPr>
            <w:tcW w:w="655" w:type="dxa"/>
            <w:tcBorders>
              <w:top w:val="nil"/>
              <w:left w:val="single" w:sz="4" w:space="0" w:color="auto"/>
              <w:bottom w:val="single" w:sz="4" w:space="0" w:color="auto"/>
              <w:right w:val="single" w:sz="4" w:space="0" w:color="auto"/>
            </w:tcBorders>
            <w:shd w:val="clear" w:color="auto" w:fill="auto"/>
            <w:vAlign w:val="center"/>
            <w:hideMark/>
          </w:tcPr>
          <w:p w14:paraId="75101A68"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w:t>
            </w:r>
          </w:p>
        </w:tc>
        <w:tc>
          <w:tcPr>
            <w:tcW w:w="1041" w:type="dxa"/>
            <w:tcBorders>
              <w:top w:val="nil"/>
              <w:left w:val="nil"/>
              <w:bottom w:val="single" w:sz="4" w:space="0" w:color="auto"/>
              <w:right w:val="single" w:sz="4" w:space="0" w:color="auto"/>
            </w:tcBorders>
            <w:shd w:val="clear" w:color="auto" w:fill="auto"/>
            <w:vAlign w:val="center"/>
            <w:hideMark/>
          </w:tcPr>
          <w:p w14:paraId="05D20AAF"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TGF-β</w:t>
            </w:r>
          </w:p>
        </w:tc>
        <w:tc>
          <w:tcPr>
            <w:tcW w:w="1701" w:type="dxa"/>
            <w:tcBorders>
              <w:top w:val="nil"/>
              <w:left w:val="nil"/>
              <w:bottom w:val="single" w:sz="4" w:space="0" w:color="auto"/>
              <w:right w:val="single" w:sz="4" w:space="0" w:color="auto"/>
            </w:tcBorders>
            <w:shd w:val="clear" w:color="auto" w:fill="auto"/>
            <w:vAlign w:val="center"/>
            <w:hideMark/>
          </w:tcPr>
          <w:p w14:paraId="65F09BA3"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Kaempferol-3-O-rutinoside</w:t>
            </w:r>
          </w:p>
        </w:tc>
        <w:tc>
          <w:tcPr>
            <w:tcW w:w="3119" w:type="dxa"/>
            <w:tcBorders>
              <w:top w:val="nil"/>
              <w:left w:val="nil"/>
              <w:bottom w:val="single" w:sz="4" w:space="0" w:color="auto"/>
              <w:right w:val="single" w:sz="4" w:space="0" w:color="auto"/>
            </w:tcBorders>
            <w:shd w:val="clear" w:color="auto" w:fill="auto"/>
            <w:vAlign w:val="center"/>
            <w:hideMark/>
          </w:tcPr>
          <w:p w14:paraId="5A8FA1AB"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proofErr w:type="spellStart"/>
            <w:r w:rsidRPr="00167546">
              <w:rPr>
                <w:rFonts w:ascii="Arial" w:eastAsia="Times New Roman" w:hAnsi="Arial" w:cs="Arial"/>
                <w:color w:val="000000"/>
                <w:sz w:val="20"/>
                <w:szCs w:val="20"/>
                <w:lang w:eastAsia="en-GB"/>
              </w:rPr>
              <w:t>Trp</w:t>
            </w:r>
            <w:proofErr w:type="spellEnd"/>
            <w:r w:rsidRPr="00167546">
              <w:rPr>
                <w:rFonts w:ascii="Arial" w:eastAsia="Times New Roman" w:hAnsi="Arial" w:cs="Arial"/>
                <w:color w:val="000000"/>
                <w:sz w:val="20"/>
                <w:szCs w:val="20"/>
                <w:lang w:eastAsia="en-GB"/>
              </w:rPr>
              <w:t xml:space="preserve"> 32, Tyr 91</w:t>
            </w:r>
          </w:p>
        </w:tc>
        <w:tc>
          <w:tcPr>
            <w:tcW w:w="1134" w:type="dxa"/>
            <w:tcBorders>
              <w:top w:val="nil"/>
              <w:left w:val="nil"/>
              <w:bottom w:val="single" w:sz="4" w:space="0" w:color="auto"/>
              <w:right w:val="single" w:sz="4" w:space="0" w:color="auto"/>
            </w:tcBorders>
            <w:shd w:val="clear" w:color="auto" w:fill="auto"/>
            <w:vAlign w:val="center"/>
            <w:hideMark/>
          </w:tcPr>
          <w:p w14:paraId="5339F4B6"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w:t>
            </w:r>
          </w:p>
        </w:tc>
        <w:tc>
          <w:tcPr>
            <w:tcW w:w="1134" w:type="dxa"/>
            <w:tcBorders>
              <w:top w:val="nil"/>
              <w:left w:val="nil"/>
              <w:bottom w:val="single" w:sz="4" w:space="0" w:color="auto"/>
              <w:right w:val="single" w:sz="4" w:space="0" w:color="auto"/>
            </w:tcBorders>
            <w:shd w:val="clear" w:color="auto" w:fill="auto"/>
            <w:vAlign w:val="center"/>
            <w:hideMark/>
          </w:tcPr>
          <w:p w14:paraId="716DD0EB"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-7.45</w:t>
            </w:r>
          </w:p>
        </w:tc>
      </w:tr>
      <w:tr w:rsidR="00997A5D" w:rsidRPr="00167546" w14:paraId="44BCDC49" w14:textId="77777777" w:rsidTr="00C157B8">
        <w:trPr>
          <w:trHeight w:val="1360"/>
        </w:trPr>
        <w:tc>
          <w:tcPr>
            <w:tcW w:w="655" w:type="dxa"/>
            <w:tcBorders>
              <w:top w:val="nil"/>
              <w:left w:val="single" w:sz="4" w:space="0" w:color="auto"/>
              <w:bottom w:val="single" w:sz="4" w:space="0" w:color="auto"/>
              <w:right w:val="single" w:sz="4" w:space="0" w:color="auto"/>
            </w:tcBorders>
            <w:shd w:val="clear" w:color="auto" w:fill="auto"/>
            <w:vAlign w:val="center"/>
            <w:hideMark/>
          </w:tcPr>
          <w:p w14:paraId="710FD865"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4</w:t>
            </w:r>
          </w:p>
        </w:tc>
        <w:tc>
          <w:tcPr>
            <w:tcW w:w="1041" w:type="dxa"/>
            <w:tcBorders>
              <w:top w:val="nil"/>
              <w:left w:val="nil"/>
              <w:bottom w:val="single" w:sz="4" w:space="0" w:color="auto"/>
              <w:right w:val="single" w:sz="4" w:space="0" w:color="auto"/>
            </w:tcBorders>
            <w:shd w:val="clear" w:color="auto" w:fill="auto"/>
            <w:vAlign w:val="center"/>
            <w:hideMark/>
          </w:tcPr>
          <w:p w14:paraId="07ED8A57"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JAK-1</w:t>
            </w:r>
          </w:p>
        </w:tc>
        <w:tc>
          <w:tcPr>
            <w:tcW w:w="1701" w:type="dxa"/>
            <w:tcBorders>
              <w:top w:val="nil"/>
              <w:left w:val="nil"/>
              <w:bottom w:val="single" w:sz="4" w:space="0" w:color="auto"/>
              <w:right w:val="single" w:sz="4" w:space="0" w:color="auto"/>
            </w:tcBorders>
            <w:shd w:val="clear" w:color="auto" w:fill="auto"/>
            <w:vAlign w:val="center"/>
            <w:hideMark/>
          </w:tcPr>
          <w:p w14:paraId="3EE0D198"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Luteolin-6,8-di-C-glucoside</w:t>
            </w:r>
          </w:p>
        </w:tc>
        <w:tc>
          <w:tcPr>
            <w:tcW w:w="3119" w:type="dxa"/>
            <w:tcBorders>
              <w:top w:val="nil"/>
              <w:left w:val="nil"/>
              <w:bottom w:val="single" w:sz="4" w:space="0" w:color="auto"/>
              <w:right w:val="single" w:sz="4" w:space="0" w:color="auto"/>
            </w:tcBorders>
            <w:shd w:val="clear" w:color="auto" w:fill="auto"/>
            <w:vAlign w:val="center"/>
            <w:hideMark/>
          </w:tcPr>
          <w:p w14:paraId="51D59194" w14:textId="77777777" w:rsidR="00997A5D" w:rsidRPr="00167546" w:rsidRDefault="00997A5D" w:rsidP="00C157B8">
            <w:pPr>
              <w:spacing w:after="0" w:line="480" w:lineRule="auto"/>
              <w:rPr>
                <w:rFonts w:ascii="Arial" w:eastAsia="Times New Roman" w:hAnsi="Arial" w:cs="Arial"/>
                <w:color w:val="000000"/>
                <w:sz w:val="20"/>
                <w:szCs w:val="20"/>
                <w:lang w:eastAsia="en-GB"/>
              </w:rPr>
            </w:pPr>
            <w:r w:rsidRPr="00167546">
              <w:rPr>
                <w:rFonts w:ascii="Arial" w:eastAsia="Times New Roman" w:hAnsi="Arial" w:cs="Arial"/>
                <w:color w:val="000000"/>
                <w:sz w:val="20"/>
                <w:szCs w:val="20"/>
                <w:lang w:eastAsia="en-GB"/>
              </w:rPr>
              <w:t>Glu 883, Lys 908, Asp 1003,</w:t>
            </w:r>
          </w:p>
          <w:p w14:paraId="093EC10C"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proofErr w:type="spellStart"/>
            <w:r w:rsidRPr="00167546">
              <w:rPr>
                <w:rFonts w:ascii="Arial" w:eastAsia="Times New Roman" w:hAnsi="Arial" w:cs="Arial"/>
                <w:color w:val="000000"/>
                <w:sz w:val="20"/>
                <w:szCs w:val="20"/>
                <w:lang w:eastAsia="en-GB"/>
              </w:rPr>
              <w:t>Gly</w:t>
            </w:r>
            <w:proofErr w:type="spellEnd"/>
            <w:r w:rsidRPr="00167546">
              <w:rPr>
                <w:rFonts w:ascii="Arial" w:eastAsia="Times New Roman" w:hAnsi="Arial" w:cs="Arial"/>
                <w:color w:val="000000"/>
                <w:sz w:val="20"/>
                <w:szCs w:val="20"/>
                <w:lang w:eastAsia="en-GB"/>
              </w:rPr>
              <w:t xml:space="preserve"> 1020</w:t>
            </w:r>
          </w:p>
        </w:tc>
        <w:tc>
          <w:tcPr>
            <w:tcW w:w="1134" w:type="dxa"/>
            <w:tcBorders>
              <w:top w:val="nil"/>
              <w:left w:val="nil"/>
              <w:bottom w:val="single" w:sz="4" w:space="0" w:color="auto"/>
              <w:right w:val="single" w:sz="4" w:space="0" w:color="auto"/>
            </w:tcBorders>
            <w:shd w:val="clear" w:color="auto" w:fill="auto"/>
            <w:vAlign w:val="center"/>
            <w:hideMark/>
          </w:tcPr>
          <w:p w14:paraId="47809A83"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w:t>
            </w:r>
          </w:p>
        </w:tc>
        <w:tc>
          <w:tcPr>
            <w:tcW w:w="1134" w:type="dxa"/>
            <w:tcBorders>
              <w:top w:val="nil"/>
              <w:left w:val="nil"/>
              <w:bottom w:val="single" w:sz="4" w:space="0" w:color="auto"/>
              <w:right w:val="single" w:sz="4" w:space="0" w:color="auto"/>
            </w:tcBorders>
            <w:shd w:val="clear" w:color="auto" w:fill="auto"/>
            <w:vAlign w:val="center"/>
            <w:hideMark/>
          </w:tcPr>
          <w:p w14:paraId="2BB4736D"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-12.08</w:t>
            </w:r>
          </w:p>
        </w:tc>
      </w:tr>
      <w:tr w:rsidR="00997A5D" w:rsidRPr="00167546" w14:paraId="211E366F" w14:textId="77777777" w:rsidTr="00C157B8">
        <w:trPr>
          <w:trHeight w:val="1020"/>
        </w:trPr>
        <w:tc>
          <w:tcPr>
            <w:tcW w:w="655" w:type="dxa"/>
            <w:tcBorders>
              <w:top w:val="nil"/>
              <w:left w:val="single" w:sz="4" w:space="0" w:color="auto"/>
              <w:bottom w:val="single" w:sz="4" w:space="0" w:color="auto"/>
              <w:right w:val="single" w:sz="4" w:space="0" w:color="auto"/>
            </w:tcBorders>
            <w:shd w:val="clear" w:color="auto" w:fill="auto"/>
            <w:vAlign w:val="center"/>
            <w:hideMark/>
          </w:tcPr>
          <w:p w14:paraId="1C5BC57F"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5</w:t>
            </w:r>
          </w:p>
        </w:tc>
        <w:tc>
          <w:tcPr>
            <w:tcW w:w="1041" w:type="dxa"/>
            <w:tcBorders>
              <w:top w:val="nil"/>
              <w:left w:val="nil"/>
              <w:bottom w:val="single" w:sz="4" w:space="0" w:color="auto"/>
              <w:right w:val="single" w:sz="4" w:space="0" w:color="auto"/>
            </w:tcBorders>
            <w:shd w:val="clear" w:color="auto" w:fill="auto"/>
            <w:vAlign w:val="center"/>
            <w:hideMark/>
          </w:tcPr>
          <w:p w14:paraId="07B45EF9"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JAK-3</w:t>
            </w:r>
          </w:p>
        </w:tc>
        <w:tc>
          <w:tcPr>
            <w:tcW w:w="1701" w:type="dxa"/>
            <w:tcBorders>
              <w:top w:val="nil"/>
              <w:left w:val="nil"/>
              <w:bottom w:val="single" w:sz="4" w:space="0" w:color="auto"/>
              <w:right w:val="single" w:sz="4" w:space="0" w:color="auto"/>
            </w:tcBorders>
            <w:shd w:val="clear" w:color="auto" w:fill="auto"/>
            <w:vAlign w:val="center"/>
            <w:hideMark/>
          </w:tcPr>
          <w:p w14:paraId="2DAC3506"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Apigenin-8-C-arabinoside</w:t>
            </w:r>
          </w:p>
        </w:tc>
        <w:tc>
          <w:tcPr>
            <w:tcW w:w="3119" w:type="dxa"/>
            <w:tcBorders>
              <w:top w:val="nil"/>
              <w:left w:val="nil"/>
              <w:bottom w:val="single" w:sz="4" w:space="0" w:color="auto"/>
              <w:right w:val="single" w:sz="4" w:space="0" w:color="auto"/>
            </w:tcBorders>
            <w:shd w:val="clear" w:color="auto" w:fill="auto"/>
            <w:vAlign w:val="center"/>
            <w:hideMark/>
          </w:tcPr>
          <w:p w14:paraId="427AF45B"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 xml:space="preserve">Leu 905, </w:t>
            </w:r>
            <w:proofErr w:type="spellStart"/>
            <w:r w:rsidRPr="00167546">
              <w:rPr>
                <w:rFonts w:ascii="Arial" w:eastAsia="Times New Roman" w:hAnsi="Arial" w:cs="Arial"/>
                <w:color w:val="000000"/>
                <w:sz w:val="20"/>
                <w:szCs w:val="20"/>
                <w:lang w:eastAsia="en-GB"/>
              </w:rPr>
              <w:t>Arg</w:t>
            </w:r>
            <w:proofErr w:type="spellEnd"/>
            <w:r w:rsidRPr="00167546">
              <w:rPr>
                <w:rFonts w:ascii="Arial" w:eastAsia="Times New Roman" w:hAnsi="Arial" w:cs="Arial"/>
                <w:color w:val="000000"/>
                <w:sz w:val="20"/>
                <w:szCs w:val="20"/>
                <w:lang w:eastAsia="en-GB"/>
              </w:rPr>
              <w:t xml:space="preserve"> 953, Ala 966</w:t>
            </w:r>
          </w:p>
        </w:tc>
        <w:tc>
          <w:tcPr>
            <w:tcW w:w="1134" w:type="dxa"/>
            <w:tcBorders>
              <w:top w:val="nil"/>
              <w:left w:val="nil"/>
              <w:bottom w:val="single" w:sz="4" w:space="0" w:color="auto"/>
              <w:right w:val="single" w:sz="4" w:space="0" w:color="auto"/>
            </w:tcBorders>
            <w:shd w:val="clear" w:color="auto" w:fill="auto"/>
            <w:vAlign w:val="center"/>
            <w:hideMark/>
          </w:tcPr>
          <w:p w14:paraId="01FD2459"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3</w:t>
            </w:r>
          </w:p>
        </w:tc>
        <w:tc>
          <w:tcPr>
            <w:tcW w:w="1134" w:type="dxa"/>
            <w:tcBorders>
              <w:top w:val="nil"/>
              <w:left w:val="nil"/>
              <w:bottom w:val="single" w:sz="4" w:space="0" w:color="auto"/>
              <w:right w:val="single" w:sz="4" w:space="0" w:color="auto"/>
            </w:tcBorders>
            <w:shd w:val="clear" w:color="auto" w:fill="auto"/>
            <w:vAlign w:val="center"/>
            <w:hideMark/>
          </w:tcPr>
          <w:p w14:paraId="67682347"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-11.28</w:t>
            </w:r>
          </w:p>
        </w:tc>
      </w:tr>
      <w:tr w:rsidR="00997A5D" w:rsidRPr="00167546" w14:paraId="4D553236" w14:textId="77777777" w:rsidTr="00C157B8">
        <w:trPr>
          <w:trHeight w:val="1700"/>
        </w:trPr>
        <w:tc>
          <w:tcPr>
            <w:tcW w:w="655" w:type="dxa"/>
            <w:tcBorders>
              <w:top w:val="nil"/>
              <w:left w:val="single" w:sz="4" w:space="0" w:color="auto"/>
              <w:bottom w:val="single" w:sz="4" w:space="0" w:color="auto"/>
              <w:right w:val="single" w:sz="4" w:space="0" w:color="auto"/>
            </w:tcBorders>
            <w:shd w:val="clear" w:color="auto" w:fill="auto"/>
            <w:vAlign w:val="center"/>
            <w:hideMark/>
          </w:tcPr>
          <w:p w14:paraId="1F1B106D" w14:textId="77777777" w:rsidR="00997A5D" w:rsidRPr="00167546" w:rsidRDefault="00997A5D" w:rsidP="00C157B8">
            <w:pPr>
              <w:spacing w:after="0" w:line="480" w:lineRule="auto"/>
              <w:jc w:val="center"/>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6</w:t>
            </w:r>
          </w:p>
        </w:tc>
        <w:tc>
          <w:tcPr>
            <w:tcW w:w="1041" w:type="dxa"/>
            <w:tcBorders>
              <w:top w:val="nil"/>
              <w:left w:val="nil"/>
              <w:bottom w:val="single" w:sz="4" w:space="0" w:color="auto"/>
              <w:right w:val="single" w:sz="4" w:space="0" w:color="auto"/>
            </w:tcBorders>
            <w:shd w:val="clear" w:color="auto" w:fill="auto"/>
            <w:vAlign w:val="center"/>
            <w:hideMark/>
          </w:tcPr>
          <w:p w14:paraId="6C51DFBD"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TNF-α</w:t>
            </w:r>
          </w:p>
        </w:tc>
        <w:tc>
          <w:tcPr>
            <w:tcW w:w="1701" w:type="dxa"/>
            <w:tcBorders>
              <w:top w:val="nil"/>
              <w:left w:val="nil"/>
              <w:bottom w:val="single" w:sz="4" w:space="0" w:color="auto"/>
              <w:right w:val="single" w:sz="4" w:space="0" w:color="auto"/>
            </w:tcBorders>
            <w:shd w:val="clear" w:color="auto" w:fill="auto"/>
            <w:vAlign w:val="center"/>
            <w:hideMark/>
          </w:tcPr>
          <w:p w14:paraId="1C015411"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Luteolin-6C-glucoside-8C-arabinoside</w:t>
            </w:r>
          </w:p>
        </w:tc>
        <w:tc>
          <w:tcPr>
            <w:tcW w:w="3119" w:type="dxa"/>
            <w:tcBorders>
              <w:top w:val="nil"/>
              <w:left w:val="nil"/>
              <w:bottom w:val="single" w:sz="4" w:space="0" w:color="auto"/>
              <w:right w:val="single" w:sz="4" w:space="0" w:color="auto"/>
            </w:tcBorders>
            <w:shd w:val="clear" w:color="auto" w:fill="auto"/>
            <w:vAlign w:val="center"/>
            <w:hideMark/>
          </w:tcPr>
          <w:p w14:paraId="7A02D422" w14:textId="77777777" w:rsidR="00997A5D" w:rsidRPr="00167546" w:rsidRDefault="00997A5D" w:rsidP="00C157B8">
            <w:pPr>
              <w:spacing w:after="0" w:line="480" w:lineRule="auto"/>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 xml:space="preserve">Gln 21,Ala 22, Lys 65, Pro 139, Asp 140, </w:t>
            </w:r>
            <w:proofErr w:type="spellStart"/>
            <w:r w:rsidRPr="00167546">
              <w:rPr>
                <w:rFonts w:ascii="Arial" w:eastAsia="Times New Roman" w:hAnsi="Arial" w:cs="Arial"/>
                <w:color w:val="000000"/>
                <w:sz w:val="20"/>
                <w:szCs w:val="20"/>
                <w:lang w:eastAsia="en-GB"/>
              </w:rPr>
              <w:t>Phe</w:t>
            </w:r>
            <w:proofErr w:type="spellEnd"/>
            <w:r w:rsidRPr="00167546">
              <w:rPr>
                <w:rFonts w:ascii="Arial" w:eastAsia="Times New Roman" w:hAnsi="Arial" w:cs="Arial"/>
                <w:color w:val="000000"/>
                <w:sz w:val="20"/>
                <w:szCs w:val="20"/>
                <w:lang w:eastAsia="en-GB"/>
              </w:rPr>
              <w:t xml:space="preserve"> 144 </w:t>
            </w:r>
          </w:p>
        </w:tc>
        <w:tc>
          <w:tcPr>
            <w:tcW w:w="1134" w:type="dxa"/>
            <w:tcBorders>
              <w:top w:val="nil"/>
              <w:left w:val="nil"/>
              <w:bottom w:val="single" w:sz="4" w:space="0" w:color="auto"/>
              <w:right w:val="single" w:sz="4" w:space="0" w:color="auto"/>
            </w:tcBorders>
            <w:shd w:val="clear" w:color="auto" w:fill="auto"/>
            <w:vAlign w:val="center"/>
            <w:hideMark/>
          </w:tcPr>
          <w:p w14:paraId="599112E3"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9</w:t>
            </w:r>
          </w:p>
        </w:tc>
        <w:tc>
          <w:tcPr>
            <w:tcW w:w="1134" w:type="dxa"/>
            <w:tcBorders>
              <w:top w:val="nil"/>
              <w:left w:val="nil"/>
              <w:bottom w:val="single" w:sz="4" w:space="0" w:color="auto"/>
              <w:right w:val="single" w:sz="4" w:space="0" w:color="auto"/>
            </w:tcBorders>
            <w:shd w:val="clear" w:color="auto" w:fill="auto"/>
            <w:vAlign w:val="center"/>
            <w:hideMark/>
          </w:tcPr>
          <w:p w14:paraId="2D8E7618" w14:textId="77777777" w:rsidR="00997A5D" w:rsidRPr="00167546" w:rsidRDefault="00997A5D" w:rsidP="00C157B8">
            <w:pPr>
              <w:spacing w:after="0" w:line="480" w:lineRule="auto"/>
              <w:jc w:val="right"/>
              <w:rPr>
                <w:rFonts w:ascii="Arial" w:eastAsia="Times New Roman" w:hAnsi="Arial" w:cs="Arial"/>
                <w:color w:val="000000"/>
                <w:sz w:val="20"/>
                <w:szCs w:val="20"/>
                <w:lang w:val="en-GB" w:eastAsia="en-GB"/>
              </w:rPr>
            </w:pPr>
            <w:r w:rsidRPr="00167546">
              <w:rPr>
                <w:rFonts w:ascii="Arial" w:eastAsia="Times New Roman" w:hAnsi="Arial" w:cs="Arial"/>
                <w:color w:val="000000"/>
                <w:sz w:val="20"/>
                <w:szCs w:val="20"/>
                <w:lang w:eastAsia="en-GB"/>
              </w:rPr>
              <w:t>-9.41</w:t>
            </w:r>
          </w:p>
        </w:tc>
      </w:tr>
    </w:tbl>
    <w:p w14:paraId="587423FF" w14:textId="77777777" w:rsidR="00997A5D" w:rsidRDefault="00997A5D" w:rsidP="00997A5D">
      <w:pPr>
        <w:pStyle w:val="SMcaption"/>
        <w:spacing w:line="480" w:lineRule="auto"/>
        <w:rPr>
          <w:rFonts w:ascii="Arial" w:hAnsi="Arial" w:cs="Arial"/>
          <w:b/>
          <w:bCs/>
          <w:sz w:val="20"/>
        </w:rPr>
      </w:pPr>
    </w:p>
    <w:p w14:paraId="7A95DA6E" w14:textId="77777777" w:rsidR="00997A5D" w:rsidRDefault="00997A5D" w:rsidP="00997A5D">
      <w:pPr>
        <w:pStyle w:val="SMcaption"/>
        <w:spacing w:line="480" w:lineRule="auto"/>
        <w:rPr>
          <w:rFonts w:ascii="Arial" w:hAnsi="Arial" w:cs="Arial"/>
          <w:b/>
          <w:bCs/>
          <w:sz w:val="20"/>
        </w:rPr>
      </w:pPr>
    </w:p>
    <w:p w14:paraId="61E9A445" w14:textId="77777777" w:rsidR="00997A5D" w:rsidRPr="001C0F5C" w:rsidRDefault="00997A5D" w:rsidP="00997A5D">
      <w:pPr>
        <w:pStyle w:val="SMcaption"/>
        <w:spacing w:line="480" w:lineRule="auto"/>
        <w:rPr>
          <w:rFonts w:ascii="Arial" w:hAnsi="Arial" w:cs="Arial"/>
          <w:sz w:val="20"/>
        </w:rPr>
      </w:pPr>
      <w:r w:rsidRPr="001C0F5C">
        <w:rPr>
          <w:rFonts w:ascii="Arial" w:hAnsi="Arial" w:cs="Arial"/>
          <w:b/>
          <w:bCs/>
          <w:sz w:val="20"/>
        </w:rPr>
        <w:t>References:</w:t>
      </w:r>
    </w:p>
    <w:p w14:paraId="5B4FE413" w14:textId="77777777" w:rsidR="00997A5D" w:rsidRPr="001C0F5C" w:rsidRDefault="00997A5D" w:rsidP="00997A5D">
      <w:pPr>
        <w:pStyle w:val="SMcaption"/>
        <w:spacing w:line="480" w:lineRule="auto"/>
        <w:rPr>
          <w:rFonts w:ascii="Arial" w:hAnsi="Arial" w:cs="Arial"/>
          <w:sz w:val="20"/>
        </w:rPr>
      </w:pPr>
    </w:p>
    <w:p w14:paraId="22ED9428"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1C0F5C">
        <w:rPr>
          <w:rFonts w:ascii="Arial" w:hAnsi="Arial" w:cs="Arial"/>
          <w:sz w:val="20"/>
        </w:rPr>
        <w:fldChar w:fldCharType="begin" w:fldLock="1"/>
      </w:r>
      <w:r w:rsidRPr="001C0F5C">
        <w:rPr>
          <w:rFonts w:ascii="Arial" w:hAnsi="Arial" w:cs="Arial"/>
          <w:sz w:val="20"/>
        </w:rPr>
        <w:instrText xml:space="preserve">ADDIN Mendeley Bibliography CSL_BIBLIOGRAPHY </w:instrText>
      </w:r>
      <w:r w:rsidRPr="001C0F5C">
        <w:rPr>
          <w:rFonts w:ascii="Arial" w:hAnsi="Arial" w:cs="Arial"/>
          <w:sz w:val="20"/>
        </w:rPr>
        <w:fldChar w:fldCharType="separate"/>
      </w:r>
      <w:r w:rsidRPr="009A4608">
        <w:rPr>
          <w:rFonts w:ascii="Arial" w:hAnsi="Arial" w:cs="Arial"/>
          <w:noProof/>
          <w:sz w:val="20"/>
        </w:rPr>
        <w:t xml:space="preserve">1. </w:t>
      </w:r>
      <w:r w:rsidRPr="009A4608">
        <w:rPr>
          <w:rFonts w:ascii="Arial" w:hAnsi="Arial" w:cs="Arial"/>
          <w:noProof/>
          <w:sz w:val="20"/>
        </w:rPr>
        <w:tab/>
      </w:r>
      <w:r w:rsidRPr="009A4608">
        <w:rPr>
          <w:rFonts w:ascii="Arial" w:hAnsi="Arial" w:cs="Arial"/>
          <w:b/>
          <w:bCs/>
          <w:noProof/>
          <w:sz w:val="20"/>
        </w:rPr>
        <w:t>Ahmad T</w:t>
      </w:r>
      <w:r w:rsidRPr="009A4608">
        <w:rPr>
          <w:rFonts w:ascii="Arial" w:hAnsi="Arial" w:cs="Arial"/>
          <w:noProof/>
          <w:sz w:val="20"/>
        </w:rPr>
        <w:t xml:space="preserve">, </w:t>
      </w:r>
      <w:r w:rsidRPr="009A4608">
        <w:rPr>
          <w:rFonts w:ascii="Arial" w:hAnsi="Arial" w:cs="Arial"/>
          <w:b/>
          <w:bCs/>
          <w:noProof/>
          <w:sz w:val="20"/>
        </w:rPr>
        <w:t>Kumar M</w:t>
      </w:r>
      <w:r w:rsidRPr="009A4608">
        <w:rPr>
          <w:rFonts w:ascii="Arial" w:hAnsi="Arial" w:cs="Arial"/>
          <w:noProof/>
          <w:sz w:val="20"/>
        </w:rPr>
        <w:t xml:space="preserve">, </w:t>
      </w:r>
      <w:r w:rsidRPr="009A4608">
        <w:rPr>
          <w:rFonts w:ascii="Arial" w:hAnsi="Arial" w:cs="Arial"/>
          <w:b/>
          <w:bCs/>
          <w:noProof/>
          <w:sz w:val="20"/>
        </w:rPr>
        <w:t>Mabalirajan U</w:t>
      </w:r>
      <w:r w:rsidRPr="009A4608">
        <w:rPr>
          <w:rFonts w:ascii="Arial" w:hAnsi="Arial" w:cs="Arial"/>
          <w:noProof/>
          <w:sz w:val="20"/>
        </w:rPr>
        <w:t xml:space="preserve">, </w:t>
      </w:r>
      <w:r w:rsidRPr="009A4608">
        <w:rPr>
          <w:rFonts w:ascii="Arial" w:hAnsi="Arial" w:cs="Arial"/>
          <w:b/>
          <w:bCs/>
          <w:noProof/>
          <w:sz w:val="20"/>
        </w:rPr>
        <w:t>Pattnaik B</w:t>
      </w:r>
      <w:r w:rsidRPr="009A4608">
        <w:rPr>
          <w:rFonts w:ascii="Arial" w:hAnsi="Arial" w:cs="Arial"/>
          <w:noProof/>
          <w:sz w:val="20"/>
        </w:rPr>
        <w:t xml:space="preserve">, </w:t>
      </w:r>
      <w:r w:rsidRPr="009A4608">
        <w:rPr>
          <w:rFonts w:ascii="Arial" w:hAnsi="Arial" w:cs="Arial"/>
          <w:b/>
          <w:bCs/>
          <w:noProof/>
          <w:sz w:val="20"/>
        </w:rPr>
        <w:t>Aggarwal S</w:t>
      </w:r>
      <w:r w:rsidRPr="009A4608">
        <w:rPr>
          <w:rFonts w:ascii="Arial" w:hAnsi="Arial" w:cs="Arial"/>
          <w:noProof/>
          <w:sz w:val="20"/>
        </w:rPr>
        <w:t xml:space="preserve">, </w:t>
      </w:r>
      <w:r w:rsidRPr="009A4608">
        <w:rPr>
          <w:rFonts w:ascii="Arial" w:hAnsi="Arial" w:cs="Arial"/>
          <w:b/>
          <w:bCs/>
          <w:noProof/>
          <w:sz w:val="20"/>
        </w:rPr>
        <w:t>Singh R</w:t>
      </w:r>
      <w:r w:rsidRPr="009A4608">
        <w:rPr>
          <w:rFonts w:ascii="Arial" w:hAnsi="Arial" w:cs="Arial"/>
          <w:noProof/>
          <w:sz w:val="20"/>
        </w:rPr>
        <w:t xml:space="preserve">, </w:t>
      </w:r>
      <w:r w:rsidRPr="009A4608">
        <w:rPr>
          <w:rFonts w:ascii="Arial" w:hAnsi="Arial" w:cs="Arial"/>
          <w:b/>
          <w:bCs/>
          <w:noProof/>
          <w:sz w:val="20"/>
        </w:rPr>
        <w:t>Singh S</w:t>
      </w:r>
      <w:r w:rsidRPr="009A4608">
        <w:rPr>
          <w:rFonts w:ascii="Arial" w:hAnsi="Arial" w:cs="Arial"/>
          <w:noProof/>
          <w:sz w:val="20"/>
        </w:rPr>
        <w:t xml:space="preserve">, </w:t>
      </w:r>
      <w:r w:rsidRPr="009A4608">
        <w:rPr>
          <w:rFonts w:ascii="Arial" w:hAnsi="Arial" w:cs="Arial"/>
          <w:b/>
          <w:bCs/>
          <w:noProof/>
          <w:sz w:val="20"/>
        </w:rPr>
        <w:t>Mukerji M</w:t>
      </w:r>
      <w:r w:rsidRPr="009A4608">
        <w:rPr>
          <w:rFonts w:ascii="Arial" w:hAnsi="Arial" w:cs="Arial"/>
          <w:noProof/>
          <w:sz w:val="20"/>
        </w:rPr>
        <w:t xml:space="preserve">, </w:t>
      </w:r>
      <w:r w:rsidRPr="009A4608">
        <w:rPr>
          <w:rFonts w:ascii="Arial" w:hAnsi="Arial" w:cs="Arial"/>
          <w:b/>
          <w:bCs/>
          <w:noProof/>
          <w:sz w:val="20"/>
        </w:rPr>
        <w:t>Ghosh B</w:t>
      </w:r>
      <w:r w:rsidRPr="009A4608">
        <w:rPr>
          <w:rFonts w:ascii="Arial" w:hAnsi="Arial" w:cs="Arial"/>
          <w:noProof/>
          <w:sz w:val="20"/>
        </w:rPr>
        <w:t xml:space="preserve">, </w:t>
      </w:r>
      <w:r w:rsidRPr="009A4608">
        <w:rPr>
          <w:rFonts w:ascii="Arial" w:hAnsi="Arial" w:cs="Arial"/>
          <w:b/>
          <w:bCs/>
          <w:noProof/>
          <w:sz w:val="20"/>
        </w:rPr>
        <w:t>Agrawal A</w:t>
      </w:r>
      <w:r w:rsidRPr="009A4608">
        <w:rPr>
          <w:rFonts w:ascii="Arial" w:hAnsi="Arial" w:cs="Arial"/>
          <w:noProof/>
          <w:sz w:val="20"/>
        </w:rPr>
        <w:t xml:space="preserve">. Hypoxia Response in Asthma. </w:t>
      </w:r>
      <w:r w:rsidRPr="009A4608">
        <w:rPr>
          <w:rFonts w:ascii="Arial" w:hAnsi="Arial" w:cs="Arial"/>
          <w:i/>
          <w:iCs/>
          <w:noProof/>
          <w:sz w:val="20"/>
        </w:rPr>
        <w:t>Am J Respir Cell Mol Biol</w:t>
      </w:r>
      <w:r w:rsidRPr="009A4608">
        <w:rPr>
          <w:rFonts w:ascii="Arial" w:hAnsi="Arial" w:cs="Arial"/>
          <w:noProof/>
          <w:sz w:val="20"/>
        </w:rPr>
        <w:t xml:space="preserve"> 47: 1–10, 2012. doi: 10.1165/rcmb.2011-0203OC.</w:t>
      </w:r>
    </w:p>
    <w:p w14:paraId="0F59818D"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2. </w:t>
      </w:r>
      <w:r w:rsidRPr="009A4608">
        <w:rPr>
          <w:rFonts w:ascii="Arial" w:hAnsi="Arial" w:cs="Arial"/>
          <w:noProof/>
          <w:sz w:val="20"/>
        </w:rPr>
        <w:tab/>
      </w:r>
      <w:r w:rsidRPr="009A4608">
        <w:rPr>
          <w:rFonts w:ascii="Arial" w:hAnsi="Arial" w:cs="Arial"/>
          <w:b/>
          <w:bCs/>
          <w:noProof/>
          <w:sz w:val="20"/>
        </w:rPr>
        <w:t>Ahmad T</w:t>
      </w:r>
      <w:r w:rsidRPr="009A4608">
        <w:rPr>
          <w:rFonts w:ascii="Arial" w:hAnsi="Arial" w:cs="Arial"/>
          <w:noProof/>
          <w:sz w:val="20"/>
        </w:rPr>
        <w:t xml:space="preserve">, </w:t>
      </w:r>
      <w:r w:rsidRPr="009A4608">
        <w:rPr>
          <w:rFonts w:ascii="Arial" w:hAnsi="Arial" w:cs="Arial"/>
          <w:b/>
          <w:bCs/>
          <w:noProof/>
          <w:sz w:val="20"/>
        </w:rPr>
        <w:t>Mabalirajan U</w:t>
      </w:r>
      <w:r w:rsidRPr="009A4608">
        <w:rPr>
          <w:rFonts w:ascii="Arial" w:hAnsi="Arial" w:cs="Arial"/>
          <w:noProof/>
          <w:sz w:val="20"/>
        </w:rPr>
        <w:t xml:space="preserve">, </w:t>
      </w:r>
      <w:r w:rsidRPr="009A4608">
        <w:rPr>
          <w:rFonts w:ascii="Arial" w:hAnsi="Arial" w:cs="Arial"/>
          <w:b/>
          <w:bCs/>
          <w:noProof/>
          <w:sz w:val="20"/>
        </w:rPr>
        <w:t>Ghosh B</w:t>
      </w:r>
      <w:r w:rsidRPr="009A4608">
        <w:rPr>
          <w:rFonts w:ascii="Arial" w:hAnsi="Arial" w:cs="Arial"/>
          <w:noProof/>
          <w:sz w:val="20"/>
        </w:rPr>
        <w:t xml:space="preserve">, </w:t>
      </w:r>
      <w:r w:rsidRPr="009A4608">
        <w:rPr>
          <w:rFonts w:ascii="Arial" w:hAnsi="Arial" w:cs="Arial"/>
          <w:b/>
          <w:bCs/>
          <w:noProof/>
          <w:sz w:val="20"/>
        </w:rPr>
        <w:t>Agrawal A</w:t>
      </w:r>
      <w:r w:rsidRPr="009A4608">
        <w:rPr>
          <w:rFonts w:ascii="Arial" w:hAnsi="Arial" w:cs="Arial"/>
          <w:noProof/>
          <w:sz w:val="20"/>
        </w:rPr>
        <w:t xml:space="preserve">. Altered Asymmetric Dimethyl Arginine Metabolism in Allergically Inflamed Mouse Lungs. </w:t>
      </w:r>
      <w:r w:rsidRPr="009A4608">
        <w:rPr>
          <w:rFonts w:ascii="Arial" w:hAnsi="Arial" w:cs="Arial"/>
          <w:i/>
          <w:iCs/>
          <w:noProof/>
          <w:sz w:val="20"/>
        </w:rPr>
        <w:t>Am J Respir Cell Mol Biol</w:t>
      </w:r>
      <w:r w:rsidRPr="009A4608">
        <w:rPr>
          <w:rFonts w:ascii="Arial" w:hAnsi="Arial" w:cs="Arial"/>
          <w:noProof/>
          <w:sz w:val="20"/>
        </w:rPr>
        <w:t xml:space="preserve"> 42: 3–8, 2010. doi: 10.1165/rcmb.2009-0137RC.</w:t>
      </w:r>
    </w:p>
    <w:p w14:paraId="77CBA87B"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3. </w:t>
      </w:r>
      <w:r w:rsidRPr="009A4608">
        <w:rPr>
          <w:rFonts w:ascii="Arial" w:hAnsi="Arial" w:cs="Arial"/>
          <w:noProof/>
          <w:sz w:val="20"/>
        </w:rPr>
        <w:tab/>
      </w:r>
      <w:r w:rsidRPr="009A4608">
        <w:rPr>
          <w:rFonts w:ascii="Arial" w:hAnsi="Arial" w:cs="Arial"/>
          <w:b/>
          <w:bCs/>
          <w:noProof/>
          <w:sz w:val="20"/>
        </w:rPr>
        <w:t>Berman HM</w:t>
      </w:r>
      <w:r w:rsidRPr="009A4608">
        <w:rPr>
          <w:rFonts w:ascii="Arial" w:hAnsi="Arial" w:cs="Arial"/>
          <w:noProof/>
          <w:sz w:val="20"/>
        </w:rPr>
        <w:t xml:space="preserve">, </w:t>
      </w:r>
      <w:r w:rsidRPr="009A4608">
        <w:rPr>
          <w:rFonts w:ascii="Arial" w:hAnsi="Arial" w:cs="Arial"/>
          <w:b/>
          <w:bCs/>
          <w:noProof/>
          <w:sz w:val="20"/>
        </w:rPr>
        <w:t>Westbrook J</w:t>
      </w:r>
      <w:r w:rsidRPr="009A4608">
        <w:rPr>
          <w:rFonts w:ascii="Arial" w:hAnsi="Arial" w:cs="Arial"/>
          <w:noProof/>
          <w:sz w:val="20"/>
        </w:rPr>
        <w:t xml:space="preserve">, </w:t>
      </w:r>
      <w:r w:rsidRPr="009A4608">
        <w:rPr>
          <w:rFonts w:ascii="Arial" w:hAnsi="Arial" w:cs="Arial"/>
          <w:b/>
          <w:bCs/>
          <w:noProof/>
          <w:sz w:val="20"/>
        </w:rPr>
        <w:t>Feng Z</w:t>
      </w:r>
      <w:r w:rsidRPr="009A4608">
        <w:rPr>
          <w:rFonts w:ascii="Arial" w:hAnsi="Arial" w:cs="Arial"/>
          <w:noProof/>
          <w:sz w:val="20"/>
        </w:rPr>
        <w:t xml:space="preserve">, </w:t>
      </w:r>
      <w:r w:rsidRPr="009A4608">
        <w:rPr>
          <w:rFonts w:ascii="Arial" w:hAnsi="Arial" w:cs="Arial"/>
          <w:b/>
          <w:bCs/>
          <w:noProof/>
          <w:sz w:val="20"/>
        </w:rPr>
        <w:t>Gilliland G</w:t>
      </w:r>
      <w:r w:rsidRPr="009A4608">
        <w:rPr>
          <w:rFonts w:ascii="Arial" w:hAnsi="Arial" w:cs="Arial"/>
          <w:noProof/>
          <w:sz w:val="20"/>
        </w:rPr>
        <w:t xml:space="preserve">, </w:t>
      </w:r>
      <w:r w:rsidRPr="009A4608">
        <w:rPr>
          <w:rFonts w:ascii="Arial" w:hAnsi="Arial" w:cs="Arial"/>
          <w:b/>
          <w:bCs/>
          <w:noProof/>
          <w:sz w:val="20"/>
        </w:rPr>
        <w:t>Bhat TN</w:t>
      </w:r>
      <w:r w:rsidRPr="009A4608">
        <w:rPr>
          <w:rFonts w:ascii="Arial" w:hAnsi="Arial" w:cs="Arial"/>
          <w:noProof/>
          <w:sz w:val="20"/>
        </w:rPr>
        <w:t xml:space="preserve">, </w:t>
      </w:r>
      <w:r w:rsidRPr="009A4608">
        <w:rPr>
          <w:rFonts w:ascii="Arial" w:hAnsi="Arial" w:cs="Arial"/>
          <w:b/>
          <w:bCs/>
          <w:noProof/>
          <w:sz w:val="20"/>
        </w:rPr>
        <w:t>Weissig H</w:t>
      </w:r>
      <w:r w:rsidRPr="009A4608">
        <w:rPr>
          <w:rFonts w:ascii="Arial" w:hAnsi="Arial" w:cs="Arial"/>
          <w:noProof/>
          <w:sz w:val="20"/>
        </w:rPr>
        <w:t xml:space="preserve">, </w:t>
      </w:r>
      <w:r w:rsidRPr="009A4608">
        <w:rPr>
          <w:rFonts w:ascii="Arial" w:hAnsi="Arial" w:cs="Arial"/>
          <w:b/>
          <w:bCs/>
          <w:noProof/>
          <w:sz w:val="20"/>
        </w:rPr>
        <w:t>Shindyalov IN</w:t>
      </w:r>
      <w:r w:rsidRPr="009A4608">
        <w:rPr>
          <w:rFonts w:ascii="Arial" w:hAnsi="Arial" w:cs="Arial"/>
          <w:noProof/>
          <w:sz w:val="20"/>
        </w:rPr>
        <w:t xml:space="preserve">, </w:t>
      </w:r>
      <w:r w:rsidRPr="009A4608">
        <w:rPr>
          <w:rFonts w:ascii="Arial" w:hAnsi="Arial" w:cs="Arial"/>
          <w:b/>
          <w:bCs/>
          <w:noProof/>
          <w:sz w:val="20"/>
        </w:rPr>
        <w:t>Bourne PE</w:t>
      </w:r>
      <w:r w:rsidRPr="009A4608">
        <w:rPr>
          <w:rFonts w:ascii="Arial" w:hAnsi="Arial" w:cs="Arial"/>
          <w:noProof/>
          <w:sz w:val="20"/>
        </w:rPr>
        <w:t xml:space="preserve">. The Protein Data Bank. </w:t>
      </w:r>
      <w:r w:rsidRPr="009A4608">
        <w:rPr>
          <w:rFonts w:ascii="Arial" w:hAnsi="Arial" w:cs="Arial"/>
          <w:i/>
          <w:iCs/>
          <w:noProof/>
          <w:sz w:val="20"/>
        </w:rPr>
        <w:t>Nucleic Acids Res.</w:t>
      </w:r>
      <w:r w:rsidRPr="009A4608">
        <w:rPr>
          <w:rFonts w:ascii="Arial" w:hAnsi="Arial" w:cs="Arial"/>
          <w:noProof/>
          <w:sz w:val="20"/>
        </w:rPr>
        <w:t xml:space="preserve"> 28 Oxford University Press: 235–242, 2000.</w:t>
      </w:r>
    </w:p>
    <w:p w14:paraId="5B0B619B"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lastRenderedPageBreak/>
        <w:t xml:space="preserve">4. </w:t>
      </w:r>
      <w:r w:rsidRPr="009A4608">
        <w:rPr>
          <w:rFonts w:ascii="Arial" w:hAnsi="Arial" w:cs="Arial"/>
          <w:noProof/>
          <w:sz w:val="20"/>
        </w:rPr>
        <w:tab/>
      </w:r>
      <w:r w:rsidRPr="009A4608">
        <w:rPr>
          <w:rFonts w:ascii="Arial" w:hAnsi="Arial" w:cs="Arial"/>
          <w:b/>
          <w:bCs/>
          <w:noProof/>
          <w:sz w:val="20"/>
        </w:rPr>
        <w:t>Iannetti EF</w:t>
      </w:r>
      <w:r w:rsidRPr="009A4608">
        <w:rPr>
          <w:rFonts w:ascii="Arial" w:hAnsi="Arial" w:cs="Arial"/>
          <w:noProof/>
          <w:sz w:val="20"/>
        </w:rPr>
        <w:t xml:space="preserve">, </w:t>
      </w:r>
      <w:r w:rsidRPr="009A4608">
        <w:rPr>
          <w:rFonts w:ascii="Arial" w:hAnsi="Arial" w:cs="Arial"/>
          <w:b/>
          <w:bCs/>
          <w:noProof/>
          <w:sz w:val="20"/>
        </w:rPr>
        <w:t>Smeitink JAM</w:t>
      </w:r>
      <w:r w:rsidRPr="009A4608">
        <w:rPr>
          <w:rFonts w:ascii="Arial" w:hAnsi="Arial" w:cs="Arial"/>
          <w:noProof/>
          <w:sz w:val="20"/>
        </w:rPr>
        <w:t xml:space="preserve">, </w:t>
      </w:r>
      <w:r w:rsidRPr="009A4608">
        <w:rPr>
          <w:rFonts w:ascii="Arial" w:hAnsi="Arial" w:cs="Arial"/>
          <w:b/>
          <w:bCs/>
          <w:noProof/>
          <w:sz w:val="20"/>
        </w:rPr>
        <w:t>Beyrath J</w:t>
      </w:r>
      <w:r w:rsidRPr="009A4608">
        <w:rPr>
          <w:rFonts w:ascii="Arial" w:hAnsi="Arial" w:cs="Arial"/>
          <w:noProof/>
          <w:sz w:val="20"/>
        </w:rPr>
        <w:t xml:space="preserve">, </w:t>
      </w:r>
      <w:r w:rsidRPr="009A4608">
        <w:rPr>
          <w:rFonts w:ascii="Arial" w:hAnsi="Arial" w:cs="Arial"/>
          <w:b/>
          <w:bCs/>
          <w:noProof/>
          <w:sz w:val="20"/>
        </w:rPr>
        <w:t>Willems PHGM</w:t>
      </w:r>
      <w:r w:rsidRPr="009A4608">
        <w:rPr>
          <w:rFonts w:ascii="Arial" w:hAnsi="Arial" w:cs="Arial"/>
          <w:noProof/>
          <w:sz w:val="20"/>
        </w:rPr>
        <w:t xml:space="preserve">, </w:t>
      </w:r>
      <w:r w:rsidRPr="009A4608">
        <w:rPr>
          <w:rFonts w:ascii="Arial" w:hAnsi="Arial" w:cs="Arial"/>
          <w:b/>
          <w:bCs/>
          <w:noProof/>
          <w:sz w:val="20"/>
        </w:rPr>
        <w:t>Koopman WJH</w:t>
      </w:r>
      <w:r w:rsidRPr="009A4608">
        <w:rPr>
          <w:rFonts w:ascii="Arial" w:hAnsi="Arial" w:cs="Arial"/>
          <w:noProof/>
          <w:sz w:val="20"/>
        </w:rPr>
        <w:t xml:space="preserve">. Multiplexed high-content analysis of mitochondrial morphofunction using live-cell microscopy. </w:t>
      </w:r>
      <w:r w:rsidRPr="009A4608">
        <w:rPr>
          <w:rFonts w:ascii="Arial" w:hAnsi="Arial" w:cs="Arial"/>
          <w:i/>
          <w:iCs/>
          <w:noProof/>
          <w:sz w:val="20"/>
        </w:rPr>
        <w:t>Nat Protoc</w:t>
      </w:r>
      <w:r w:rsidRPr="009A4608">
        <w:rPr>
          <w:rFonts w:ascii="Arial" w:hAnsi="Arial" w:cs="Arial"/>
          <w:noProof/>
          <w:sz w:val="20"/>
        </w:rPr>
        <w:t xml:space="preserve"> 11: 1693–1710, 2016. doi: 10.1038/nprot.2016.094.</w:t>
      </w:r>
    </w:p>
    <w:p w14:paraId="5EAC58F0"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5. </w:t>
      </w:r>
      <w:r w:rsidRPr="009A4608">
        <w:rPr>
          <w:rFonts w:ascii="Arial" w:hAnsi="Arial" w:cs="Arial"/>
          <w:noProof/>
          <w:sz w:val="20"/>
        </w:rPr>
        <w:tab/>
      </w:r>
      <w:r w:rsidRPr="009A4608">
        <w:rPr>
          <w:rFonts w:ascii="Arial" w:hAnsi="Arial" w:cs="Arial"/>
          <w:b/>
          <w:bCs/>
          <w:noProof/>
          <w:sz w:val="20"/>
        </w:rPr>
        <w:t>Mabalirajan U</w:t>
      </w:r>
      <w:r w:rsidRPr="009A4608">
        <w:rPr>
          <w:rFonts w:ascii="Arial" w:hAnsi="Arial" w:cs="Arial"/>
          <w:noProof/>
          <w:sz w:val="20"/>
        </w:rPr>
        <w:t xml:space="preserve">, </w:t>
      </w:r>
      <w:r w:rsidRPr="009A4608">
        <w:rPr>
          <w:rFonts w:ascii="Arial" w:hAnsi="Arial" w:cs="Arial"/>
          <w:b/>
          <w:bCs/>
          <w:noProof/>
          <w:sz w:val="20"/>
        </w:rPr>
        <w:t>Dinda AK</w:t>
      </w:r>
      <w:r w:rsidRPr="009A4608">
        <w:rPr>
          <w:rFonts w:ascii="Arial" w:hAnsi="Arial" w:cs="Arial"/>
          <w:noProof/>
          <w:sz w:val="20"/>
        </w:rPr>
        <w:t xml:space="preserve">, </w:t>
      </w:r>
      <w:r w:rsidRPr="009A4608">
        <w:rPr>
          <w:rFonts w:ascii="Arial" w:hAnsi="Arial" w:cs="Arial"/>
          <w:b/>
          <w:bCs/>
          <w:noProof/>
          <w:sz w:val="20"/>
        </w:rPr>
        <w:t>Kumar S</w:t>
      </w:r>
      <w:r w:rsidRPr="009A4608">
        <w:rPr>
          <w:rFonts w:ascii="Arial" w:hAnsi="Arial" w:cs="Arial"/>
          <w:noProof/>
          <w:sz w:val="20"/>
        </w:rPr>
        <w:t xml:space="preserve">, </w:t>
      </w:r>
      <w:r w:rsidRPr="009A4608">
        <w:rPr>
          <w:rFonts w:ascii="Arial" w:hAnsi="Arial" w:cs="Arial"/>
          <w:b/>
          <w:bCs/>
          <w:noProof/>
          <w:sz w:val="20"/>
        </w:rPr>
        <w:t>Roshan R</w:t>
      </w:r>
      <w:r w:rsidRPr="009A4608">
        <w:rPr>
          <w:rFonts w:ascii="Arial" w:hAnsi="Arial" w:cs="Arial"/>
          <w:noProof/>
          <w:sz w:val="20"/>
        </w:rPr>
        <w:t xml:space="preserve">, </w:t>
      </w:r>
      <w:r w:rsidRPr="009A4608">
        <w:rPr>
          <w:rFonts w:ascii="Arial" w:hAnsi="Arial" w:cs="Arial"/>
          <w:b/>
          <w:bCs/>
          <w:noProof/>
          <w:sz w:val="20"/>
        </w:rPr>
        <w:t>Gupta P</w:t>
      </w:r>
      <w:r w:rsidRPr="009A4608">
        <w:rPr>
          <w:rFonts w:ascii="Arial" w:hAnsi="Arial" w:cs="Arial"/>
          <w:noProof/>
          <w:sz w:val="20"/>
        </w:rPr>
        <w:t xml:space="preserve">, </w:t>
      </w:r>
      <w:r w:rsidRPr="009A4608">
        <w:rPr>
          <w:rFonts w:ascii="Arial" w:hAnsi="Arial" w:cs="Arial"/>
          <w:b/>
          <w:bCs/>
          <w:noProof/>
          <w:sz w:val="20"/>
        </w:rPr>
        <w:t>Sharma SK</w:t>
      </w:r>
      <w:r w:rsidRPr="009A4608">
        <w:rPr>
          <w:rFonts w:ascii="Arial" w:hAnsi="Arial" w:cs="Arial"/>
          <w:noProof/>
          <w:sz w:val="20"/>
        </w:rPr>
        <w:t xml:space="preserve">, </w:t>
      </w:r>
      <w:r w:rsidRPr="009A4608">
        <w:rPr>
          <w:rFonts w:ascii="Arial" w:hAnsi="Arial" w:cs="Arial"/>
          <w:b/>
          <w:bCs/>
          <w:noProof/>
          <w:sz w:val="20"/>
        </w:rPr>
        <w:t>Ghosh B</w:t>
      </w:r>
      <w:r w:rsidRPr="009A4608">
        <w:rPr>
          <w:rFonts w:ascii="Arial" w:hAnsi="Arial" w:cs="Arial"/>
          <w:noProof/>
          <w:sz w:val="20"/>
        </w:rPr>
        <w:t xml:space="preserve">. Mitochondrial structural changes and dysfunction are associated with experimental allergic asthma. [Online]. </w:t>
      </w:r>
      <w:r w:rsidRPr="009A4608">
        <w:rPr>
          <w:rFonts w:ascii="Arial" w:hAnsi="Arial" w:cs="Arial"/>
          <w:i/>
          <w:iCs/>
          <w:noProof/>
          <w:sz w:val="20"/>
        </w:rPr>
        <w:t>J Immunol</w:t>
      </w:r>
      <w:r w:rsidRPr="009A4608">
        <w:rPr>
          <w:rFonts w:ascii="Arial" w:hAnsi="Arial" w:cs="Arial"/>
          <w:noProof/>
          <w:sz w:val="20"/>
        </w:rPr>
        <w:t xml:space="preserve"> 181: 3540–8, 2008. http://www.ncbi.nlm.nih.gov/pubmed/18714027 [22 Nov. 2017].</w:t>
      </w:r>
    </w:p>
    <w:p w14:paraId="14DCE308"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6. </w:t>
      </w:r>
      <w:r w:rsidRPr="009A4608">
        <w:rPr>
          <w:rFonts w:ascii="Arial" w:hAnsi="Arial" w:cs="Arial"/>
          <w:noProof/>
          <w:sz w:val="20"/>
        </w:rPr>
        <w:tab/>
      </w:r>
      <w:r w:rsidRPr="009A4608">
        <w:rPr>
          <w:rFonts w:ascii="Arial" w:hAnsi="Arial" w:cs="Arial"/>
          <w:b/>
          <w:bCs/>
          <w:noProof/>
          <w:sz w:val="20"/>
        </w:rPr>
        <w:t>P. S</w:t>
      </w:r>
      <w:r w:rsidRPr="009A4608">
        <w:rPr>
          <w:rFonts w:ascii="Arial" w:hAnsi="Arial" w:cs="Arial"/>
          <w:noProof/>
          <w:sz w:val="20"/>
        </w:rPr>
        <w:t xml:space="preserve">. </w:t>
      </w:r>
      <w:r w:rsidRPr="009A4608">
        <w:rPr>
          <w:rFonts w:ascii="Arial" w:hAnsi="Arial" w:cs="Arial"/>
          <w:i/>
          <w:iCs/>
          <w:noProof/>
          <w:sz w:val="20"/>
        </w:rPr>
        <w:t>Charaka Samhita: text with english translation</w:t>
      </w:r>
      <w:r w:rsidRPr="009A4608">
        <w:rPr>
          <w:rFonts w:ascii="Arial" w:hAnsi="Arial" w:cs="Arial"/>
          <w:noProof/>
          <w:sz w:val="20"/>
        </w:rPr>
        <w:t>. Varanasi, India: Chaukambha Orientalia Publisher, 1981.</w:t>
      </w:r>
    </w:p>
    <w:p w14:paraId="78FE5656"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7. </w:t>
      </w:r>
      <w:r w:rsidRPr="009A4608">
        <w:rPr>
          <w:rFonts w:ascii="Arial" w:hAnsi="Arial" w:cs="Arial"/>
          <w:noProof/>
          <w:sz w:val="20"/>
        </w:rPr>
        <w:tab/>
      </w:r>
      <w:r w:rsidRPr="009A4608">
        <w:rPr>
          <w:rFonts w:ascii="Arial" w:hAnsi="Arial" w:cs="Arial"/>
          <w:b/>
          <w:bCs/>
          <w:noProof/>
          <w:sz w:val="20"/>
        </w:rPr>
        <w:t>Panda L</w:t>
      </w:r>
      <w:r w:rsidRPr="009A4608">
        <w:rPr>
          <w:rFonts w:ascii="Arial" w:hAnsi="Arial" w:cs="Arial"/>
          <w:noProof/>
          <w:sz w:val="20"/>
        </w:rPr>
        <w:t xml:space="preserve">, </w:t>
      </w:r>
      <w:r w:rsidRPr="009A4608">
        <w:rPr>
          <w:rFonts w:ascii="Arial" w:hAnsi="Arial" w:cs="Arial"/>
          <w:b/>
          <w:bCs/>
          <w:noProof/>
          <w:sz w:val="20"/>
        </w:rPr>
        <w:t>Gheware A</w:t>
      </w:r>
      <w:r w:rsidRPr="009A4608">
        <w:rPr>
          <w:rFonts w:ascii="Arial" w:hAnsi="Arial" w:cs="Arial"/>
          <w:noProof/>
          <w:sz w:val="20"/>
        </w:rPr>
        <w:t xml:space="preserve">, </w:t>
      </w:r>
      <w:r w:rsidRPr="009A4608">
        <w:rPr>
          <w:rFonts w:ascii="Arial" w:hAnsi="Arial" w:cs="Arial"/>
          <w:b/>
          <w:bCs/>
          <w:noProof/>
          <w:sz w:val="20"/>
        </w:rPr>
        <w:t>Rehman R</w:t>
      </w:r>
      <w:r w:rsidRPr="009A4608">
        <w:rPr>
          <w:rFonts w:ascii="Arial" w:hAnsi="Arial" w:cs="Arial"/>
          <w:noProof/>
          <w:sz w:val="20"/>
        </w:rPr>
        <w:t xml:space="preserve">, </w:t>
      </w:r>
      <w:r w:rsidRPr="009A4608">
        <w:rPr>
          <w:rFonts w:ascii="Arial" w:hAnsi="Arial" w:cs="Arial"/>
          <w:b/>
          <w:bCs/>
          <w:noProof/>
          <w:sz w:val="20"/>
        </w:rPr>
        <w:t>Yadav MK</w:t>
      </w:r>
      <w:r w:rsidRPr="009A4608">
        <w:rPr>
          <w:rFonts w:ascii="Arial" w:hAnsi="Arial" w:cs="Arial"/>
          <w:noProof/>
          <w:sz w:val="20"/>
        </w:rPr>
        <w:t xml:space="preserve">, </w:t>
      </w:r>
      <w:r w:rsidRPr="009A4608">
        <w:rPr>
          <w:rFonts w:ascii="Arial" w:hAnsi="Arial" w:cs="Arial"/>
          <w:b/>
          <w:bCs/>
          <w:noProof/>
          <w:sz w:val="20"/>
        </w:rPr>
        <w:t>Jayaraj BS</w:t>
      </w:r>
      <w:r w:rsidRPr="009A4608">
        <w:rPr>
          <w:rFonts w:ascii="Arial" w:hAnsi="Arial" w:cs="Arial"/>
          <w:noProof/>
          <w:sz w:val="20"/>
        </w:rPr>
        <w:t xml:space="preserve">, </w:t>
      </w:r>
      <w:r w:rsidRPr="009A4608">
        <w:rPr>
          <w:rFonts w:ascii="Arial" w:hAnsi="Arial" w:cs="Arial"/>
          <w:b/>
          <w:bCs/>
          <w:noProof/>
          <w:sz w:val="20"/>
        </w:rPr>
        <w:t>Madhunapantula S V.</w:t>
      </w:r>
      <w:r w:rsidRPr="009A4608">
        <w:rPr>
          <w:rFonts w:ascii="Arial" w:hAnsi="Arial" w:cs="Arial"/>
          <w:noProof/>
          <w:sz w:val="20"/>
        </w:rPr>
        <w:t xml:space="preserve">, </w:t>
      </w:r>
      <w:r w:rsidRPr="009A4608">
        <w:rPr>
          <w:rFonts w:ascii="Arial" w:hAnsi="Arial" w:cs="Arial"/>
          <w:b/>
          <w:bCs/>
          <w:noProof/>
          <w:sz w:val="20"/>
        </w:rPr>
        <w:t>Mahesh PA</w:t>
      </w:r>
      <w:r w:rsidRPr="009A4608">
        <w:rPr>
          <w:rFonts w:ascii="Arial" w:hAnsi="Arial" w:cs="Arial"/>
          <w:noProof/>
          <w:sz w:val="20"/>
        </w:rPr>
        <w:t xml:space="preserve">, </w:t>
      </w:r>
      <w:r w:rsidRPr="009A4608">
        <w:rPr>
          <w:rFonts w:ascii="Arial" w:hAnsi="Arial" w:cs="Arial"/>
          <w:b/>
          <w:bCs/>
          <w:noProof/>
          <w:sz w:val="20"/>
        </w:rPr>
        <w:t>Ghosh B</w:t>
      </w:r>
      <w:r w:rsidRPr="009A4608">
        <w:rPr>
          <w:rFonts w:ascii="Arial" w:hAnsi="Arial" w:cs="Arial"/>
          <w:noProof/>
          <w:sz w:val="20"/>
        </w:rPr>
        <w:t xml:space="preserve">, </w:t>
      </w:r>
      <w:r w:rsidRPr="009A4608">
        <w:rPr>
          <w:rFonts w:ascii="Arial" w:hAnsi="Arial" w:cs="Arial"/>
          <w:b/>
          <w:bCs/>
          <w:noProof/>
          <w:sz w:val="20"/>
        </w:rPr>
        <w:t>Agrawal A</w:t>
      </w:r>
      <w:r w:rsidRPr="009A4608">
        <w:rPr>
          <w:rFonts w:ascii="Arial" w:hAnsi="Arial" w:cs="Arial"/>
          <w:noProof/>
          <w:sz w:val="20"/>
        </w:rPr>
        <w:t xml:space="preserve">, </w:t>
      </w:r>
      <w:r w:rsidRPr="009A4608">
        <w:rPr>
          <w:rFonts w:ascii="Arial" w:hAnsi="Arial" w:cs="Arial"/>
          <w:b/>
          <w:bCs/>
          <w:noProof/>
          <w:sz w:val="20"/>
        </w:rPr>
        <w:t>Mabalirajan U</w:t>
      </w:r>
      <w:r w:rsidRPr="009A4608">
        <w:rPr>
          <w:rFonts w:ascii="Arial" w:hAnsi="Arial" w:cs="Arial"/>
          <w:noProof/>
          <w:sz w:val="20"/>
        </w:rPr>
        <w:t xml:space="preserve">. Linoleic acid metabolite leads to steroid resistant asthma features partially through NF-κB. </w:t>
      </w:r>
      <w:r w:rsidRPr="009A4608">
        <w:rPr>
          <w:rFonts w:ascii="Arial" w:hAnsi="Arial" w:cs="Arial"/>
          <w:i/>
          <w:iCs/>
          <w:noProof/>
          <w:sz w:val="20"/>
        </w:rPr>
        <w:t>Sci Rep</w:t>
      </w:r>
      <w:r w:rsidRPr="009A4608">
        <w:rPr>
          <w:rFonts w:ascii="Arial" w:hAnsi="Arial" w:cs="Arial"/>
          <w:noProof/>
          <w:sz w:val="20"/>
        </w:rPr>
        <w:t xml:space="preserve"> 7, 2017. doi: 10.1038/s41598-017-09869-9.</w:t>
      </w:r>
    </w:p>
    <w:p w14:paraId="5043166E"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8. </w:t>
      </w:r>
      <w:r w:rsidRPr="009A4608">
        <w:rPr>
          <w:rFonts w:ascii="Arial" w:hAnsi="Arial" w:cs="Arial"/>
          <w:noProof/>
          <w:sz w:val="20"/>
        </w:rPr>
        <w:tab/>
      </w:r>
      <w:r w:rsidRPr="009A4608">
        <w:rPr>
          <w:rFonts w:ascii="Arial" w:hAnsi="Arial" w:cs="Arial"/>
          <w:b/>
          <w:bCs/>
          <w:noProof/>
          <w:sz w:val="20"/>
        </w:rPr>
        <w:t>Prasher R</w:t>
      </w:r>
      <w:r w:rsidRPr="009A4608">
        <w:rPr>
          <w:rFonts w:ascii="Arial" w:hAnsi="Arial" w:cs="Arial"/>
          <w:noProof/>
          <w:sz w:val="20"/>
        </w:rPr>
        <w:t xml:space="preserve">, </w:t>
      </w:r>
      <w:r w:rsidRPr="009A4608">
        <w:rPr>
          <w:rFonts w:ascii="Arial" w:hAnsi="Arial" w:cs="Arial"/>
          <w:b/>
          <w:bCs/>
          <w:noProof/>
          <w:sz w:val="20"/>
        </w:rPr>
        <w:t>Pandey D</w:t>
      </w:r>
      <w:r w:rsidRPr="009A4608">
        <w:rPr>
          <w:rFonts w:ascii="Arial" w:hAnsi="Arial" w:cs="Arial"/>
          <w:noProof/>
          <w:sz w:val="20"/>
        </w:rPr>
        <w:t xml:space="preserve">, </w:t>
      </w:r>
      <w:r w:rsidRPr="009A4608">
        <w:rPr>
          <w:rFonts w:ascii="Arial" w:hAnsi="Arial" w:cs="Arial"/>
          <w:b/>
          <w:bCs/>
          <w:noProof/>
          <w:sz w:val="20"/>
        </w:rPr>
        <w:t>De S</w:t>
      </w:r>
      <w:r w:rsidRPr="009A4608">
        <w:rPr>
          <w:rFonts w:ascii="Arial" w:hAnsi="Arial" w:cs="Arial"/>
          <w:noProof/>
          <w:sz w:val="20"/>
        </w:rPr>
        <w:t xml:space="preserve">, </w:t>
      </w:r>
      <w:r w:rsidRPr="009A4608">
        <w:rPr>
          <w:rFonts w:ascii="Arial" w:hAnsi="Arial" w:cs="Arial"/>
          <w:b/>
          <w:bCs/>
          <w:noProof/>
          <w:sz w:val="20"/>
        </w:rPr>
        <w:t>Ravishankar B</w:t>
      </w:r>
      <w:r w:rsidRPr="009A4608">
        <w:rPr>
          <w:rFonts w:ascii="Arial" w:hAnsi="Arial" w:cs="Arial"/>
          <w:noProof/>
          <w:sz w:val="20"/>
        </w:rPr>
        <w:t xml:space="preserve">. Standardization of Vasa Ghrta and its extract form and their comparative Pharmaco-Clinical study with special reference to Swasa Roga. </w:t>
      </w:r>
      <w:r w:rsidRPr="009A4608">
        <w:rPr>
          <w:rFonts w:ascii="Arial" w:hAnsi="Arial" w:cs="Arial"/>
          <w:i/>
          <w:iCs/>
          <w:noProof/>
          <w:sz w:val="20"/>
        </w:rPr>
        <w:t>Ayu</w:t>
      </w:r>
      <w:r w:rsidRPr="009A4608">
        <w:rPr>
          <w:rFonts w:ascii="Arial" w:hAnsi="Arial" w:cs="Arial"/>
          <w:noProof/>
          <w:sz w:val="20"/>
        </w:rPr>
        <w:t xml:space="preserve"> 6, 1999.</w:t>
      </w:r>
    </w:p>
    <w:p w14:paraId="38C05719"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9. </w:t>
      </w:r>
      <w:r w:rsidRPr="009A4608">
        <w:rPr>
          <w:rFonts w:ascii="Arial" w:hAnsi="Arial" w:cs="Arial"/>
          <w:noProof/>
          <w:sz w:val="20"/>
        </w:rPr>
        <w:tab/>
      </w:r>
      <w:r w:rsidRPr="009A4608">
        <w:rPr>
          <w:rFonts w:ascii="Arial" w:hAnsi="Arial" w:cs="Arial"/>
          <w:b/>
          <w:bCs/>
          <w:noProof/>
          <w:sz w:val="20"/>
        </w:rPr>
        <w:t>Tian W</w:t>
      </w:r>
      <w:r w:rsidRPr="009A4608">
        <w:rPr>
          <w:rFonts w:ascii="Arial" w:hAnsi="Arial" w:cs="Arial"/>
          <w:noProof/>
          <w:sz w:val="20"/>
        </w:rPr>
        <w:t xml:space="preserve">, </w:t>
      </w:r>
      <w:r w:rsidRPr="009A4608">
        <w:rPr>
          <w:rFonts w:ascii="Arial" w:hAnsi="Arial" w:cs="Arial"/>
          <w:b/>
          <w:bCs/>
          <w:noProof/>
          <w:sz w:val="20"/>
        </w:rPr>
        <w:t>Chen C</w:t>
      </w:r>
      <w:r w:rsidRPr="009A4608">
        <w:rPr>
          <w:rFonts w:ascii="Arial" w:hAnsi="Arial" w:cs="Arial"/>
          <w:noProof/>
          <w:sz w:val="20"/>
        </w:rPr>
        <w:t xml:space="preserve">, </w:t>
      </w:r>
      <w:r w:rsidRPr="009A4608">
        <w:rPr>
          <w:rFonts w:ascii="Arial" w:hAnsi="Arial" w:cs="Arial"/>
          <w:b/>
          <w:bCs/>
          <w:noProof/>
          <w:sz w:val="20"/>
        </w:rPr>
        <w:t>Lei X</w:t>
      </w:r>
      <w:r w:rsidRPr="009A4608">
        <w:rPr>
          <w:rFonts w:ascii="Arial" w:hAnsi="Arial" w:cs="Arial"/>
          <w:noProof/>
          <w:sz w:val="20"/>
        </w:rPr>
        <w:t xml:space="preserve">, </w:t>
      </w:r>
      <w:r w:rsidRPr="009A4608">
        <w:rPr>
          <w:rFonts w:ascii="Arial" w:hAnsi="Arial" w:cs="Arial"/>
          <w:b/>
          <w:bCs/>
          <w:noProof/>
          <w:sz w:val="20"/>
        </w:rPr>
        <w:t>Zhao J</w:t>
      </w:r>
      <w:r w:rsidRPr="009A4608">
        <w:rPr>
          <w:rFonts w:ascii="Arial" w:hAnsi="Arial" w:cs="Arial"/>
          <w:noProof/>
          <w:sz w:val="20"/>
        </w:rPr>
        <w:t xml:space="preserve">, </w:t>
      </w:r>
      <w:r w:rsidRPr="009A4608">
        <w:rPr>
          <w:rFonts w:ascii="Arial" w:hAnsi="Arial" w:cs="Arial"/>
          <w:b/>
          <w:bCs/>
          <w:noProof/>
          <w:sz w:val="20"/>
        </w:rPr>
        <w:t>Liang J</w:t>
      </w:r>
      <w:r w:rsidRPr="009A4608">
        <w:rPr>
          <w:rFonts w:ascii="Arial" w:hAnsi="Arial" w:cs="Arial"/>
          <w:noProof/>
          <w:sz w:val="20"/>
        </w:rPr>
        <w:t xml:space="preserve">. CASTp 3.0: Computed atlas of surface topography of proteins. </w:t>
      </w:r>
      <w:r w:rsidRPr="009A4608">
        <w:rPr>
          <w:rFonts w:ascii="Arial" w:hAnsi="Arial" w:cs="Arial"/>
          <w:i/>
          <w:iCs/>
          <w:noProof/>
          <w:sz w:val="20"/>
        </w:rPr>
        <w:t>Nucleic Acids Res</w:t>
      </w:r>
      <w:r w:rsidRPr="009A4608">
        <w:rPr>
          <w:rFonts w:ascii="Arial" w:hAnsi="Arial" w:cs="Arial"/>
          <w:noProof/>
          <w:sz w:val="20"/>
        </w:rPr>
        <w:t xml:space="preserve"> 46: W363–W367, 2018. doi: 10.1093/nar/gky473.</w:t>
      </w:r>
    </w:p>
    <w:p w14:paraId="45DA2B74"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10. </w:t>
      </w:r>
      <w:r w:rsidRPr="009A4608">
        <w:rPr>
          <w:rFonts w:ascii="Arial" w:hAnsi="Arial" w:cs="Arial"/>
          <w:noProof/>
          <w:sz w:val="20"/>
        </w:rPr>
        <w:tab/>
      </w:r>
      <w:r w:rsidRPr="009A4608">
        <w:rPr>
          <w:rFonts w:ascii="Arial" w:hAnsi="Arial" w:cs="Arial"/>
          <w:b/>
          <w:bCs/>
          <w:noProof/>
          <w:sz w:val="20"/>
        </w:rPr>
        <w:t>Valente AJ</w:t>
      </w:r>
      <w:r w:rsidRPr="009A4608">
        <w:rPr>
          <w:rFonts w:ascii="Arial" w:hAnsi="Arial" w:cs="Arial"/>
          <w:noProof/>
          <w:sz w:val="20"/>
        </w:rPr>
        <w:t xml:space="preserve">, </w:t>
      </w:r>
      <w:r w:rsidRPr="009A4608">
        <w:rPr>
          <w:rFonts w:ascii="Arial" w:hAnsi="Arial" w:cs="Arial"/>
          <w:b/>
          <w:bCs/>
          <w:noProof/>
          <w:sz w:val="20"/>
        </w:rPr>
        <w:t>Maddalena LA</w:t>
      </w:r>
      <w:r w:rsidRPr="009A4608">
        <w:rPr>
          <w:rFonts w:ascii="Arial" w:hAnsi="Arial" w:cs="Arial"/>
          <w:noProof/>
          <w:sz w:val="20"/>
        </w:rPr>
        <w:t xml:space="preserve">, </w:t>
      </w:r>
      <w:r w:rsidRPr="009A4608">
        <w:rPr>
          <w:rFonts w:ascii="Arial" w:hAnsi="Arial" w:cs="Arial"/>
          <w:b/>
          <w:bCs/>
          <w:noProof/>
          <w:sz w:val="20"/>
        </w:rPr>
        <w:t>Robb EL</w:t>
      </w:r>
      <w:r w:rsidRPr="009A4608">
        <w:rPr>
          <w:rFonts w:ascii="Arial" w:hAnsi="Arial" w:cs="Arial"/>
          <w:noProof/>
          <w:sz w:val="20"/>
        </w:rPr>
        <w:t xml:space="preserve">, </w:t>
      </w:r>
      <w:r w:rsidRPr="009A4608">
        <w:rPr>
          <w:rFonts w:ascii="Arial" w:hAnsi="Arial" w:cs="Arial"/>
          <w:b/>
          <w:bCs/>
          <w:noProof/>
          <w:sz w:val="20"/>
        </w:rPr>
        <w:t>Moradi F</w:t>
      </w:r>
      <w:r w:rsidRPr="009A4608">
        <w:rPr>
          <w:rFonts w:ascii="Arial" w:hAnsi="Arial" w:cs="Arial"/>
          <w:noProof/>
          <w:sz w:val="20"/>
        </w:rPr>
        <w:t xml:space="preserve">, </w:t>
      </w:r>
      <w:r w:rsidRPr="009A4608">
        <w:rPr>
          <w:rFonts w:ascii="Arial" w:hAnsi="Arial" w:cs="Arial"/>
          <w:b/>
          <w:bCs/>
          <w:noProof/>
          <w:sz w:val="20"/>
        </w:rPr>
        <w:t>Stuart JA</w:t>
      </w:r>
      <w:r w:rsidRPr="009A4608">
        <w:rPr>
          <w:rFonts w:ascii="Arial" w:hAnsi="Arial" w:cs="Arial"/>
          <w:noProof/>
          <w:sz w:val="20"/>
        </w:rPr>
        <w:t xml:space="preserve">. A simple ImageJ macro tool for analyzing mitochondrial network morphology in mammalian cell culture. </w:t>
      </w:r>
      <w:r w:rsidRPr="009A4608">
        <w:rPr>
          <w:rFonts w:ascii="Arial" w:hAnsi="Arial" w:cs="Arial"/>
          <w:i/>
          <w:iCs/>
          <w:noProof/>
          <w:sz w:val="20"/>
        </w:rPr>
        <w:t>Acta Histochem</w:t>
      </w:r>
      <w:r w:rsidRPr="009A4608">
        <w:rPr>
          <w:rFonts w:ascii="Arial" w:hAnsi="Arial" w:cs="Arial"/>
          <w:noProof/>
          <w:sz w:val="20"/>
        </w:rPr>
        <w:t xml:space="preserve"> 119: 315–326, 2017. doi: 10.1016/j.acthis.2017.03.001.</w:t>
      </w:r>
    </w:p>
    <w:p w14:paraId="5DC1E505" w14:textId="77777777" w:rsidR="00997A5D" w:rsidRPr="009A4608" w:rsidRDefault="00997A5D" w:rsidP="00997A5D">
      <w:pPr>
        <w:widowControl w:val="0"/>
        <w:autoSpaceDE w:val="0"/>
        <w:autoSpaceDN w:val="0"/>
        <w:adjustRightInd w:val="0"/>
        <w:spacing w:line="480" w:lineRule="auto"/>
        <w:ind w:left="640" w:hanging="640"/>
        <w:rPr>
          <w:rFonts w:ascii="Arial" w:hAnsi="Arial" w:cs="Arial"/>
          <w:noProof/>
          <w:sz w:val="20"/>
        </w:rPr>
      </w:pPr>
      <w:r w:rsidRPr="009A4608">
        <w:rPr>
          <w:rFonts w:ascii="Arial" w:hAnsi="Arial" w:cs="Arial"/>
          <w:noProof/>
          <w:sz w:val="20"/>
        </w:rPr>
        <w:t xml:space="preserve">11. </w:t>
      </w:r>
      <w:r w:rsidRPr="009A4608">
        <w:rPr>
          <w:rFonts w:ascii="Arial" w:hAnsi="Arial" w:cs="Arial"/>
          <w:noProof/>
          <w:sz w:val="20"/>
        </w:rPr>
        <w:tab/>
      </w:r>
      <w:r w:rsidRPr="009A4608">
        <w:rPr>
          <w:rFonts w:ascii="Arial" w:hAnsi="Arial" w:cs="Arial"/>
          <w:b/>
          <w:bCs/>
          <w:noProof/>
          <w:sz w:val="20"/>
        </w:rPr>
        <w:t>Wiemerslage L</w:t>
      </w:r>
      <w:r w:rsidRPr="009A4608">
        <w:rPr>
          <w:rFonts w:ascii="Arial" w:hAnsi="Arial" w:cs="Arial"/>
          <w:noProof/>
          <w:sz w:val="20"/>
        </w:rPr>
        <w:t xml:space="preserve">, </w:t>
      </w:r>
      <w:r w:rsidRPr="009A4608">
        <w:rPr>
          <w:rFonts w:ascii="Arial" w:hAnsi="Arial" w:cs="Arial"/>
          <w:b/>
          <w:bCs/>
          <w:noProof/>
          <w:sz w:val="20"/>
        </w:rPr>
        <w:t>Lee D</w:t>
      </w:r>
      <w:r w:rsidRPr="009A4608">
        <w:rPr>
          <w:rFonts w:ascii="Arial" w:hAnsi="Arial" w:cs="Arial"/>
          <w:noProof/>
          <w:sz w:val="20"/>
        </w:rPr>
        <w:t xml:space="preserve">. Quantification of mitochondrial morphology in neurites of dopaminergic neurons using multiple parameters. </w:t>
      </w:r>
      <w:r w:rsidRPr="009A4608">
        <w:rPr>
          <w:rFonts w:ascii="Arial" w:hAnsi="Arial" w:cs="Arial"/>
          <w:i/>
          <w:iCs/>
          <w:noProof/>
          <w:sz w:val="20"/>
        </w:rPr>
        <w:t>J Neurosci Methods</w:t>
      </w:r>
      <w:r w:rsidRPr="009A4608">
        <w:rPr>
          <w:rFonts w:ascii="Arial" w:hAnsi="Arial" w:cs="Arial"/>
          <w:noProof/>
          <w:sz w:val="20"/>
        </w:rPr>
        <w:t xml:space="preserve"> 262: 56–65, 2016. doi: 10.1016/j.jneumeth.2016.01.008.</w:t>
      </w:r>
    </w:p>
    <w:p w14:paraId="727BCF86" w14:textId="77777777" w:rsidR="00997A5D" w:rsidRDefault="00997A5D" w:rsidP="00997A5D">
      <w:pPr>
        <w:widowControl w:val="0"/>
        <w:autoSpaceDE w:val="0"/>
        <w:autoSpaceDN w:val="0"/>
        <w:adjustRightInd w:val="0"/>
        <w:spacing w:line="480" w:lineRule="auto"/>
      </w:pPr>
      <w:r w:rsidRPr="001C0F5C">
        <w:rPr>
          <w:rFonts w:ascii="Arial" w:hAnsi="Arial" w:cs="Arial"/>
          <w:sz w:val="20"/>
        </w:rPr>
        <w:fldChar w:fldCharType="end"/>
      </w:r>
    </w:p>
    <w:p w14:paraId="1AA1AB93" w14:textId="77777777" w:rsidR="0075025A" w:rsidRDefault="00997A5D"/>
    <w:sectPr w:rsidR="0075025A" w:rsidSect="001C59AA">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lato">
    <w:altName w:val="Segoe UI"/>
    <w:panose1 w:val="020B0604020202020204"/>
    <w:charset w:val="00"/>
    <w:family w:val="roman"/>
    <w:notTrueType/>
    <w:pitch w:val="default"/>
  </w:font>
  <w:font w:name="Symbol">
    <w:panose1 w:val="05050102010706020507"/>
    <w:charset w:val="02"/>
    <w:family w:val="decorative"/>
    <w:pitch w:val="variable"/>
    <w:sig w:usb0="00000003" w:usb1="1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9877960"/>
    <w:multiLevelType w:val="hybridMultilevel"/>
    <w:tmpl w:val="3EAE2C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D24140A"/>
    <w:multiLevelType w:val="multilevel"/>
    <w:tmpl w:val="DEB433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A5D"/>
    <w:rsid w:val="001C59AA"/>
    <w:rsid w:val="004B1362"/>
    <w:rsid w:val="005A41E8"/>
    <w:rsid w:val="00605935"/>
    <w:rsid w:val="006063C2"/>
    <w:rsid w:val="0070055D"/>
    <w:rsid w:val="00830BA2"/>
    <w:rsid w:val="00837CD1"/>
    <w:rsid w:val="00997A5D"/>
    <w:rsid w:val="009A0477"/>
    <w:rsid w:val="00A34F84"/>
    <w:rsid w:val="00B32F85"/>
    <w:rsid w:val="00B6123A"/>
    <w:rsid w:val="00BD60BC"/>
    <w:rsid w:val="00C233E5"/>
    <w:rsid w:val="00DC4371"/>
    <w:rsid w:val="00E240F7"/>
    <w:rsid w:val="00F0405D"/>
    <w:rsid w:val="00F56ED5"/>
    <w:rsid w:val="00F62489"/>
    <w:rsid w:val="00FB3EB1"/>
    <w:rsid w:val="00FD03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7ADDB8A5"/>
  <w15:chartTrackingRefBased/>
  <w15:docId w15:val="{A478BBAB-026B-AA41-BDFE-B87C01283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97A5D"/>
    <w:pPr>
      <w:spacing w:after="200"/>
    </w:pPr>
    <w:rPr>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7A5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97A5D"/>
    <w:rPr>
      <w:rFonts w:ascii="Times New Roman" w:hAnsi="Times New Roman" w:cs="Times New Roman"/>
      <w:sz w:val="18"/>
      <w:szCs w:val="18"/>
    </w:rPr>
  </w:style>
  <w:style w:type="paragraph" w:customStyle="1" w:styleId="SMcaption">
    <w:name w:val="SM caption"/>
    <w:basedOn w:val="Normal"/>
    <w:qFormat/>
    <w:rsid w:val="00997A5D"/>
    <w:pPr>
      <w:spacing w:after="0"/>
    </w:pPr>
    <w:rPr>
      <w:rFonts w:ascii="Times New Roman" w:eastAsia="Times New Roman" w:hAnsi="Times New Roman" w:cs="Times New Roman"/>
      <w:sz w:val="24"/>
      <w:szCs w:val="20"/>
    </w:rPr>
  </w:style>
  <w:style w:type="paragraph" w:customStyle="1" w:styleId="SMSubheading">
    <w:name w:val="SM Subheading"/>
    <w:basedOn w:val="Normal"/>
    <w:qFormat/>
    <w:rsid w:val="00997A5D"/>
    <w:pPr>
      <w:spacing w:after="0"/>
    </w:pPr>
    <w:rPr>
      <w:rFonts w:ascii="Times New Roman" w:eastAsia="Times New Roman" w:hAnsi="Times New Roman" w:cs="Times New Roman"/>
      <w:sz w:val="24"/>
      <w:szCs w:val="20"/>
      <w:u w:val="words"/>
    </w:rPr>
  </w:style>
  <w:style w:type="paragraph" w:customStyle="1" w:styleId="SMText">
    <w:name w:val="SM Text"/>
    <w:basedOn w:val="Normal"/>
    <w:qFormat/>
    <w:rsid w:val="00997A5D"/>
    <w:pPr>
      <w:spacing w:after="0"/>
      <w:ind w:firstLine="480"/>
    </w:pPr>
    <w:rPr>
      <w:rFonts w:ascii="Times New Roman" w:eastAsia="Times New Roman" w:hAnsi="Times New Roman" w:cs="Times New Roman"/>
      <w:sz w:val="24"/>
      <w:szCs w:val="20"/>
    </w:rPr>
  </w:style>
  <w:style w:type="table" w:styleId="TableGrid">
    <w:name w:val="Table Grid"/>
    <w:basedOn w:val="TableNormal"/>
    <w:uiPriority w:val="39"/>
    <w:rsid w:val="00997A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97A5D"/>
    <w:rPr>
      <w:color w:val="0563C1" w:themeColor="hyperlink"/>
      <w:u w:val="single"/>
    </w:rPr>
  </w:style>
  <w:style w:type="paragraph" w:styleId="NormalWeb">
    <w:name w:val="Normal (Web)"/>
    <w:basedOn w:val="Normal"/>
    <w:uiPriority w:val="99"/>
    <w:semiHidden/>
    <w:unhideWhenUsed/>
    <w:rsid w:val="00997A5D"/>
    <w:rPr>
      <w:rFonts w:ascii="Times New Roman" w:hAnsi="Times New Roman" w:cs="Times New Roman"/>
      <w:sz w:val="24"/>
      <w:szCs w:val="24"/>
    </w:rPr>
  </w:style>
  <w:style w:type="paragraph" w:styleId="ListParagraph">
    <w:name w:val="List Paragraph"/>
    <w:basedOn w:val="Normal"/>
    <w:uiPriority w:val="34"/>
    <w:qFormat/>
    <w:rsid w:val="00997A5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a.agrawal@igib.in" TargetMode="External"/><Relationship Id="rId11" Type="http://schemas.openxmlformats.org/officeDocument/2006/relationships/image" Target="media/image5.emf"/><Relationship Id="rId5" Type="http://schemas.openxmlformats.org/officeDocument/2006/relationships/hyperlink" Target="mailto:bhavana.p@igib.res.in" TargetMode="External"/><Relationship Id="rId15" Type="http://schemas.openxmlformats.org/officeDocument/2006/relationships/theme" Target="theme/theme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8929</Words>
  <Characters>50898</Characters>
  <Application>Microsoft Office Word</Application>
  <DocSecurity>0</DocSecurity>
  <Lines>424</Lines>
  <Paragraphs>119</Paragraphs>
  <ScaleCrop>false</ScaleCrop>
  <Company/>
  <LinksUpToDate>false</LinksUpToDate>
  <CharactersWithSpaces>59708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Atish Gheware</dc:creator>
  <cp:keywords/>
  <dc:description/>
  <cp:lastModifiedBy>Atish Gheware</cp:lastModifiedBy>
  <cp:revision>1</cp:revision>
  <dcterms:created xsi:type="dcterms:W3CDTF">2021-01-26T07:17:00Z</dcterms:created>
  <dcterms:modified xsi:type="dcterms:W3CDTF">2021-01-26T07:19:00Z</dcterms:modified>
</cp:coreProperties>
</file>