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480" w:before="40" w:after="0"/>
        <w:jc w:val="both"/>
        <w:rPr>
          <w:rFonts w:ascii="Arial" w:hAnsi="Arial" w:eastAsia="Times New Roman" w:cs="Arial"/>
          <w:b/>
          <w:b/>
          <w:color w:val="000000" w:themeColor="text1"/>
          <w:sz w:val="22"/>
          <w:szCs w:val="22"/>
        </w:rPr>
      </w:pPr>
      <w:r>
        <w:rPr>
          <w:rFonts w:eastAsia="Times New Roman" w:cs="Arial" w:ascii="Arial" w:hAnsi="Arial"/>
          <w:b/>
          <w:color w:val="000000" w:themeColor="text1"/>
          <w:sz w:val="22"/>
          <w:szCs w:val="22"/>
          <w:u w:val="single"/>
        </w:rPr>
        <w:t>Supplementary materials and methods</w:t>
      </w:r>
      <w:r>
        <w:rPr>
          <w:rFonts w:eastAsia="Times New Roman" w:cs="Arial" w:ascii="Arial" w:hAnsi="Arial"/>
          <w:b/>
          <w:color w:val="000000" w:themeColor="text1"/>
          <w:sz w:val="22"/>
          <w:szCs w:val="22"/>
        </w:rPr>
        <w:t>:</w:t>
      </w:r>
    </w:p>
    <w:p>
      <w:pPr>
        <w:pStyle w:val="Normal"/>
        <w:bidi w:val="0"/>
        <w:spacing w:lineRule="auto" w:line="480"/>
        <w:jc w:val="both"/>
        <w:rPr>
          <w:rFonts w:ascii="Arial" w:hAnsi="Arial" w:cs="Arial"/>
          <w:b/>
          <w:b/>
          <w:color w:val="000000"/>
          <w:sz w:val="22"/>
          <w:szCs w:val="22"/>
        </w:rPr>
      </w:pPr>
      <w:r>
        <w:rPr>
          <w:rFonts w:cs="Arial" w:ascii="Arial" w:hAnsi="Arial"/>
          <w:b/>
          <w:color w:val="000000"/>
          <w:sz w:val="22"/>
          <w:szCs w:val="22"/>
        </w:rPr>
      </w:r>
    </w:p>
    <w:p>
      <w:pPr>
        <w:pStyle w:val="NoSpacing"/>
        <w:spacing w:lineRule="auto" w:line="480"/>
        <w:jc w:val="both"/>
        <w:rPr>
          <w:rFonts w:ascii="Arial" w:hAnsi="Arial" w:eastAsia="Times New Roman" w:cs="Arial"/>
          <w:b/>
          <w:b/>
          <w:sz w:val="22"/>
          <w:szCs w:val="22"/>
        </w:rPr>
      </w:pPr>
      <w:r>
        <w:rPr>
          <w:rFonts w:eastAsia="Times New Roman" w:cs="Arial" w:ascii="Arial" w:hAnsi="Arial"/>
          <w:b/>
          <w:sz w:val="22"/>
          <w:szCs w:val="22"/>
        </w:rPr>
        <w:t>OR6 luciferase assay</w:t>
      </w:r>
    </w:p>
    <w:p>
      <w:pPr>
        <w:pStyle w:val="Normal"/>
        <w:bidi w:val="0"/>
        <w:spacing w:lineRule="auto" w:line="480"/>
        <w:jc w:val="both"/>
        <w:rPr>
          <w:rFonts w:ascii="Arial" w:hAnsi="Arial" w:cs="Arial"/>
          <w:color w:val="000000"/>
          <w:sz w:val="22"/>
          <w:szCs w:val="22"/>
        </w:rPr>
      </w:pPr>
      <w:r>
        <w:rPr>
          <w:rFonts w:cs="Arial" w:ascii="Arial" w:hAnsi="Arial"/>
          <w:color w:val="000000"/>
          <w:sz w:val="22"/>
          <w:szCs w:val="22"/>
        </w:rPr>
      </w:r>
    </w:p>
    <w:p>
      <w:pPr>
        <w:pStyle w:val="Normal"/>
        <w:bidi w:val="0"/>
        <w:spacing w:lineRule="auto" w:line="480"/>
        <w:jc w:val="both"/>
        <w:rPr>
          <w:rFonts w:ascii="Arial" w:hAnsi="Arial" w:cs="Arial"/>
          <w:color w:val="000000"/>
          <w:sz w:val="22"/>
          <w:szCs w:val="22"/>
        </w:rPr>
      </w:pPr>
      <w:r>
        <w:rPr>
          <w:rFonts w:cs="Arial" w:ascii="Arial" w:hAnsi="Arial"/>
          <w:color w:val="000000"/>
          <w:sz w:val="22"/>
          <w:szCs w:val="22"/>
        </w:rPr>
        <w:t>In supplementary figure 1A, OR6 cells were plated at 3.5x10</w:t>
      </w:r>
      <w:r>
        <w:rPr>
          <w:rFonts w:cs="Arial" w:ascii="Arial" w:hAnsi="Arial"/>
          <w:color w:val="000000"/>
          <w:sz w:val="22"/>
          <w:szCs w:val="22"/>
          <w:vertAlign w:val="superscript"/>
        </w:rPr>
        <w:t>3</w:t>
      </w:r>
      <w:r>
        <w:rPr>
          <w:rFonts w:cs="Arial" w:ascii="Arial" w:hAnsi="Arial"/>
          <w:color w:val="000000"/>
          <w:sz w:val="22"/>
          <w:szCs w:val="22"/>
        </w:rPr>
        <w:t xml:space="preserve"> cells/well in flat-bottomed 96-well plates. After 24h incubation, cells were incubated in triplicate wells with D10 (untreated), recombinant human IFNα 100U/mL (PBL Assay Science), recombinant human BMP6 (R&amp;D) or a titration of recombinant human activin A or activin B (both R&amp;D) from 0.25 nM to 4 nM, for 72 h. Ruxolitinib (INCB018424) is a small-molecule inhibitor of the JAK1 intracellular kinase required for signal transduction by the IFNAR2 type I IFN receptor chain</w:t>
      </w:r>
      <w:r>
        <w:fldChar w:fldCharType="begin"/>
      </w:r>
      <w:r>
        <w:rPr>
          <w:sz w:val="22"/>
          <w:szCs w:val="22"/>
          <w:rFonts w:cs="Arial" w:ascii="Arial" w:hAnsi="Arial"/>
          <w:color w:val="000000"/>
        </w:rPr>
        <w:instrText>ADDIN ZOTERO_ITEM CSL_CITATION {"citationID":"1WSWwTuf","properties":{"formattedCitation":"(16)","plainCitation":"(16)","noteIndex":0},"citationItems":[{"id":"XFdwnNOZ/SbV8lQK8","uris":["http://www.mendeley.com/documents/?uuid=4ef2d647-d1f1-429d-8604-467b5237efb1"],"uri":["http://www.mendeley.com/documents/?uuid=4ef2d647-d1f1-429d-8604-467b5237efb1"],"itemData":{"abstract":"Constitutive JAK2 activation in hematopoietic cells by the JAK2V617F mutation recapitulates myeloproliferative neoplasm (MPN) phenotypes in mice, establishing JAK2 inhibition as a potential therapeutic strategy. Although most polycythemia vera patients carry the JAK2V617F mutation, half of those with essential thrombocythemia or primary myelofibrosis do not, suggesting alternative mechanisms for constitutive JAK-STAT signaling in MPNs. Most patients with primary myelofibrosis have elevated levels of JAK-dependent proinflammatory cytokines (eg, interleukin-6) consistent with our observation of JAK1 hyperactivation. Accordingly, we evaluated the effectiveness of selective JAK1/2 inhibition in experimental models relevant to MPNs and report on the effects of INCB018424, the first potent, selective, oral JAK1/JAK2 inhibitor to enter the clinic. INCB018424 inhibited interleukin-6 signaling (50% inhibitory concentration [IC50] = 281nM), and proliferation of JAK2V617F+ Ba/F3 cells (IC50 = 127nM). In primary cultures, INCB018424 preferentially suppressed erythroid progenitor colony formation from JAK2V617F+ polycythemia vera patients (IC50 = 67nM) versus healthy donors (IC50 &amp;amp;gt; 400nM). In a mouse model of JAK2V617F+ MPN, oral INCB018424 markedly reduced splenomegaly and circulating levels of inflammatory cytokines, and preferentially eliminated neoplastic cells, resulting in significantly prolonged survival without myelosuppressive or immunosuppressive effects. Preliminary clinical results support these preclinical data and establish INCB018424 as a promising oral agent for the treatment of MPNs.","author":[{"dropping-particle":"","family":"Quintás-Cardama","given":"Alfonso","non-dropping-particle":"","parse-names":false,"suffix":""},{"dropping-particle":"","family":"Vaddi","given":"Kris","non-dropping-particle":"","parse-names":false,"suffix":""},{"dropping-particle":"","family":"Liu","given":"Phillip","non-dropping-particle":"","parse-names":false,"suffix":""},{"dropping-particle":"","family":"Manshouri","given":"Taghi","non-dropping-particle":"","parse-names":false,"suffix":""},{"dropping-particle":"","family":"Li","given":"Jun","non-dropping-particle":"","parse-names":false,"suffix":""},{"dropping-particle":"","family":"Scherle","given":"Peggy A","non-dropping-particle":"","parse-names":false,"suffix":""},{"dropping-particle":"","family":"Caulder","given":"Eian","non-dropping-particle":"","parse-names":false,"suffix":""},{"dropping-particle":"","family":"Wen","given":"Xiaoming","non-dropping-particle":"","parse-names":false,"suffix":""},{"dropping-particle":"","family":"Li","given":"Yanlong","non-dropping-particle":"","parse-names":false,"suffix":""},{"dropping-particle":"","family":"Waeltz","given":"Paul","non-dropping-particle":"","parse-names":false,"suffix":""},{"dropping-particle":"","family":"Rupar","given":"Mark","non-dropping-particle":"","parse-names":false,"suffix":""},{"dropping-particle":"","family":"Burn","given":"Timothy","non-dropping-particle":"","parse-names":false,"suffix":""},{"dropping-particle":"","family":"Lo","given":"Yvonne","non-dropping-particle":"","parse-names":false,"suffix":""},{"dropping-particle":"","family":"Kelley","given":"Jennifer","non-dropping-particle":"","parse-names":false,"suffix":""},{"dropping-particle":"","family":"Covington","given":"Maryanne","non-dropping-particle":"","parse-names":false,"suffix":""},{"dropping-particle":"","family":"Shepard","given":"Stacey","non-dropping-particle":"","parse-names":false,"suffix":""},{"dropping-particle":"","family":"Rodgers","given":"James D","non-dropping-particle":"","parse-names":false,"suffix":""},{"dropping-particle":"","family":"Haley","given":"Patrick","non-dropping-particle":"","parse-names":false,"suffix":""},{"dropping-particle":"","family":"Kantarjian","given":"Hagop","non-dropping-particle":"","parse-names":false,"suffix":""},{"dropping-particle":"","family":"Fridman","given":"Jordan S","non-dropping-particle":"","parse-names":false,"suffix":""},{"dropping-particle":"","family":"Verstovsek","given":"Srdan","non-dropping-particle":"","parse-names":false,"suffix":""}],"container-title":"Blood","id":"ITEM-1","issue":"15","issued":{"date-parts":[["2010","2","3"]]},"page":"3109-3117","title":"Preclinical characterization of the selective JAK1/2 inhibitor INCB018424: therapeutic implications for the treatment of myeloproliferative neoplasms","type":"article-journal","volume":"115"}}],"schema":"https://github.com/citation-style-language/schema/raw/master/csl-citation.json"}</w:instrText>
      </w:r>
      <w:r>
        <w:rPr>
          <w:rFonts w:cs="Arial" w:ascii="Arial" w:hAnsi="Arial"/>
          <w:color w:val="000000"/>
          <w:sz w:val="22"/>
          <w:szCs w:val="22"/>
        </w:rPr>
      </w:r>
      <w:r>
        <w:rPr>
          <w:sz w:val="22"/>
          <w:szCs w:val="22"/>
          <w:rFonts w:cs="Arial" w:ascii="Arial" w:hAnsi="Arial"/>
          <w:color w:val="000000"/>
        </w:rPr>
        <w:fldChar w:fldCharType="separate"/>
      </w:r>
      <w:r>
        <w:rPr>
          <w:rFonts w:cs="Arial" w:ascii="Arial" w:hAnsi="Arial"/>
          <w:color w:val="000000"/>
          <w:sz w:val="22"/>
          <w:szCs w:val="22"/>
        </w:rPr>
        <w:t>(16)</w:t>
      </w:r>
      <w:r>
        <w:rPr>
          <w:rFonts w:cs="Arial" w:ascii="Arial" w:hAnsi="Arial"/>
          <w:color w:val="000000"/>
          <w:sz w:val="22"/>
          <w:szCs w:val="22"/>
        </w:rPr>
      </w:r>
      <w:r>
        <w:rPr>
          <w:sz w:val="22"/>
          <w:szCs w:val="22"/>
          <w:rFonts w:cs="Arial" w:ascii="Arial" w:hAnsi="Arial"/>
          <w:color w:val="000000"/>
        </w:rPr>
        <w:fldChar w:fldCharType="end"/>
      </w:r>
      <w:r>
        <w:rPr>
          <w:rFonts w:cs="Arial" w:ascii="Arial" w:hAnsi="Arial"/>
          <w:color w:val="000000"/>
          <w:sz w:val="22"/>
          <w:szCs w:val="22"/>
        </w:rPr>
        <w:t>. In supplementary figure 1B, OR6 cells were plated at 3.5x10</w:t>
      </w:r>
      <w:r>
        <w:rPr>
          <w:rFonts w:cs="Arial" w:ascii="Arial" w:hAnsi="Arial"/>
          <w:color w:val="000000"/>
          <w:sz w:val="22"/>
          <w:szCs w:val="22"/>
          <w:vertAlign w:val="superscript"/>
        </w:rPr>
        <w:t>3</w:t>
      </w:r>
      <w:r>
        <w:rPr>
          <w:rFonts w:cs="Arial" w:ascii="Arial" w:hAnsi="Arial"/>
          <w:color w:val="000000"/>
          <w:sz w:val="22"/>
          <w:szCs w:val="22"/>
        </w:rPr>
        <w:t xml:space="preserve"> cells/well in flat-bottomed 96-well plates, triplicate wells per experimental condition. </w:t>
      </w:r>
      <w:r>
        <w:rPr>
          <w:rFonts w:cs="Arial" w:ascii="Arial" w:hAnsi="Arial"/>
          <w:sz w:val="22"/>
          <w:szCs w:val="22"/>
        </w:rPr>
        <w:t xml:space="preserve">Cells </w:t>
      </w:r>
      <w:r>
        <w:rPr>
          <w:rFonts w:cs="Arial" w:ascii="Arial" w:hAnsi="Arial"/>
          <w:color w:val="000000"/>
          <w:sz w:val="22"/>
          <w:szCs w:val="22"/>
        </w:rPr>
        <w:t xml:space="preserve">were incubated with 5 μM ruxolitinib (Tocris Bioscience UK) or D10 (untreated) in 50 μL for 30 min, followed by the addition of a unit volume recombinant human IFNα to 100 U/mL (PBL Assay Science) or recombinant human activin A (R&amp;D Systems) to 2 nM or 6 nM. Cells were incubated for 72 h and assayed at end-point for Renilla luciferase activity. </w:t>
      </w:r>
      <w:r>
        <w:rPr>
          <w:rFonts w:cs="Arial" w:ascii="Arial" w:hAnsi="Arial"/>
          <w:sz w:val="22"/>
          <w:szCs w:val="22"/>
        </w:rPr>
        <w:t>End-point measurement of luciferase activity was performed with the Renilla-Glo Luciferase Assay System (Promega, USA). Measurements were obtained with a Fusion II Luminometer (PerkinElmer, USA) or a GloMax 96 Microplate Luminometer (Promega, USA).</w:t>
      </w:r>
    </w:p>
    <w:p>
      <w:pPr>
        <w:pStyle w:val="Normal"/>
        <w:bidi w:val="0"/>
        <w:spacing w:lineRule="auto" w:line="480"/>
        <w:jc w:val="both"/>
        <w:rPr>
          <w:rFonts w:ascii="Arial" w:hAnsi="Arial" w:cs="Arial"/>
          <w:sz w:val="22"/>
          <w:szCs w:val="22"/>
        </w:rPr>
      </w:pPr>
      <w:r>
        <w:rPr>
          <w:rFonts w:cs="Arial" w:ascii="Arial" w:hAnsi="Arial"/>
          <w:sz w:val="22"/>
          <w:szCs w:val="22"/>
        </w:rPr>
      </w:r>
    </w:p>
    <w:p>
      <w:pPr>
        <w:pStyle w:val="NoSpacing"/>
        <w:spacing w:lineRule="auto" w:line="480"/>
        <w:jc w:val="both"/>
        <w:rPr>
          <w:rFonts w:ascii="Arial" w:hAnsi="Arial" w:cs="Arial"/>
          <w:b/>
          <w:b/>
          <w:sz w:val="22"/>
          <w:szCs w:val="22"/>
        </w:rPr>
      </w:pPr>
      <w:r>
        <w:rPr>
          <w:rFonts w:cs="Arial" w:ascii="Arial" w:hAnsi="Arial"/>
          <w:b/>
          <w:sz w:val="22"/>
          <w:szCs w:val="22"/>
        </w:rPr>
        <w:t>Cell Titer Glo © Assay</w:t>
      </w:r>
    </w:p>
    <w:p>
      <w:pPr>
        <w:pStyle w:val="NoSpacing"/>
        <w:spacing w:lineRule="auto" w:line="480"/>
        <w:jc w:val="both"/>
        <w:rPr>
          <w:rFonts w:ascii="Arial" w:hAnsi="Arial" w:cs="Arial"/>
          <w:b/>
          <w:b/>
          <w:sz w:val="22"/>
          <w:szCs w:val="22"/>
        </w:rPr>
      </w:pPr>
      <w:r>
        <w:rPr>
          <w:rFonts w:cs="Arial" w:ascii="Arial" w:hAnsi="Arial"/>
          <w:b/>
          <w:sz w:val="22"/>
          <w:szCs w:val="22"/>
        </w:rPr>
      </w:r>
    </w:p>
    <w:p>
      <w:pPr>
        <w:pStyle w:val="Normal"/>
        <w:bidi w:val="0"/>
        <w:spacing w:lineRule="auto" w:line="480"/>
        <w:jc w:val="both"/>
        <w:rPr>
          <w:rFonts w:ascii="Arial" w:hAnsi="Arial" w:cs="Arial"/>
          <w:sz w:val="22"/>
          <w:szCs w:val="22"/>
        </w:rPr>
      </w:pPr>
      <w:r>
        <w:rPr>
          <w:rFonts w:cs="Arial" w:ascii="Arial" w:hAnsi="Arial"/>
          <w:sz w:val="22"/>
          <w:szCs w:val="22"/>
        </w:rPr>
        <w:t>Cells were assayed for intracellular ATP content, an index of cell number and viability, with the Cell Titer Glo Assay System (Promega, USA). Lysates were extracted as per the kit’s protocol and transferred to an opaque plate before measurement of luminescence intensity.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en-GB" w:eastAsia="zh-CN" w:bidi="hi-IN"/>
    </w:rPr>
  </w:style>
  <w:style w:type="paragraph" w:styleId="Heading2">
    <w:name w:val="Heading 2"/>
    <w:basedOn w:val="Normal"/>
    <w:next w:val="Normal"/>
    <w:qFormat/>
    <w:pPr>
      <w:keepNext w:val="true"/>
      <w:keepLines/>
      <w:spacing w:before="40" w:after="0"/>
      <w:outlineLvl w:val="1"/>
    </w:pPr>
    <w:rPr>
      <w:rFonts w:ascii="Calibri Light" w:hAnsi="Calibri Light" w:eastAsia="游ゴシック Light" w:cs="Times New Roman" w:asciiTheme="majorHAnsi" w:cstheme="majorBidi" w:eastAsiaTheme="majorEastAsia" w:hAnsiTheme="majorHAnsi"/>
      <w:color w:val="2F5496" w:themeColor="accent1" w:themeShade="bf"/>
      <w:sz w:val="26"/>
      <w:szCs w:val="26"/>
      <w:lang w:eastAsia="en-U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qFormat/>
    <w:pPr>
      <w:widowControl/>
      <w:suppressAutoHyphens w:val="true"/>
      <w:bidi w:val="0"/>
      <w:spacing w:before="0" w:after="0"/>
      <w:jc w:val="left"/>
    </w:pPr>
    <w:rPr>
      <w:rFonts w:ascii="Calibri" w:hAnsi="Calibri" w:eastAsia="游明朝" w:cs="Arial" w:eastAsiaTheme="minorEastAsia"/>
      <w:color w:val="auto"/>
      <w:kern w:val="0"/>
      <w:sz w:val="24"/>
      <w:szCs w:val="24"/>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LibreOffice/7.0.0.3$Linux_X86_64 LibreOffice_project/8061b3e9204bef6b321a21033174034a5e2ea88e</Application>
  <Pages>1</Pages>
  <Words>258</Words>
  <Characters>1394</Characters>
  <CharactersWithSpaces>1642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2020-11-04T16:45:36Z</dcterms:created>
  <dc:creator/>
  <dc:description/>
  <dc:language>en-GB</dc:language>
  <cp:lastModifiedBy/>
  <dcterms:modified xsi:type="dcterms:W3CDTF">2020-11-04T16:46:19Z</dcterms:modified>
  <cp:revision>1</cp:revision>
  <dc:subject/>
  <dc:title/>
</cp:coreProperties>
</file>