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5633" w14:textId="089BC4C2" w:rsidR="0052004F" w:rsidRDefault="0052004F" w:rsidP="0052004F">
      <w:pPr>
        <w:jc w:val="center"/>
        <w:rPr>
          <w:b/>
          <w:bCs/>
          <w:lang w:val="en-GB"/>
        </w:rPr>
      </w:pPr>
      <w:r w:rsidRPr="0052004F">
        <w:rPr>
          <w:b/>
          <w:bCs/>
          <w:lang w:val="en-GB"/>
        </w:rPr>
        <w:t>Supplemental Information for</w:t>
      </w:r>
    </w:p>
    <w:p w14:paraId="5AD7F741" w14:textId="77777777" w:rsidR="0052004F" w:rsidRDefault="0052004F" w:rsidP="0052004F">
      <w:pPr>
        <w:jc w:val="center"/>
        <w:rPr>
          <w:b/>
          <w:bCs/>
          <w:lang w:val="en-GB"/>
        </w:rPr>
      </w:pPr>
    </w:p>
    <w:p w14:paraId="2DD1CD6E" w14:textId="77777777" w:rsidR="0052004F" w:rsidRPr="005D092F" w:rsidRDefault="0052004F" w:rsidP="0052004F">
      <w:pPr>
        <w:jc w:val="center"/>
        <w:rPr>
          <w:b/>
          <w:bCs/>
          <w:i/>
          <w:iCs/>
          <w:sz w:val="28"/>
          <w:szCs w:val="28"/>
          <w:lang w:val="en-GB"/>
        </w:rPr>
      </w:pPr>
      <w:r w:rsidRPr="005D092F">
        <w:rPr>
          <w:b/>
          <w:bCs/>
          <w:sz w:val="28"/>
          <w:szCs w:val="28"/>
          <w:lang w:val="en-US"/>
        </w:rPr>
        <w:t xml:space="preserve">Reconsidering the validity of </w:t>
      </w:r>
      <w:r w:rsidRPr="005D092F">
        <w:rPr>
          <w:b/>
          <w:bCs/>
          <w:sz w:val="28"/>
          <w:szCs w:val="28"/>
          <w:lang w:val="en-GB"/>
        </w:rPr>
        <w:t>transcriptome-wide association studies</w:t>
      </w:r>
    </w:p>
    <w:p w14:paraId="64C2C788" w14:textId="77777777" w:rsidR="0052004F" w:rsidRDefault="0052004F" w:rsidP="0052004F">
      <w:pPr>
        <w:jc w:val="center"/>
        <w:rPr>
          <w:b/>
          <w:bCs/>
          <w:sz w:val="28"/>
          <w:szCs w:val="28"/>
          <w:highlight w:val="yellow"/>
          <w:lang w:val="en-GB"/>
        </w:rPr>
      </w:pPr>
    </w:p>
    <w:p w14:paraId="36164672" w14:textId="77777777" w:rsidR="0052004F" w:rsidRPr="0052004F" w:rsidRDefault="0052004F" w:rsidP="0052004F">
      <w:pPr>
        <w:jc w:val="center"/>
        <w:rPr>
          <w:b/>
          <w:bCs/>
          <w:lang w:val="en-GB"/>
        </w:rPr>
      </w:pPr>
    </w:p>
    <w:p w14:paraId="7FB9B2FB" w14:textId="77777777" w:rsidR="0052004F" w:rsidRPr="0052004F" w:rsidRDefault="0052004F" w:rsidP="0052004F">
      <w:pPr>
        <w:jc w:val="center"/>
        <w:rPr>
          <w:b/>
          <w:bCs/>
          <w:highlight w:val="yellow"/>
          <w:lang w:val="en-GB"/>
        </w:rPr>
      </w:pPr>
    </w:p>
    <w:p w14:paraId="44698AF4" w14:textId="77777777" w:rsidR="0052004F" w:rsidRDefault="0052004F">
      <w:pPr>
        <w:rPr>
          <w:highlight w:val="yellow"/>
          <w:lang w:val="en-GB"/>
        </w:rPr>
      </w:pPr>
    </w:p>
    <w:sdt>
      <w:sdtPr>
        <w:rPr>
          <w:rFonts w:asciiTheme="minorHAnsi" w:eastAsiaTheme="minorHAnsi" w:hAnsiTheme="minorHAnsi" w:cstheme="minorBidi"/>
          <w:color w:val="auto"/>
          <w:sz w:val="22"/>
          <w:szCs w:val="22"/>
          <w:lang w:val="nl-NL" w:eastAsia="en-US"/>
        </w:rPr>
        <w:id w:val="-1971740713"/>
        <w:docPartObj>
          <w:docPartGallery w:val="Table of Contents"/>
          <w:docPartUnique/>
        </w:docPartObj>
      </w:sdtPr>
      <w:sdtEndPr>
        <w:rPr>
          <w:b/>
          <w:bCs/>
        </w:rPr>
      </w:sdtEndPr>
      <w:sdtContent>
        <w:p w14:paraId="62524938" w14:textId="48656EDB" w:rsidR="005F4AC9" w:rsidRPr="005F4AC9" w:rsidRDefault="005F4AC9">
          <w:pPr>
            <w:pStyle w:val="Kopvaninhoudsopgave"/>
            <w:rPr>
              <w:b/>
              <w:bCs/>
              <w:color w:val="000000" w:themeColor="text1"/>
              <w:sz w:val="28"/>
              <w:szCs w:val="28"/>
            </w:rPr>
          </w:pPr>
          <w:r w:rsidRPr="005F4AC9">
            <w:rPr>
              <w:b/>
              <w:bCs/>
              <w:color w:val="000000" w:themeColor="text1"/>
              <w:sz w:val="28"/>
              <w:szCs w:val="28"/>
              <w:lang w:val="nl-NL"/>
            </w:rPr>
            <w:t>Table of Contents</w:t>
          </w:r>
        </w:p>
        <w:p w14:paraId="572A88A7" w14:textId="45CB71D4" w:rsidR="00A03C1B" w:rsidRDefault="005F4AC9">
          <w:pPr>
            <w:pStyle w:val="Inhopg1"/>
            <w:tabs>
              <w:tab w:val="right" w:pos="9062"/>
            </w:tabs>
            <w:rPr>
              <w:rFonts w:eastAsiaTheme="minorEastAsia"/>
              <w:b w:val="0"/>
              <w:bCs w:val="0"/>
              <w:noProof/>
              <w:sz w:val="22"/>
              <w:szCs w:val="22"/>
              <w:lang w:val="en-GB" w:eastAsia="en-GB"/>
            </w:rPr>
          </w:pPr>
          <w:r>
            <w:fldChar w:fldCharType="begin"/>
          </w:r>
          <w:r>
            <w:instrText xml:space="preserve"> TOC \o "1-3" \h \z \u </w:instrText>
          </w:r>
          <w:r>
            <w:fldChar w:fldCharType="separate"/>
          </w:r>
          <w:hyperlink w:anchor="_Toc79957407" w:history="1">
            <w:r w:rsidR="00A03C1B" w:rsidRPr="001D391D">
              <w:rPr>
                <w:rStyle w:val="Hyperlink"/>
                <w:noProof/>
              </w:rPr>
              <w:t>Mathematical structure of TWAS</w:t>
            </w:r>
            <w:r w:rsidR="00A03C1B">
              <w:rPr>
                <w:noProof/>
                <w:webHidden/>
              </w:rPr>
              <w:tab/>
            </w:r>
            <w:r w:rsidR="00A03C1B">
              <w:rPr>
                <w:noProof/>
                <w:webHidden/>
              </w:rPr>
              <w:fldChar w:fldCharType="begin"/>
            </w:r>
            <w:r w:rsidR="00A03C1B">
              <w:rPr>
                <w:noProof/>
                <w:webHidden/>
              </w:rPr>
              <w:instrText xml:space="preserve"> PAGEREF _Toc79957407 \h </w:instrText>
            </w:r>
            <w:r w:rsidR="00A03C1B">
              <w:rPr>
                <w:noProof/>
                <w:webHidden/>
              </w:rPr>
            </w:r>
            <w:r w:rsidR="00A03C1B">
              <w:rPr>
                <w:noProof/>
                <w:webHidden/>
              </w:rPr>
              <w:fldChar w:fldCharType="separate"/>
            </w:r>
            <w:r w:rsidR="007374DF">
              <w:rPr>
                <w:noProof/>
                <w:webHidden/>
              </w:rPr>
              <w:t>2</w:t>
            </w:r>
            <w:r w:rsidR="00A03C1B">
              <w:rPr>
                <w:noProof/>
                <w:webHidden/>
              </w:rPr>
              <w:fldChar w:fldCharType="end"/>
            </w:r>
          </w:hyperlink>
        </w:p>
        <w:p w14:paraId="15C940CB" w14:textId="34C84C28" w:rsidR="00A03C1B" w:rsidRDefault="002C018B">
          <w:pPr>
            <w:pStyle w:val="Inhopg1"/>
            <w:tabs>
              <w:tab w:val="right" w:pos="9062"/>
            </w:tabs>
            <w:rPr>
              <w:rFonts w:eastAsiaTheme="minorEastAsia"/>
              <w:b w:val="0"/>
              <w:bCs w:val="0"/>
              <w:noProof/>
              <w:sz w:val="22"/>
              <w:szCs w:val="22"/>
              <w:lang w:val="en-GB" w:eastAsia="en-GB"/>
            </w:rPr>
          </w:pPr>
          <w:hyperlink w:anchor="_Toc79957408" w:history="1">
            <w:r w:rsidR="00A03C1B" w:rsidRPr="001D391D">
              <w:rPr>
                <w:rStyle w:val="Hyperlink"/>
                <w:noProof/>
              </w:rPr>
              <w:t>Relation to joint association testing</w:t>
            </w:r>
            <w:r w:rsidR="00A03C1B">
              <w:rPr>
                <w:noProof/>
                <w:webHidden/>
              </w:rPr>
              <w:tab/>
            </w:r>
            <w:r w:rsidR="00A03C1B">
              <w:rPr>
                <w:noProof/>
                <w:webHidden/>
              </w:rPr>
              <w:fldChar w:fldCharType="begin"/>
            </w:r>
            <w:r w:rsidR="00A03C1B">
              <w:rPr>
                <w:noProof/>
                <w:webHidden/>
              </w:rPr>
              <w:instrText xml:space="preserve"> PAGEREF _Toc79957408 \h </w:instrText>
            </w:r>
            <w:r w:rsidR="00A03C1B">
              <w:rPr>
                <w:noProof/>
                <w:webHidden/>
              </w:rPr>
            </w:r>
            <w:r w:rsidR="00A03C1B">
              <w:rPr>
                <w:noProof/>
                <w:webHidden/>
              </w:rPr>
              <w:fldChar w:fldCharType="separate"/>
            </w:r>
            <w:r w:rsidR="007374DF">
              <w:rPr>
                <w:noProof/>
                <w:webHidden/>
              </w:rPr>
              <w:t>3</w:t>
            </w:r>
            <w:r w:rsidR="00A03C1B">
              <w:rPr>
                <w:noProof/>
                <w:webHidden/>
              </w:rPr>
              <w:fldChar w:fldCharType="end"/>
            </w:r>
          </w:hyperlink>
        </w:p>
        <w:p w14:paraId="64C76238" w14:textId="43BC22AA" w:rsidR="00A03C1B" w:rsidRDefault="002C018B">
          <w:pPr>
            <w:pStyle w:val="Inhopg1"/>
            <w:tabs>
              <w:tab w:val="right" w:pos="9062"/>
            </w:tabs>
            <w:rPr>
              <w:rFonts w:eastAsiaTheme="minorEastAsia"/>
              <w:b w:val="0"/>
              <w:bCs w:val="0"/>
              <w:noProof/>
              <w:sz w:val="22"/>
              <w:szCs w:val="22"/>
              <w:lang w:val="en-GB" w:eastAsia="en-GB"/>
            </w:rPr>
          </w:pPr>
          <w:hyperlink w:anchor="_Toc79957409" w:history="1">
            <w:r w:rsidR="00A03C1B" w:rsidRPr="001D391D">
              <w:rPr>
                <w:rStyle w:val="Hyperlink"/>
                <w:noProof/>
              </w:rPr>
              <w:t>Non-linear TWAS models</w:t>
            </w:r>
            <w:r w:rsidR="00A03C1B">
              <w:rPr>
                <w:noProof/>
                <w:webHidden/>
              </w:rPr>
              <w:tab/>
            </w:r>
            <w:r w:rsidR="00A03C1B">
              <w:rPr>
                <w:noProof/>
                <w:webHidden/>
              </w:rPr>
              <w:fldChar w:fldCharType="begin"/>
            </w:r>
            <w:r w:rsidR="00A03C1B">
              <w:rPr>
                <w:noProof/>
                <w:webHidden/>
              </w:rPr>
              <w:instrText xml:space="preserve"> PAGEREF _Toc79957409 \h </w:instrText>
            </w:r>
            <w:r w:rsidR="00A03C1B">
              <w:rPr>
                <w:noProof/>
                <w:webHidden/>
              </w:rPr>
            </w:r>
            <w:r w:rsidR="00A03C1B">
              <w:rPr>
                <w:noProof/>
                <w:webHidden/>
              </w:rPr>
              <w:fldChar w:fldCharType="separate"/>
            </w:r>
            <w:r w:rsidR="007374DF">
              <w:rPr>
                <w:noProof/>
                <w:webHidden/>
              </w:rPr>
              <w:t>4</w:t>
            </w:r>
            <w:r w:rsidR="00A03C1B">
              <w:rPr>
                <w:noProof/>
                <w:webHidden/>
              </w:rPr>
              <w:fldChar w:fldCharType="end"/>
            </w:r>
          </w:hyperlink>
        </w:p>
        <w:p w14:paraId="500FDA35" w14:textId="1AC268CB" w:rsidR="00A03C1B" w:rsidRDefault="002C018B">
          <w:pPr>
            <w:pStyle w:val="Inhopg1"/>
            <w:tabs>
              <w:tab w:val="right" w:pos="9062"/>
            </w:tabs>
            <w:rPr>
              <w:rFonts w:eastAsiaTheme="minorEastAsia"/>
              <w:b w:val="0"/>
              <w:bCs w:val="0"/>
              <w:noProof/>
              <w:sz w:val="22"/>
              <w:szCs w:val="22"/>
              <w:lang w:val="en-GB" w:eastAsia="en-GB"/>
            </w:rPr>
          </w:pPr>
          <w:hyperlink w:anchor="_Toc79957410" w:history="1">
            <w:r w:rsidR="00A03C1B" w:rsidRPr="001D391D">
              <w:rPr>
                <w:rStyle w:val="Hyperlink"/>
                <w:noProof/>
              </w:rPr>
              <w:t>Comparison with CoMM</w:t>
            </w:r>
            <w:r w:rsidR="00A03C1B">
              <w:rPr>
                <w:noProof/>
                <w:webHidden/>
              </w:rPr>
              <w:tab/>
            </w:r>
            <w:r w:rsidR="00A03C1B">
              <w:rPr>
                <w:noProof/>
                <w:webHidden/>
              </w:rPr>
              <w:fldChar w:fldCharType="begin"/>
            </w:r>
            <w:r w:rsidR="00A03C1B">
              <w:rPr>
                <w:noProof/>
                <w:webHidden/>
              </w:rPr>
              <w:instrText xml:space="preserve"> PAGEREF _Toc79957410 \h </w:instrText>
            </w:r>
            <w:r w:rsidR="00A03C1B">
              <w:rPr>
                <w:noProof/>
                <w:webHidden/>
              </w:rPr>
            </w:r>
            <w:r w:rsidR="00A03C1B">
              <w:rPr>
                <w:noProof/>
                <w:webHidden/>
              </w:rPr>
              <w:fldChar w:fldCharType="separate"/>
            </w:r>
            <w:r w:rsidR="007374DF">
              <w:rPr>
                <w:noProof/>
                <w:webHidden/>
              </w:rPr>
              <w:t>4</w:t>
            </w:r>
            <w:r w:rsidR="00A03C1B">
              <w:rPr>
                <w:noProof/>
                <w:webHidden/>
              </w:rPr>
              <w:fldChar w:fldCharType="end"/>
            </w:r>
          </w:hyperlink>
        </w:p>
        <w:p w14:paraId="0B32F142" w14:textId="03F5CE2A" w:rsidR="00A03C1B" w:rsidRDefault="002C018B">
          <w:pPr>
            <w:pStyle w:val="Inhopg1"/>
            <w:tabs>
              <w:tab w:val="right" w:pos="9062"/>
            </w:tabs>
            <w:rPr>
              <w:rFonts w:eastAsiaTheme="minorEastAsia"/>
              <w:b w:val="0"/>
              <w:bCs w:val="0"/>
              <w:noProof/>
              <w:sz w:val="22"/>
              <w:szCs w:val="22"/>
              <w:lang w:val="en-GB" w:eastAsia="en-GB"/>
            </w:rPr>
          </w:pPr>
          <w:hyperlink w:anchor="_Toc79957411" w:history="1">
            <w:r w:rsidR="00A03C1B" w:rsidRPr="001D391D">
              <w:rPr>
                <w:rStyle w:val="Hyperlink"/>
                <w:noProof/>
              </w:rPr>
              <w:t>Simulation results</w:t>
            </w:r>
            <w:r w:rsidR="00A03C1B">
              <w:rPr>
                <w:noProof/>
                <w:webHidden/>
              </w:rPr>
              <w:tab/>
            </w:r>
            <w:r w:rsidR="00A03C1B">
              <w:rPr>
                <w:noProof/>
                <w:webHidden/>
              </w:rPr>
              <w:fldChar w:fldCharType="begin"/>
            </w:r>
            <w:r w:rsidR="00A03C1B">
              <w:rPr>
                <w:noProof/>
                <w:webHidden/>
              </w:rPr>
              <w:instrText xml:space="preserve"> PAGEREF _Toc79957411 \h </w:instrText>
            </w:r>
            <w:r w:rsidR="00A03C1B">
              <w:rPr>
                <w:noProof/>
                <w:webHidden/>
              </w:rPr>
            </w:r>
            <w:r w:rsidR="00A03C1B">
              <w:rPr>
                <w:noProof/>
                <w:webHidden/>
              </w:rPr>
              <w:fldChar w:fldCharType="separate"/>
            </w:r>
            <w:r w:rsidR="007374DF">
              <w:rPr>
                <w:noProof/>
                <w:webHidden/>
              </w:rPr>
              <w:t>5</w:t>
            </w:r>
            <w:r w:rsidR="00A03C1B">
              <w:rPr>
                <w:noProof/>
                <w:webHidden/>
              </w:rPr>
              <w:fldChar w:fldCharType="end"/>
            </w:r>
          </w:hyperlink>
        </w:p>
        <w:p w14:paraId="3C5E27D3" w14:textId="0A145F42" w:rsidR="00A03C1B" w:rsidRDefault="002C018B">
          <w:pPr>
            <w:pStyle w:val="Inhopg1"/>
            <w:tabs>
              <w:tab w:val="right" w:pos="9062"/>
            </w:tabs>
            <w:rPr>
              <w:rFonts w:eastAsiaTheme="minorEastAsia"/>
              <w:b w:val="0"/>
              <w:bCs w:val="0"/>
              <w:noProof/>
              <w:sz w:val="22"/>
              <w:szCs w:val="22"/>
              <w:lang w:val="en-GB" w:eastAsia="en-GB"/>
            </w:rPr>
          </w:pPr>
          <w:hyperlink w:anchor="_Toc79957412" w:history="1">
            <w:r w:rsidR="00A03C1B" w:rsidRPr="001D391D">
              <w:rPr>
                <w:rStyle w:val="Hyperlink"/>
                <w:noProof/>
              </w:rPr>
              <w:t>Supplemental figures</w:t>
            </w:r>
            <w:r w:rsidR="00A03C1B">
              <w:rPr>
                <w:noProof/>
                <w:webHidden/>
              </w:rPr>
              <w:tab/>
            </w:r>
            <w:r w:rsidR="00A03C1B">
              <w:rPr>
                <w:noProof/>
                <w:webHidden/>
              </w:rPr>
              <w:fldChar w:fldCharType="begin"/>
            </w:r>
            <w:r w:rsidR="00A03C1B">
              <w:rPr>
                <w:noProof/>
                <w:webHidden/>
              </w:rPr>
              <w:instrText xml:space="preserve"> PAGEREF _Toc79957412 \h </w:instrText>
            </w:r>
            <w:r w:rsidR="00A03C1B">
              <w:rPr>
                <w:noProof/>
                <w:webHidden/>
              </w:rPr>
            </w:r>
            <w:r w:rsidR="00A03C1B">
              <w:rPr>
                <w:noProof/>
                <w:webHidden/>
              </w:rPr>
              <w:fldChar w:fldCharType="separate"/>
            </w:r>
            <w:r w:rsidR="007374DF">
              <w:rPr>
                <w:noProof/>
                <w:webHidden/>
              </w:rPr>
              <w:t>8</w:t>
            </w:r>
            <w:r w:rsidR="00A03C1B">
              <w:rPr>
                <w:noProof/>
                <w:webHidden/>
              </w:rPr>
              <w:fldChar w:fldCharType="end"/>
            </w:r>
          </w:hyperlink>
        </w:p>
        <w:p w14:paraId="032AA1FF" w14:textId="2054D788" w:rsidR="00A03C1B" w:rsidRDefault="002C018B">
          <w:pPr>
            <w:pStyle w:val="Inhopg2"/>
            <w:tabs>
              <w:tab w:val="right" w:pos="9062"/>
            </w:tabs>
            <w:rPr>
              <w:rFonts w:eastAsiaTheme="minorEastAsia"/>
              <w:i w:val="0"/>
              <w:iCs w:val="0"/>
              <w:noProof/>
              <w:sz w:val="22"/>
              <w:szCs w:val="22"/>
              <w:lang w:val="en-GB" w:eastAsia="en-GB"/>
            </w:rPr>
          </w:pPr>
          <w:hyperlink w:anchor="_Toc79957413" w:history="1">
            <w:r w:rsidR="00A03C1B" w:rsidRPr="001D391D">
              <w:rPr>
                <w:rStyle w:val="Hyperlink"/>
                <w:noProof/>
              </w:rPr>
              <w:t>Supplemental Figure 1. Primary simulation type 1 error results, evaluated under a null of no genetic covariance</w:t>
            </w:r>
            <w:r w:rsidR="00A03C1B">
              <w:rPr>
                <w:noProof/>
                <w:webHidden/>
              </w:rPr>
              <w:tab/>
            </w:r>
            <w:r w:rsidR="00A03C1B">
              <w:rPr>
                <w:noProof/>
                <w:webHidden/>
              </w:rPr>
              <w:fldChar w:fldCharType="begin"/>
            </w:r>
            <w:r w:rsidR="00A03C1B">
              <w:rPr>
                <w:noProof/>
                <w:webHidden/>
              </w:rPr>
              <w:instrText xml:space="preserve"> PAGEREF _Toc79957413 \h </w:instrText>
            </w:r>
            <w:r w:rsidR="00A03C1B">
              <w:rPr>
                <w:noProof/>
                <w:webHidden/>
              </w:rPr>
            </w:r>
            <w:r w:rsidR="00A03C1B">
              <w:rPr>
                <w:noProof/>
                <w:webHidden/>
              </w:rPr>
              <w:fldChar w:fldCharType="separate"/>
            </w:r>
            <w:r w:rsidR="007374DF">
              <w:rPr>
                <w:noProof/>
                <w:webHidden/>
              </w:rPr>
              <w:t>8</w:t>
            </w:r>
            <w:r w:rsidR="00A03C1B">
              <w:rPr>
                <w:noProof/>
                <w:webHidden/>
              </w:rPr>
              <w:fldChar w:fldCharType="end"/>
            </w:r>
          </w:hyperlink>
        </w:p>
        <w:p w14:paraId="15956D09" w14:textId="51907416" w:rsidR="00A03C1B" w:rsidRDefault="002C018B">
          <w:pPr>
            <w:pStyle w:val="Inhopg2"/>
            <w:tabs>
              <w:tab w:val="right" w:pos="9062"/>
            </w:tabs>
            <w:rPr>
              <w:rFonts w:eastAsiaTheme="minorEastAsia"/>
              <w:i w:val="0"/>
              <w:iCs w:val="0"/>
              <w:noProof/>
              <w:sz w:val="22"/>
              <w:szCs w:val="22"/>
              <w:lang w:val="en-GB" w:eastAsia="en-GB"/>
            </w:rPr>
          </w:pPr>
          <w:hyperlink w:anchor="_Toc79957414" w:history="1">
            <w:r w:rsidR="00A03C1B" w:rsidRPr="001D391D">
              <w:rPr>
                <w:rStyle w:val="Hyperlink"/>
                <w:noProof/>
              </w:rPr>
              <w:t>Supplemental Figure 2. Primary simulation type 1 error results for CoMM.</w:t>
            </w:r>
            <w:r w:rsidR="00A03C1B">
              <w:rPr>
                <w:noProof/>
                <w:webHidden/>
              </w:rPr>
              <w:tab/>
            </w:r>
            <w:r w:rsidR="00A03C1B">
              <w:rPr>
                <w:noProof/>
                <w:webHidden/>
              </w:rPr>
              <w:fldChar w:fldCharType="begin"/>
            </w:r>
            <w:r w:rsidR="00A03C1B">
              <w:rPr>
                <w:noProof/>
                <w:webHidden/>
              </w:rPr>
              <w:instrText xml:space="preserve"> PAGEREF _Toc79957414 \h </w:instrText>
            </w:r>
            <w:r w:rsidR="00A03C1B">
              <w:rPr>
                <w:noProof/>
                <w:webHidden/>
              </w:rPr>
            </w:r>
            <w:r w:rsidR="00A03C1B">
              <w:rPr>
                <w:noProof/>
                <w:webHidden/>
              </w:rPr>
              <w:fldChar w:fldCharType="separate"/>
            </w:r>
            <w:r w:rsidR="007374DF">
              <w:rPr>
                <w:noProof/>
                <w:webHidden/>
              </w:rPr>
              <w:t>9</w:t>
            </w:r>
            <w:r w:rsidR="00A03C1B">
              <w:rPr>
                <w:noProof/>
                <w:webHidden/>
              </w:rPr>
              <w:fldChar w:fldCharType="end"/>
            </w:r>
          </w:hyperlink>
        </w:p>
        <w:p w14:paraId="2084AAFF" w14:textId="12CDB416" w:rsidR="00A03C1B" w:rsidRDefault="002C018B">
          <w:pPr>
            <w:pStyle w:val="Inhopg2"/>
            <w:tabs>
              <w:tab w:val="right" w:pos="9062"/>
            </w:tabs>
            <w:rPr>
              <w:rFonts w:eastAsiaTheme="minorEastAsia"/>
              <w:i w:val="0"/>
              <w:iCs w:val="0"/>
              <w:noProof/>
              <w:sz w:val="22"/>
              <w:szCs w:val="22"/>
              <w:lang w:val="en-GB" w:eastAsia="en-GB"/>
            </w:rPr>
          </w:pPr>
          <w:hyperlink w:anchor="_Toc79957415" w:history="1">
            <w:r w:rsidR="00A03C1B" w:rsidRPr="001D391D">
              <w:rPr>
                <w:rStyle w:val="Hyperlink"/>
                <w:noProof/>
              </w:rPr>
              <w:t>Supplemental Figure 3. Results for empirical type 1 error rate simulations for BMI.</w:t>
            </w:r>
            <w:r w:rsidR="00A03C1B">
              <w:rPr>
                <w:noProof/>
                <w:webHidden/>
              </w:rPr>
              <w:tab/>
            </w:r>
            <w:r w:rsidR="00A03C1B">
              <w:rPr>
                <w:noProof/>
                <w:webHidden/>
              </w:rPr>
              <w:fldChar w:fldCharType="begin"/>
            </w:r>
            <w:r w:rsidR="00A03C1B">
              <w:rPr>
                <w:noProof/>
                <w:webHidden/>
              </w:rPr>
              <w:instrText xml:space="preserve"> PAGEREF _Toc79957415 \h </w:instrText>
            </w:r>
            <w:r w:rsidR="00A03C1B">
              <w:rPr>
                <w:noProof/>
                <w:webHidden/>
              </w:rPr>
            </w:r>
            <w:r w:rsidR="00A03C1B">
              <w:rPr>
                <w:noProof/>
                <w:webHidden/>
              </w:rPr>
              <w:fldChar w:fldCharType="separate"/>
            </w:r>
            <w:r w:rsidR="007374DF">
              <w:rPr>
                <w:noProof/>
                <w:webHidden/>
              </w:rPr>
              <w:t>10</w:t>
            </w:r>
            <w:r w:rsidR="00A03C1B">
              <w:rPr>
                <w:noProof/>
                <w:webHidden/>
              </w:rPr>
              <w:fldChar w:fldCharType="end"/>
            </w:r>
          </w:hyperlink>
        </w:p>
        <w:p w14:paraId="1CA0B003" w14:textId="3F67EAA9" w:rsidR="00A03C1B" w:rsidRDefault="002C018B">
          <w:pPr>
            <w:pStyle w:val="Inhopg1"/>
            <w:tabs>
              <w:tab w:val="right" w:pos="9062"/>
            </w:tabs>
            <w:rPr>
              <w:rFonts w:eastAsiaTheme="minorEastAsia"/>
              <w:b w:val="0"/>
              <w:bCs w:val="0"/>
              <w:noProof/>
              <w:sz w:val="22"/>
              <w:szCs w:val="22"/>
              <w:lang w:val="en-GB" w:eastAsia="en-GB"/>
            </w:rPr>
          </w:pPr>
          <w:hyperlink w:anchor="_Toc79957416" w:history="1">
            <w:r w:rsidR="00A03C1B" w:rsidRPr="001D391D">
              <w:rPr>
                <w:rStyle w:val="Hyperlink"/>
                <w:noProof/>
              </w:rPr>
              <w:t>Supplemental tables</w:t>
            </w:r>
            <w:r w:rsidR="00A03C1B">
              <w:rPr>
                <w:noProof/>
                <w:webHidden/>
              </w:rPr>
              <w:tab/>
            </w:r>
            <w:r w:rsidR="00A03C1B">
              <w:rPr>
                <w:noProof/>
                <w:webHidden/>
              </w:rPr>
              <w:fldChar w:fldCharType="begin"/>
            </w:r>
            <w:r w:rsidR="00A03C1B">
              <w:rPr>
                <w:noProof/>
                <w:webHidden/>
              </w:rPr>
              <w:instrText xml:space="preserve"> PAGEREF _Toc79957416 \h </w:instrText>
            </w:r>
            <w:r w:rsidR="00A03C1B">
              <w:rPr>
                <w:noProof/>
                <w:webHidden/>
              </w:rPr>
            </w:r>
            <w:r w:rsidR="00A03C1B">
              <w:rPr>
                <w:noProof/>
                <w:webHidden/>
              </w:rPr>
              <w:fldChar w:fldCharType="separate"/>
            </w:r>
            <w:r w:rsidR="007374DF">
              <w:rPr>
                <w:noProof/>
                <w:webHidden/>
              </w:rPr>
              <w:t>11</w:t>
            </w:r>
            <w:r w:rsidR="00A03C1B">
              <w:rPr>
                <w:noProof/>
                <w:webHidden/>
              </w:rPr>
              <w:fldChar w:fldCharType="end"/>
            </w:r>
          </w:hyperlink>
        </w:p>
        <w:p w14:paraId="5B8D1F7B" w14:textId="375CF518" w:rsidR="00A03C1B" w:rsidRDefault="002C018B">
          <w:pPr>
            <w:pStyle w:val="Inhopg2"/>
            <w:tabs>
              <w:tab w:val="right" w:pos="9062"/>
            </w:tabs>
            <w:rPr>
              <w:rFonts w:eastAsiaTheme="minorEastAsia"/>
              <w:i w:val="0"/>
              <w:iCs w:val="0"/>
              <w:noProof/>
              <w:sz w:val="22"/>
              <w:szCs w:val="22"/>
              <w:lang w:val="en-GB" w:eastAsia="en-GB"/>
            </w:rPr>
          </w:pPr>
          <w:hyperlink w:anchor="_Toc79957417" w:history="1">
            <w:r w:rsidR="00A03C1B" w:rsidRPr="001D391D">
              <w:rPr>
                <w:rStyle w:val="Hyperlink"/>
                <w:noProof/>
              </w:rPr>
              <w:t>Supplemental Table 1. Comparison of results for main TWAS analysis with TWAS on gene-tissue pairs with no detectable eQTL signal.</w:t>
            </w:r>
            <w:r w:rsidR="00A03C1B">
              <w:rPr>
                <w:noProof/>
                <w:webHidden/>
              </w:rPr>
              <w:tab/>
            </w:r>
            <w:r w:rsidR="00A03C1B">
              <w:rPr>
                <w:noProof/>
                <w:webHidden/>
              </w:rPr>
              <w:fldChar w:fldCharType="begin"/>
            </w:r>
            <w:r w:rsidR="00A03C1B">
              <w:rPr>
                <w:noProof/>
                <w:webHidden/>
              </w:rPr>
              <w:instrText xml:space="preserve"> PAGEREF _Toc79957417 \h </w:instrText>
            </w:r>
            <w:r w:rsidR="00A03C1B">
              <w:rPr>
                <w:noProof/>
                <w:webHidden/>
              </w:rPr>
            </w:r>
            <w:r w:rsidR="00A03C1B">
              <w:rPr>
                <w:noProof/>
                <w:webHidden/>
              </w:rPr>
              <w:fldChar w:fldCharType="separate"/>
            </w:r>
            <w:r w:rsidR="007374DF">
              <w:rPr>
                <w:noProof/>
                <w:webHidden/>
              </w:rPr>
              <w:t>11</w:t>
            </w:r>
            <w:r w:rsidR="00A03C1B">
              <w:rPr>
                <w:noProof/>
                <w:webHidden/>
              </w:rPr>
              <w:fldChar w:fldCharType="end"/>
            </w:r>
          </w:hyperlink>
        </w:p>
        <w:p w14:paraId="4FFD9AF5" w14:textId="41C5EA93" w:rsidR="00A03C1B" w:rsidRDefault="002C018B">
          <w:pPr>
            <w:pStyle w:val="Inhopg2"/>
            <w:tabs>
              <w:tab w:val="right" w:pos="9062"/>
            </w:tabs>
            <w:rPr>
              <w:rFonts w:eastAsiaTheme="minorEastAsia"/>
              <w:i w:val="0"/>
              <w:iCs w:val="0"/>
              <w:noProof/>
              <w:sz w:val="22"/>
              <w:szCs w:val="22"/>
              <w:lang w:val="en-GB" w:eastAsia="en-GB"/>
            </w:rPr>
          </w:pPr>
          <w:hyperlink w:anchor="_Toc79957418" w:history="1">
            <w:r w:rsidR="00A03C1B" w:rsidRPr="001D391D">
              <w:rPr>
                <w:rStyle w:val="Hyperlink"/>
                <w:noProof/>
              </w:rPr>
              <w:t>Supplemental Table 2. Estimated type 1 error rate inflation for gene ENSG00000277639 in analysis of BMI</w:t>
            </w:r>
            <w:r w:rsidR="00A03C1B">
              <w:rPr>
                <w:noProof/>
                <w:webHidden/>
              </w:rPr>
              <w:tab/>
            </w:r>
            <w:r w:rsidR="00A03C1B">
              <w:rPr>
                <w:noProof/>
                <w:webHidden/>
              </w:rPr>
              <w:fldChar w:fldCharType="begin"/>
            </w:r>
            <w:r w:rsidR="00A03C1B">
              <w:rPr>
                <w:noProof/>
                <w:webHidden/>
              </w:rPr>
              <w:instrText xml:space="preserve"> PAGEREF _Toc79957418 \h </w:instrText>
            </w:r>
            <w:r w:rsidR="00A03C1B">
              <w:rPr>
                <w:noProof/>
                <w:webHidden/>
              </w:rPr>
            </w:r>
            <w:r w:rsidR="00A03C1B">
              <w:rPr>
                <w:noProof/>
                <w:webHidden/>
              </w:rPr>
              <w:fldChar w:fldCharType="separate"/>
            </w:r>
            <w:r w:rsidR="007374DF">
              <w:rPr>
                <w:noProof/>
                <w:webHidden/>
              </w:rPr>
              <w:t>11</w:t>
            </w:r>
            <w:r w:rsidR="00A03C1B">
              <w:rPr>
                <w:noProof/>
                <w:webHidden/>
              </w:rPr>
              <w:fldChar w:fldCharType="end"/>
            </w:r>
          </w:hyperlink>
        </w:p>
        <w:p w14:paraId="4F2E8AB6" w14:textId="7B741D05" w:rsidR="00A03C1B" w:rsidRDefault="002C018B">
          <w:pPr>
            <w:pStyle w:val="Inhopg2"/>
            <w:tabs>
              <w:tab w:val="right" w:pos="9062"/>
            </w:tabs>
            <w:rPr>
              <w:rFonts w:eastAsiaTheme="minorEastAsia"/>
              <w:i w:val="0"/>
              <w:iCs w:val="0"/>
              <w:noProof/>
              <w:sz w:val="22"/>
              <w:szCs w:val="22"/>
              <w:lang w:val="en-GB" w:eastAsia="en-GB"/>
            </w:rPr>
          </w:pPr>
          <w:hyperlink w:anchor="_Toc79957419" w:history="1">
            <w:r w:rsidR="00A03C1B" w:rsidRPr="001D391D">
              <w:rPr>
                <w:rStyle w:val="Hyperlink"/>
                <w:noProof/>
              </w:rPr>
              <w:t>Supplemental Table 3. Level of association and effect size in local genetic correlation analysis.</w:t>
            </w:r>
            <w:r w:rsidR="00A03C1B">
              <w:rPr>
                <w:noProof/>
                <w:webHidden/>
              </w:rPr>
              <w:tab/>
            </w:r>
            <w:r w:rsidR="00A03C1B">
              <w:rPr>
                <w:noProof/>
                <w:webHidden/>
              </w:rPr>
              <w:fldChar w:fldCharType="begin"/>
            </w:r>
            <w:r w:rsidR="00A03C1B">
              <w:rPr>
                <w:noProof/>
                <w:webHidden/>
              </w:rPr>
              <w:instrText xml:space="preserve"> PAGEREF _Toc79957419 \h </w:instrText>
            </w:r>
            <w:r w:rsidR="00A03C1B">
              <w:rPr>
                <w:noProof/>
                <w:webHidden/>
              </w:rPr>
            </w:r>
            <w:r w:rsidR="00A03C1B">
              <w:rPr>
                <w:noProof/>
                <w:webHidden/>
              </w:rPr>
              <w:fldChar w:fldCharType="separate"/>
            </w:r>
            <w:r w:rsidR="007374DF">
              <w:rPr>
                <w:noProof/>
                <w:webHidden/>
              </w:rPr>
              <w:t>11</w:t>
            </w:r>
            <w:r w:rsidR="00A03C1B">
              <w:rPr>
                <w:noProof/>
                <w:webHidden/>
              </w:rPr>
              <w:fldChar w:fldCharType="end"/>
            </w:r>
          </w:hyperlink>
        </w:p>
        <w:p w14:paraId="478C3C90" w14:textId="45004C7A" w:rsidR="00A03C1B" w:rsidRDefault="002C018B">
          <w:pPr>
            <w:pStyle w:val="Inhopg1"/>
            <w:tabs>
              <w:tab w:val="right" w:pos="9062"/>
            </w:tabs>
            <w:rPr>
              <w:rFonts w:eastAsiaTheme="minorEastAsia"/>
              <w:b w:val="0"/>
              <w:bCs w:val="0"/>
              <w:noProof/>
              <w:sz w:val="22"/>
              <w:szCs w:val="22"/>
              <w:lang w:val="en-GB" w:eastAsia="en-GB"/>
            </w:rPr>
          </w:pPr>
          <w:hyperlink w:anchor="_Toc79957420" w:history="1">
            <w:r w:rsidR="00A03C1B" w:rsidRPr="001D391D">
              <w:rPr>
                <w:rStyle w:val="Hyperlink"/>
                <w:noProof/>
              </w:rPr>
              <w:t>Supplemental references</w:t>
            </w:r>
            <w:r w:rsidR="00A03C1B">
              <w:rPr>
                <w:noProof/>
                <w:webHidden/>
              </w:rPr>
              <w:tab/>
            </w:r>
            <w:r w:rsidR="00A03C1B">
              <w:rPr>
                <w:noProof/>
                <w:webHidden/>
              </w:rPr>
              <w:fldChar w:fldCharType="begin"/>
            </w:r>
            <w:r w:rsidR="00A03C1B">
              <w:rPr>
                <w:noProof/>
                <w:webHidden/>
              </w:rPr>
              <w:instrText xml:space="preserve"> PAGEREF _Toc79957420 \h </w:instrText>
            </w:r>
            <w:r w:rsidR="00A03C1B">
              <w:rPr>
                <w:noProof/>
                <w:webHidden/>
              </w:rPr>
            </w:r>
            <w:r w:rsidR="00A03C1B">
              <w:rPr>
                <w:noProof/>
                <w:webHidden/>
              </w:rPr>
              <w:fldChar w:fldCharType="separate"/>
            </w:r>
            <w:r w:rsidR="007374DF">
              <w:rPr>
                <w:noProof/>
                <w:webHidden/>
              </w:rPr>
              <w:t>12</w:t>
            </w:r>
            <w:r w:rsidR="00A03C1B">
              <w:rPr>
                <w:noProof/>
                <w:webHidden/>
              </w:rPr>
              <w:fldChar w:fldCharType="end"/>
            </w:r>
          </w:hyperlink>
        </w:p>
        <w:p w14:paraId="09CFCD14" w14:textId="69FC2EFC" w:rsidR="005F4AC9" w:rsidRDefault="005F4AC9">
          <w:r>
            <w:rPr>
              <w:b/>
              <w:bCs/>
            </w:rPr>
            <w:fldChar w:fldCharType="end"/>
          </w:r>
        </w:p>
      </w:sdtContent>
    </w:sdt>
    <w:p w14:paraId="69CD5982" w14:textId="77777777" w:rsidR="0052004F" w:rsidRDefault="0052004F">
      <w:pPr>
        <w:rPr>
          <w:highlight w:val="yellow"/>
          <w:lang w:val="en-GB"/>
        </w:rPr>
      </w:pPr>
    </w:p>
    <w:p w14:paraId="59F3F676" w14:textId="43345F38" w:rsidR="0052004F" w:rsidRDefault="0052004F">
      <w:pPr>
        <w:rPr>
          <w:highlight w:val="yellow"/>
          <w:lang w:val="en-GB"/>
        </w:rPr>
      </w:pPr>
    </w:p>
    <w:p w14:paraId="4B35B9B1" w14:textId="672186AD" w:rsidR="0052004F" w:rsidRDefault="0052004F">
      <w:pPr>
        <w:rPr>
          <w:highlight w:val="yellow"/>
          <w:lang w:val="en-GB"/>
        </w:rPr>
      </w:pPr>
    </w:p>
    <w:p w14:paraId="0C3890B7" w14:textId="7114653D" w:rsidR="0052004F" w:rsidRDefault="0052004F">
      <w:pPr>
        <w:rPr>
          <w:highlight w:val="yellow"/>
          <w:lang w:val="en-GB"/>
        </w:rPr>
      </w:pPr>
    </w:p>
    <w:p w14:paraId="367CCE2C" w14:textId="6CFE2EF2" w:rsidR="0052004F" w:rsidRDefault="0052004F">
      <w:pPr>
        <w:rPr>
          <w:highlight w:val="yellow"/>
          <w:lang w:val="en-GB"/>
        </w:rPr>
      </w:pPr>
    </w:p>
    <w:p w14:paraId="64FCCE50" w14:textId="77777777" w:rsidR="00926290" w:rsidRDefault="00926290">
      <w:pPr>
        <w:rPr>
          <w:highlight w:val="yellow"/>
          <w:lang w:val="en-GB"/>
        </w:rPr>
      </w:pPr>
    </w:p>
    <w:p w14:paraId="48022F40" w14:textId="77777777" w:rsidR="00926290" w:rsidRDefault="00926290">
      <w:pPr>
        <w:rPr>
          <w:highlight w:val="yellow"/>
          <w:lang w:val="en-GB"/>
        </w:rPr>
      </w:pPr>
    </w:p>
    <w:p w14:paraId="7F02710A" w14:textId="77777777" w:rsidR="00926290" w:rsidRDefault="00926290">
      <w:pPr>
        <w:rPr>
          <w:highlight w:val="yellow"/>
          <w:lang w:val="en-GB"/>
        </w:rPr>
      </w:pPr>
      <w:r>
        <w:rPr>
          <w:highlight w:val="yellow"/>
          <w:lang w:val="en-GB"/>
        </w:rPr>
        <w:br w:type="page"/>
      </w:r>
    </w:p>
    <w:p w14:paraId="2E7717FC" w14:textId="77777777" w:rsidR="00926290" w:rsidRPr="00A2749F" w:rsidRDefault="00926290" w:rsidP="00926290">
      <w:pPr>
        <w:pStyle w:val="Kop1"/>
      </w:pPr>
      <w:bookmarkStart w:id="0" w:name="_Toc79957407"/>
      <w:r>
        <w:lastRenderedPageBreak/>
        <w:t>Mathematical structure of TWAS</w:t>
      </w:r>
      <w:bookmarkEnd w:id="0"/>
    </w:p>
    <w:p w14:paraId="5D9522F4" w14:textId="77777777" w:rsidR="00926290" w:rsidRDefault="00926290" w:rsidP="00926290">
      <w:pPr>
        <w:rPr>
          <w:lang w:val="en-GB"/>
        </w:rPr>
      </w:pPr>
    </w:p>
    <w:p w14:paraId="29DFF072" w14:textId="3246B4DC" w:rsidR="00926290" w:rsidRDefault="00926290" w:rsidP="00926290">
      <w:pPr>
        <w:rPr>
          <w:rFonts w:eastAsiaTheme="minorEastAsia"/>
          <w:lang w:val="en-GB"/>
        </w:rPr>
      </w:pPr>
      <w:r>
        <w:rPr>
          <w:lang w:val="en-GB"/>
        </w:rPr>
        <w:t xml:space="preserve">Given a specific genotype matrix </w:t>
      </w:r>
      <m:oMath>
        <m:r>
          <w:rPr>
            <w:rFonts w:ascii="Cambria Math" w:hAnsi="Cambria Math"/>
            <w:lang w:val="en-GB"/>
          </w:rPr>
          <m:t>X</m:t>
        </m:r>
      </m:oMath>
      <w:r>
        <w:rPr>
          <w:rFonts w:eastAsiaTheme="minorEastAsia"/>
          <w:lang w:val="en-GB"/>
        </w:rPr>
        <w:t xml:space="preserve">, we can partition the gene expression </w:t>
      </w:r>
      <m:oMath>
        <m:r>
          <w:rPr>
            <w:rFonts w:ascii="Cambria Math" w:eastAsiaTheme="minorEastAsia" w:hAnsi="Cambria Math"/>
            <w:lang w:val="en-GB"/>
          </w:rPr>
          <m:t xml:space="preserve">E </m:t>
        </m:r>
      </m:oMath>
      <w:r>
        <w:rPr>
          <w:rFonts w:eastAsiaTheme="minorEastAsia"/>
          <w:lang w:val="en-GB"/>
        </w:rPr>
        <w:t xml:space="preserve">and outcome phenotype </w:t>
      </w:r>
      <m:oMath>
        <m:r>
          <w:rPr>
            <w:rFonts w:ascii="Cambria Math" w:eastAsiaTheme="minorEastAsia" w:hAnsi="Cambria Math"/>
            <w:lang w:val="en-GB"/>
          </w:rPr>
          <m:t>Y</m:t>
        </m:r>
      </m:oMath>
      <w:r>
        <w:rPr>
          <w:rFonts w:eastAsiaTheme="minorEastAsia"/>
          <w:lang w:val="en-GB"/>
        </w:rPr>
        <w:t xml:space="preserve"> into a local genetic component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=X</m:t>
        </m:r>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E</m:t>
            </m:r>
          </m:sub>
        </m:sSub>
      </m:oMath>
      <w:r>
        <w:rPr>
          <w:rFonts w:eastAsiaTheme="minorEastAsia"/>
          <w:lang w:val="en-GB"/>
        </w:rPr>
        <w:t xml:space="preserve"> and a residual </w:t>
      </w:r>
      <m:oMath>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E</m:t>
            </m:r>
          </m:sub>
        </m:sSub>
      </m:oMath>
      <w:r>
        <w:rPr>
          <w:rFonts w:eastAsiaTheme="minorEastAsia"/>
          <w:lang w:val="en-GB"/>
        </w:rPr>
        <w:t xml:space="preserve"> such that </w:t>
      </w:r>
      <m:oMath>
        <m:r>
          <w:rPr>
            <w:rFonts w:ascii="Cambria Math" w:eastAsiaTheme="minorEastAsia" w:hAnsi="Cambria Math"/>
            <w:lang w:val="en-GB"/>
          </w:rPr>
          <m:t>E=</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E</m:t>
            </m:r>
          </m:sub>
        </m:sSub>
      </m:oMath>
      <w:r>
        <w:rPr>
          <w:rFonts w:eastAsiaTheme="minorEastAsia"/>
          <w:lang w:val="en-GB"/>
        </w:rPr>
        <w:t xml:space="preserve">, and equivalently </w:t>
      </w:r>
      <m:oMath>
        <m:r>
          <w:rPr>
            <w:rFonts w:ascii="Cambria Math" w:eastAsiaTheme="minorEastAsia" w:hAnsi="Cambria Math"/>
            <w:lang w:val="en-GB"/>
          </w:rPr>
          <m:t>Y=</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oMath>
      <w:r>
        <w:rPr>
          <w:rFonts w:eastAsiaTheme="minorEastAsia"/>
          <w:lang w:val="en-GB"/>
        </w:rPr>
        <w:t xml:space="preserve"> with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r>
          <w:rPr>
            <w:rFonts w:ascii="Cambria Math" w:eastAsiaTheme="minorEastAsia" w:hAnsi="Cambria Math"/>
            <w:lang w:val="en-GB"/>
          </w:rPr>
          <m:t>=X</m:t>
        </m:r>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r>
          <w:rPr>
            <w:rFonts w:ascii="Cambria Math" w:eastAsiaTheme="minorEastAsia" w:hAnsi="Cambria Math"/>
            <w:lang w:val="en-GB"/>
          </w:rPr>
          <m:t xml:space="preserve">, </m:t>
        </m:r>
      </m:oMath>
      <w:r>
        <w:rPr>
          <w:rFonts w:eastAsiaTheme="minorEastAsia"/>
          <w:lang w:val="en-GB"/>
        </w:rPr>
        <w:t xml:space="preserve">as per equations (1) and (3). These local genetic components reflect all the genetic association with </w:t>
      </w:r>
      <m:oMath>
        <m:r>
          <w:rPr>
            <w:rFonts w:ascii="Cambria Math" w:eastAsiaTheme="minorEastAsia" w:hAnsi="Cambria Math"/>
            <w:lang w:val="en-GB"/>
          </w:rPr>
          <m:t>E</m:t>
        </m:r>
      </m:oMath>
      <w:r>
        <w:rPr>
          <w:rFonts w:eastAsiaTheme="minorEastAsia"/>
          <w:lang w:val="en-GB"/>
        </w:rPr>
        <w:t xml:space="preserve"> and </w:t>
      </w:r>
      <m:oMath>
        <m:r>
          <w:rPr>
            <w:rFonts w:ascii="Cambria Math" w:eastAsiaTheme="minorEastAsia" w:hAnsi="Cambria Math"/>
            <w:lang w:val="en-GB"/>
          </w:rPr>
          <m:t>Y</m:t>
        </m:r>
      </m:oMath>
      <w:r>
        <w:rPr>
          <w:rFonts w:eastAsiaTheme="minorEastAsia"/>
          <w:lang w:val="en-GB"/>
        </w:rPr>
        <w:t xml:space="preserve"> that is (linearly) captured by the SNPs in </w:t>
      </w:r>
      <m:oMath>
        <m:r>
          <w:rPr>
            <w:rFonts w:ascii="Cambria Math" w:eastAsiaTheme="minorEastAsia" w:hAnsi="Cambria Math"/>
            <w:lang w:val="en-GB"/>
          </w:rPr>
          <m:t>X</m:t>
        </m:r>
      </m:oMath>
      <w:r>
        <w:rPr>
          <w:rFonts w:eastAsiaTheme="minorEastAsia"/>
          <w:lang w:val="en-GB"/>
        </w:rPr>
        <w:t xml:space="preserve">, either because they are causal themselves or are in LD with other SNPs that are. The </w:t>
      </w:r>
      <m:oMath>
        <m:r>
          <w:rPr>
            <w:rFonts w:ascii="Cambria Math" w:eastAsiaTheme="minorEastAsia" w:hAnsi="Cambria Math"/>
            <w:lang w:val="en-GB"/>
          </w:rPr>
          <m:t>ξ</m:t>
        </m:r>
      </m:oMath>
      <w:r>
        <w:rPr>
          <w:rFonts w:eastAsiaTheme="minorEastAsia"/>
          <w:lang w:val="en-GB"/>
        </w:rPr>
        <w:t xml:space="preserve"> terms are thus by definition independent of </w:t>
      </w:r>
      <m:oMath>
        <m:r>
          <w:rPr>
            <w:rFonts w:ascii="Cambria Math" w:eastAsiaTheme="minorEastAsia" w:hAnsi="Cambria Math"/>
            <w:lang w:val="en-GB"/>
          </w:rPr>
          <m:t>X</m:t>
        </m:r>
      </m:oMath>
      <w:r>
        <w:rPr>
          <w:rFonts w:eastAsiaTheme="minorEastAsia"/>
          <w:lang w:val="en-GB"/>
        </w:rPr>
        <w:t xml:space="preserve">. </w:t>
      </w:r>
    </w:p>
    <w:p w14:paraId="0F180D59" w14:textId="3DEC4670" w:rsidR="00926290" w:rsidRDefault="00926290" w:rsidP="00926290">
      <w:pPr>
        <w:rPr>
          <w:rFonts w:eastAsiaTheme="minorEastAsia"/>
          <w:lang w:val="en-GB"/>
        </w:rPr>
      </w:pPr>
      <w:r>
        <w:rPr>
          <w:rFonts w:eastAsiaTheme="minorEastAsia"/>
          <w:lang w:val="en-GB"/>
        </w:rPr>
        <w:tab/>
        <w:t xml:space="preserve">In the second stage of TWAS, the estimate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oMath>
      <w:r>
        <w:rPr>
          <w:rFonts w:eastAsiaTheme="minorEastAsia"/>
          <w:lang w:val="en-GB"/>
        </w:rPr>
        <w:t xml:space="preserve"> of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E</m:t>
            </m:r>
          </m:sub>
        </m:sSub>
      </m:oMath>
      <w:r>
        <w:rPr>
          <w:rFonts w:eastAsiaTheme="minorEastAsia"/>
          <w:lang w:val="en-GB"/>
        </w:rPr>
        <w:t xml:space="preserve"> obtained from the eQTL data is used to compute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Pr>
          <w:rFonts w:eastAsiaTheme="minorEastAsia"/>
          <w:lang w:val="en-GB"/>
        </w:rPr>
        <w:t xml:space="preserve">, ie. the estimated local genetic component of </w:t>
      </w:r>
      <m:oMath>
        <m:r>
          <w:rPr>
            <w:rFonts w:ascii="Cambria Math" w:eastAsiaTheme="minorEastAsia" w:hAnsi="Cambria Math"/>
            <w:lang w:val="en-GB"/>
          </w:rPr>
          <m:t>E</m:t>
        </m:r>
      </m:oMath>
      <w:r>
        <w:rPr>
          <w:rFonts w:eastAsiaTheme="minorEastAsia"/>
          <w:lang w:val="en-GB"/>
        </w:rPr>
        <w:t xml:space="preserve">, in the target GWAS sample. Under the assumption that both samples are drawn from the same population, this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Pr>
          <w:rFonts w:eastAsiaTheme="minorEastAsia"/>
          <w:lang w:val="en-GB"/>
        </w:rPr>
        <w:t xml:space="preserve"> constitutes an unbiased estimate of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oMath>
      <w:r>
        <w:rPr>
          <w:rFonts w:eastAsiaTheme="minorEastAsia"/>
          <w:lang w:val="en-GB"/>
        </w:rPr>
        <w:t xml:space="preserve"> for the individuals in this GWAS sample even though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oMath>
      <w:r>
        <w:rPr>
          <w:rFonts w:eastAsiaTheme="minorEastAsia"/>
          <w:lang w:val="en-GB"/>
        </w:rPr>
        <w:t xml:space="preserve"> was obtained from an external sample (provided that the estimation procedure used to obtain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oMath>
      <w:r>
        <w:rPr>
          <w:rFonts w:eastAsiaTheme="minorEastAsia"/>
          <w:lang w:val="en-GB"/>
        </w:rPr>
        <w:t xml:space="preserve"> guarantees an unbiased estimator of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oMath>
      <w:r>
        <w:rPr>
          <w:rFonts w:eastAsiaTheme="minorEastAsia"/>
          <w:lang w:val="en-GB"/>
        </w:rPr>
        <w:t xml:space="preserve"> to begin with). </w:t>
      </w:r>
    </w:p>
    <w:p w14:paraId="28C4D132" w14:textId="2BE37E7E" w:rsidR="00926290" w:rsidRPr="004427D0" w:rsidRDefault="00926290" w:rsidP="00926290">
      <w:pPr>
        <w:rPr>
          <w:lang w:val="en-GB"/>
        </w:rPr>
      </w:pPr>
      <w:r>
        <w:rPr>
          <w:rFonts w:eastAsiaTheme="minorEastAsia"/>
          <w:lang w:val="en-GB"/>
        </w:rPr>
        <w:tab/>
        <w:t xml:space="preserve">We can express this estimate as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oMath>
      <w:r>
        <w:rPr>
          <w:rFonts w:eastAsiaTheme="minorEastAsia"/>
          <w:lang w:val="en-GB"/>
        </w:rPr>
        <w:t xml:space="preserve">, with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oMath>
      <w:r>
        <w:rPr>
          <w:rFonts w:eastAsiaTheme="minorEastAsia"/>
          <w:lang w:val="en-GB"/>
        </w:rPr>
        <w:t xml:space="preserve"> reflecting the error of the estimate relative to its true value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oMath>
      <w:r>
        <w:rPr>
          <w:rFonts w:eastAsiaTheme="minorEastAsia"/>
          <w:lang w:val="en-GB"/>
        </w:rPr>
        <w:t xml:space="preserve">. This error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oMath>
      <w:r>
        <w:rPr>
          <w:rFonts w:eastAsiaTheme="minorEastAsia"/>
          <w:lang w:val="en-GB"/>
        </w:rPr>
        <w:t xml:space="preserve"> is dependent on the specific eQTL sample used, and drawing a new sample thus generates a new value of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oMath>
      <w:r>
        <w:rPr>
          <w:rFonts w:eastAsiaTheme="minorEastAsia"/>
          <w:lang w:val="en-GB"/>
        </w:rPr>
        <w:t xml:space="preserve">. The form of the sampling distribution of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oMath>
      <w:r>
        <w:rPr>
          <w:rFonts w:eastAsiaTheme="minorEastAsia"/>
          <w:lang w:val="en-GB"/>
        </w:rPr>
        <w:t xml:space="preserve">, and thus that of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Pr>
          <w:rFonts w:eastAsiaTheme="minorEastAsia"/>
          <w:lang w:val="en-GB"/>
        </w:rPr>
        <w:t xml:space="preserve"> given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oMath>
      <w:r w:rsidR="00A2749F">
        <w:rPr>
          <w:rFonts w:eastAsiaTheme="minorEastAsia"/>
          <w:lang w:val="en-GB"/>
        </w:rPr>
        <w:t>,</w:t>
      </w:r>
      <w:r>
        <w:rPr>
          <w:rFonts w:eastAsiaTheme="minorEastAsia"/>
          <w:lang w:val="en-GB"/>
        </w:rPr>
        <w:t xml:space="preserve"> depends on what estimation procedure </w:t>
      </w:r>
      <w:r w:rsidRPr="004427D0">
        <w:rPr>
          <w:rFonts w:eastAsiaTheme="minorEastAsia"/>
          <w:lang w:val="en-GB"/>
        </w:rPr>
        <w:t xml:space="preserve">is used to obtain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oMath>
      <w:r w:rsidRPr="004427D0">
        <w:rPr>
          <w:rFonts w:eastAsiaTheme="minorEastAsia"/>
          <w:lang w:val="en-GB"/>
        </w:rPr>
        <w:t>. In some cases it may not have an easily expressed parametric form, though when using</w:t>
      </w:r>
      <w:r>
        <w:rPr>
          <w:rFonts w:eastAsiaTheme="minorEastAsia"/>
          <w:lang w:val="en-GB"/>
        </w:rPr>
        <w:t>,</w:t>
      </w:r>
      <w:r w:rsidRPr="004427D0">
        <w:rPr>
          <w:rFonts w:eastAsiaTheme="minorEastAsia"/>
          <w:lang w:val="en-GB"/>
        </w:rPr>
        <w:t xml:space="preserve"> for example</w:t>
      </w:r>
      <w:r>
        <w:rPr>
          <w:rFonts w:eastAsiaTheme="minorEastAsia"/>
          <w:lang w:val="en-GB"/>
        </w:rPr>
        <w:t>,</w:t>
      </w:r>
      <w:r w:rsidRPr="004427D0">
        <w:rPr>
          <w:rFonts w:eastAsiaTheme="minorEastAsia"/>
          <w:lang w:val="en-GB"/>
        </w:rPr>
        <w:t xml:space="preserve"> singular value decomposition pruning</w:t>
      </w:r>
      <w:r>
        <w:rPr>
          <w:rFonts w:eastAsiaTheme="minorEastAsia"/>
          <w:lang w:val="en-GB"/>
        </w:rPr>
        <w:t>,</w:t>
      </w:r>
      <w:r w:rsidRPr="004427D0">
        <w:rPr>
          <w:rFonts w:eastAsiaTheme="minorEastAsia"/>
          <w:lang w:val="en-GB"/>
        </w:rPr>
        <w:t xml:space="preserve"> it is a multivariate normal distribution.</w:t>
      </w:r>
    </w:p>
    <w:p w14:paraId="219A380B" w14:textId="77777777" w:rsidR="00926290" w:rsidRPr="004427D0" w:rsidRDefault="00926290" w:rsidP="00926290">
      <w:pPr>
        <w:rPr>
          <w:rFonts w:eastAsiaTheme="minorEastAsia"/>
          <w:lang w:val="en-GB"/>
        </w:rPr>
      </w:pPr>
      <w:r w:rsidRPr="004427D0">
        <w:rPr>
          <w:rFonts w:eastAsiaTheme="minorEastAsia"/>
          <w:lang w:val="en-GB"/>
        </w:rPr>
        <w:tab/>
        <w:t xml:space="preserve">If we use linear regression to fit the model in equation (2), this specifies a conditional distribution </w:t>
      </w:r>
      <m:oMath>
        <m:r>
          <w:rPr>
            <w:rFonts w:ascii="Cambria Math" w:eastAsiaTheme="minorEastAsia" w:hAnsi="Cambria Math"/>
            <w:lang w:val="en-GB"/>
          </w:rPr>
          <m:t>p</m:t>
        </m:r>
        <m:d>
          <m:dPr>
            <m:ctrlPr>
              <w:rPr>
                <w:rFonts w:ascii="Cambria Math" w:eastAsiaTheme="minorEastAsia" w:hAnsi="Cambria Math"/>
                <w:i/>
                <w:lang w:val="en-GB"/>
              </w:rPr>
            </m:ctrlPr>
          </m:dPr>
          <m:e>
            <m:r>
              <w:rPr>
                <w:rFonts w:ascii="Cambria Math" w:eastAsiaTheme="minorEastAsia" w:hAnsi="Cambria Math"/>
                <w:lang w:val="en-GB"/>
              </w:rPr>
              <m:t>Y</m:t>
            </m:r>
          </m:e>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e>
        </m:d>
      </m:oMath>
      <w:r w:rsidRPr="004427D0">
        <w:rPr>
          <w:rFonts w:eastAsiaTheme="minorEastAsia"/>
          <w:lang w:val="en-GB"/>
        </w:rPr>
        <w:t xml:space="preserve"> of the outcome </w:t>
      </w:r>
      <m:oMath>
        <m:r>
          <w:rPr>
            <w:rFonts w:ascii="Cambria Math" w:eastAsiaTheme="minorEastAsia" w:hAnsi="Cambria Math"/>
            <w:lang w:val="en-GB"/>
          </w:rPr>
          <m:t>Y</m:t>
        </m:r>
      </m:oMath>
      <w:r w:rsidRPr="004427D0">
        <w:rPr>
          <w:rFonts w:eastAsiaTheme="minorEastAsia"/>
          <w:lang w:val="en-GB"/>
        </w:rPr>
        <w:t xml:space="preserve"> given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Pr="004427D0">
        <w:rPr>
          <w:rFonts w:eastAsiaTheme="minorEastAsia"/>
          <w:lang w:val="en-GB"/>
        </w:rPr>
        <w:t xml:space="preserve">. Crucially, this means that under this model we consider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Pr="004427D0">
        <w:rPr>
          <w:rFonts w:eastAsiaTheme="minorEastAsia"/>
          <w:lang w:val="en-GB"/>
        </w:rPr>
        <w:t xml:space="preserve"> to be fixed, </w:t>
      </w:r>
      <w:r>
        <w:rPr>
          <w:rFonts w:eastAsiaTheme="minorEastAsia"/>
          <w:lang w:val="en-GB"/>
        </w:rPr>
        <w:t>ignoring the</w:t>
      </w:r>
      <w:r w:rsidRPr="004427D0">
        <w:rPr>
          <w:rFonts w:eastAsiaTheme="minorEastAsia"/>
          <w:lang w:val="en-GB"/>
        </w:rPr>
        <w:t xml:space="preserve"> uncertainty of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Pr="004427D0">
        <w:rPr>
          <w:rFonts w:eastAsiaTheme="minorEastAsia"/>
          <w:lang w:val="en-GB"/>
        </w:rPr>
        <w:t xml:space="preserve"> as an estimate</w:t>
      </w:r>
      <w:r>
        <w:rPr>
          <w:rFonts w:eastAsiaTheme="minorEastAsia"/>
          <w:lang w:val="en-GB"/>
        </w:rPr>
        <w:t xml:space="preserve"> of</w:t>
      </w:r>
      <w:r w:rsidRPr="004427D0">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oMath>
      <w:r w:rsidRPr="004427D0">
        <w:rPr>
          <w:rFonts w:eastAsiaTheme="minorEastAsia"/>
          <w:lang w:val="en-GB"/>
        </w:rPr>
        <w:t xml:space="preserve">. The coefficient </w:t>
      </w:r>
      <m:oMath>
        <m:r>
          <w:rPr>
            <w:rFonts w:ascii="Cambria Math" w:eastAsiaTheme="minorEastAsia" w:hAnsi="Cambria Math"/>
            <w:lang w:val="en-GB"/>
          </w:rPr>
          <m:t>β</m:t>
        </m:r>
      </m:oMath>
      <w:r w:rsidRPr="004427D0">
        <w:rPr>
          <w:rFonts w:eastAsiaTheme="minorEastAsia"/>
          <w:lang w:val="en-GB"/>
        </w:rPr>
        <w:t xml:space="preserve"> can be expressed as </w:t>
      </w:r>
      <m:oMath>
        <m:r>
          <w:rPr>
            <w:rFonts w:ascii="Cambria Math" w:eastAsiaTheme="minorEastAsia" w:hAnsi="Cambria Math"/>
            <w:lang w:val="en-GB"/>
          </w:rPr>
          <m:t>β=</m:t>
        </m:r>
        <m:f>
          <m:fPr>
            <m:ctrlPr>
              <w:rPr>
                <w:rFonts w:ascii="Cambria Math" w:eastAsiaTheme="minorEastAsia" w:hAnsi="Cambria Math"/>
                <w:i/>
                <w:lang w:val="en-GB"/>
              </w:rPr>
            </m:ctrlPr>
          </m:fPr>
          <m:num>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,Y</m:t>
                </m:r>
              </m:e>
            </m:d>
            <m:ctrlPr>
              <w:rPr>
                <w:rFonts w:ascii="Cambria Math" w:eastAsiaTheme="minorEastAsia" w:hAnsi="Cambria Math"/>
                <w:iCs/>
                <w:lang w:val="en-GB"/>
              </w:rPr>
            </m:ctrlPr>
          </m:num>
          <m:den>
            <m:r>
              <m:rPr>
                <m:sty m:val="p"/>
              </m:rPr>
              <w:rPr>
                <w:rFonts w:ascii="Cambria Math" w:eastAsiaTheme="minorEastAsia" w:hAnsi="Cambria Math"/>
                <w:lang w:val="en-GB"/>
              </w:rPr>
              <m:t>var</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e>
            </m:d>
          </m:den>
        </m:f>
      </m:oMath>
      <w:r w:rsidRPr="004427D0">
        <w:rPr>
          <w:rFonts w:eastAsiaTheme="minorEastAsia"/>
          <w:lang w:val="en-GB"/>
        </w:rPr>
        <w:t xml:space="preserve">, </w:t>
      </w:r>
      <w:r>
        <w:rPr>
          <w:rFonts w:eastAsiaTheme="minorEastAsia"/>
          <w:lang w:val="en-GB"/>
        </w:rPr>
        <w:t>and thus</w:t>
      </w:r>
      <w:r w:rsidRPr="004427D0">
        <w:rPr>
          <w:rFonts w:eastAsiaTheme="minorEastAsia"/>
          <w:lang w:val="en-GB"/>
        </w:rPr>
        <w:t xml:space="preserve"> with the null hypothesis </w:t>
      </w:r>
      <m:oMath>
        <m:r>
          <w:rPr>
            <w:rFonts w:ascii="Cambria Math" w:eastAsiaTheme="minorEastAsia" w:hAnsi="Cambria Math"/>
            <w:lang w:val="en-GB"/>
          </w:rPr>
          <m:t>β=0</m:t>
        </m:r>
      </m:oMath>
      <w:r w:rsidRPr="004427D0">
        <w:rPr>
          <w:rFonts w:eastAsiaTheme="minorEastAsia"/>
          <w:lang w:val="en-GB"/>
        </w:rPr>
        <w:t xml:space="preserve"> </w:t>
      </w:r>
      <w:r>
        <w:rPr>
          <w:rFonts w:eastAsiaTheme="minorEastAsia"/>
          <w:lang w:val="en-GB"/>
        </w:rPr>
        <w:t xml:space="preserve">is </w:t>
      </w:r>
      <w:r w:rsidRPr="004427D0">
        <w:rPr>
          <w:rFonts w:eastAsiaTheme="minorEastAsia"/>
          <w:lang w:val="en-GB"/>
        </w:rPr>
        <w:t xml:space="preserve">equivalent to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,Y</m:t>
            </m:r>
          </m:e>
        </m:d>
        <m:r>
          <w:rPr>
            <w:rFonts w:ascii="Cambria Math" w:eastAsiaTheme="minorEastAsia" w:hAnsi="Cambria Math"/>
            <w:lang w:val="en-GB"/>
          </w:rPr>
          <m:t>=0</m:t>
        </m:r>
      </m:oMath>
      <w:r w:rsidRPr="004427D0">
        <w:rPr>
          <w:rFonts w:eastAsiaTheme="minorEastAsia"/>
          <w:lang w:val="en-GB"/>
        </w:rPr>
        <w:t xml:space="preserve">. </w:t>
      </w:r>
      <w:r>
        <w:rPr>
          <w:rFonts w:eastAsiaTheme="minorEastAsia"/>
          <w:lang w:val="en-GB"/>
        </w:rPr>
        <w:t xml:space="preserve">Note that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,Y</m:t>
            </m:r>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r>
              <w:rPr>
                <w:rFonts w:ascii="Cambria Math" w:eastAsiaTheme="minorEastAsia" w:hAnsi="Cambria Math"/>
                <w:lang w:val="en-GB"/>
              </w:rPr>
              <m:t>X</m:t>
            </m:r>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r>
              <w:rPr>
                <w:rFonts w:ascii="Cambria Math" w:eastAsiaTheme="minorEastAsia" w:hAnsi="Cambria Math"/>
                <w:lang w:val="en-GB"/>
              </w:rPr>
              <m:t>,Y</m:t>
            </m:r>
          </m:e>
        </m:d>
        <m:r>
          <w:rPr>
            <w:rFonts w:ascii="Cambria Math" w:eastAsiaTheme="minorEastAsia" w:hAnsi="Cambria Math"/>
            <w:lang w:val="en-GB"/>
          </w:rPr>
          <m:t>=</m:t>
        </m:r>
        <m:nary>
          <m:naryPr>
            <m:chr m:val="∑"/>
            <m:limLoc m:val="subSup"/>
            <m:supHide m:val="1"/>
            <m:ctrlPr>
              <w:rPr>
                <w:rFonts w:ascii="Cambria Math" w:eastAsiaTheme="minorEastAsia" w:hAnsi="Cambria Math"/>
                <w:i/>
                <w:lang w:val="en-GB"/>
              </w:rPr>
            </m:ctrlPr>
          </m:naryPr>
          <m:sub>
            <m:r>
              <w:rPr>
                <w:rFonts w:ascii="Cambria Math" w:eastAsiaTheme="minorEastAsia" w:hAnsi="Cambria Math"/>
                <w:lang w:val="en-GB"/>
              </w:rPr>
              <m:t>j</m:t>
            </m:r>
          </m:sub>
          <m:sup/>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Ej</m:t>
                </m:r>
              </m:sub>
            </m:sSub>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j</m:t>
                    </m:r>
                  </m:sub>
                </m:sSub>
                <m:r>
                  <w:rPr>
                    <w:rFonts w:ascii="Cambria Math" w:eastAsiaTheme="minorEastAsia" w:hAnsi="Cambria Math"/>
                    <w:lang w:val="en-GB"/>
                  </w:rPr>
                  <m:t>,Y</m:t>
                </m:r>
              </m:e>
            </m:d>
          </m:e>
        </m:nary>
      </m:oMath>
      <w:r>
        <w:rPr>
          <w:rFonts w:eastAsiaTheme="minorEastAsia"/>
          <w:lang w:val="en-GB"/>
        </w:rPr>
        <w:t xml:space="preserve">, summing over each SNP </w:t>
      </w:r>
      <m:oMath>
        <m:r>
          <w:rPr>
            <w:rFonts w:ascii="Cambria Math" w:eastAsiaTheme="minorEastAsia" w:hAnsi="Cambria Math"/>
            <w:lang w:val="en-GB"/>
          </w:rPr>
          <m:t>j</m:t>
        </m:r>
      </m:oMath>
      <w:r>
        <w:rPr>
          <w:rFonts w:eastAsiaTheme="minorEastAsia"/>
          <w:lang w:val="en-GB"/>
        </w:rPr>
        <w:t xml:space="preserve">. Each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j</m:t>
                </m:r>
              </m:sub>
            </m:sSub>
            <m:r>
              <w:rPr>
                <w:rFonts w:ascii="Cambria Math" w:eastAsiaTheme="minorEastAsia" w:hAnsi="Cambria Math"/>
                <w:lang w:val="en-GB"/>
              </w:rPr>
              <m:t>,Y</m:t>
            </m:r>
          </m:e>
        </m:d>
      </m:oMath>
      <w:r>
        <w:rPr>
          <w:rFonts w:eastAsiaTheme="minorEastAsia"/>
          <w:lang w:val="en-GB"/>
        </w:rPr>
        <w:t xml:space="preserve"> can be estimated from marginal SNP association statistics, which is how TWAS can be rewritten to be performed using only GWAS summary statistics for the outcome phenotype. </w:t>
      </w:r>
    </w:p>
    <w:p w14:paraId="3464BF69" w14:textId="77777777" w:rsidR="00926290" w:rsidRPr="004427D0" w:rsidRDefault="00926290" w:rsidP="00926290">
      <w:pPr>
        <w:rPr>
          <w:rFonts w:eastAsiaTheme="minorEastAsia"/>
          <w:lang w:val="en-GB"/>
        </w:rPr>
      </w:pPr>
      <w:r w:rsidRPr="004427D0">
        <w:rPr>
          <w:rFonts w:eastAsiaTheme="minorEastAsia"/>
          <w:lang w:val="en-GB"/>
        </w:rPr>
        <w:tab/>
        <w:t xml:space="preserve">From the above it follows that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,Y</m:t>
            </m:r>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e>
        </m:d>
      </m:oMath>
      <w:r w:rsidRPr="004427D0">
        <w:rPr>
          <w:rFonts w:eastAsiaTheme="minorEastAsia"/>
          <w:lang w:val="en-GB"/>
        </w:rPr>
        <w:t xml:space="preserve">. Since as noted </w:t>
      </w:r>
      <m:oMath>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oMath>
      <w:r w:rsidRPr="004427D0">
        <w:rPr>
          <w:rFonts w:eastAsiaTheme="minorEastAsia"/>
          <w:lang w:val="en-GB"/>
        </w:rPr>
        <w:t xml:space="preserve"> is independent of </w:t>
      </w:r>
      <m:oMath>
        <m:r>
          <w:rPr>
            <w:rFonts w:ascii="Cambria Math" w:eastAsiaTheme="minorEastAsia" w:hAnsi="Cambria Math"/>
            <w:lang w:val="en-GB"/>
          </w:rPr>
          <m:t>X</m:t>
        </m:r>
      </m:oMath>
      <w:r w:rsidRPr="004427D0">
        <w:rPr>
          <w:rFonts w:eastAsiaTheme="minorEastAsia"/>
          <w:lang w:val="en-GB"/>
        </w:rPr>
        <w:t xml:space="preserve">, and as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Pr="004427D0">
        <w:rPr>
          <w:rFonts w:eastAsiaTheme="minorEastAsia"/>
          <w:lang w:val="en-GB"/>
        </w:rPr>
        <w:t xml:space="preserve"> is purely a linear function of </w:t>
      </w:r>
      <m:oMath>
        <m:r>
          <w:rPr>
            <w:rFonts w:ascii="Cambria Math" w:eastAsiaTheme="minorEastAsia" w:hAnsi="Cambria Math"/>
            <w:lang w:val="en-GB"/>
          </w:rPr>
          <m:t>X</m:t>
        </m:r>
      </m:oMath>
      <w:r w:rsidRPr="004427D0">
        <w:rPr>
          <w:rFonts w:eastAsiaTheme="minorEastAsia"/>
          <w:lang w:val="en-GB"/>
        </w:rPr>
        <w:t xml:space="preserve">, the term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e>
        </m:d>
      </m:oMath>
      <w:r w:rsidRPr="004427D0">
        <w:rPr>
          <w:rFonts w:eastAsiaTheme="minorEastAsia"/>
          <w:lang w:val="en-GB"/>
        </w:rPr>
        <w:t xml:space="preserve"> is zero and hence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,Y</m:t>
            </m:r>
          </m:e>
        </m:d>
        <m:r>
          <w:rPr>
            <w:rFonts w:ascii="Cambria Math" w:eastAsiaTheme="minorEastAsia" w:hAnsi="Cambria Math"/>
            <w:lang w:val="en-GB"/>
          </w:rPr>
          <m:t>=</m:t>
        </m:r>
        <m:r>
          <m:rPr>
            <m:sty m:val="p"/>
          </m:rPr>
          <w:rPr>
            <w:rFonts w:ascii="Cambria Math" w:eastAsiaTheme="minorEastAsia" w:hAnsi="Cambria Math"/>
            <w:lang w:val="en-GB"/>
          </w:rPr>
          <m:t xml:space="preserve"> 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Pr="004427D0">
        <w:rPr>
          <w:rFonts w:eastAsiaTheme="minorEastAsia"/>
          <w:lang w:val="en-GB"/>
        </w:rPr>
        <w:t xml:space="preserve">. As such, we can see that the relation tested by TWAS in equation (2) is the covariance between an estimate of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oMath>
      <w:r w:rsidRPr="004427D0">
        <w:rPr>
          <w:rFonts w:eastAsiaTheme="minorEastAsia"/>
          <w:lang w:val="en-GB"/>
        </w:rPr>
        <w:t xml:space="preserve"> on the one hand, and the true value of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oMath>
      <w:r>
        <w:rPr>
          <w:rFonts w:eastAsiaTheme="minorEastAsia"/>
          <w:lang w:val="en-GB"/>
        </w:rPr>
        <w:t xml:space="preserve"> on the other</w:t>
      </w:r>
      <w:r w:rsidRPr="004427D0">
        <w:rPr>
          <w:rFonts w:eastAsiaTheme="minorEastAsia"/>
          <w:lang w:val="en-GB"/>
        </w:rPr>
        <w:t xml:space="preserve">. </w:t>
      </w:r>
    </w:p>
    <w:p w14:paraId="180FE894" w14:textId="4E732820" w:rsidR="00926290" w:rsidRPr="004427D0" w:rsidRDefault="00926290" w:rsidP="00926290">
      <w:pPr>
        <w:rPr>
          <w:rFonts w:eastAsiaTheme="minorEastAsia"/>
          <w:lang w:val="en-GB"/>
        </w:rPr>
      </w:pPr>
      <w:r w:rsidRPr="004427D0">
        <w:rPr>
          <w:rFonts w:eastAsiaTheme="minorEastAsia"/>
          <w:lang w:val="en-GB"/>
        </w:rPr>
        <w:tab/>
        <w:t xml:space="preserve">We can further rewrite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Pr="004427D0">
        <w:rPr>
          <w:rFonts w:eastAsiaTheme="minorEastAsia"/>
          <w:lang w:val="en-GB"/>
        </w:rPr>
        <w:t xml:space="preserve">, showing that this covariance is essentially offset from the true genetic covariance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Pr="004427D0">
        <w:rPr>
          <w:rFonts w:eastAsiaTheme="minorEastAsia"/>
          <w:lang w:val="en-GB"/>
        </w:rPr>
        <w:t xml:space="preserve"> by the error term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006F575D">
        <w:rPr>
          <w:rFonts w:eastAsiaTheme="minorEastAsia"/>
          <w:lang w:val="en-GB"/>
        </w:rPr>
        <w:t xml:space="preserve">  (denoted as </w:t>
      </w:r>
      <m:oMath>
        <m:r>
          <m:rPr>
            <m:sty m:val="p"/>
          </m:rPr>
          <w:rPr>
            <w:rFonts w:ascii="Cambria Math" w:eastAsiaTheme="minorEastAsia" w:hAnsi="Cambria Math"/>
            <w:lang w:val="en-GB"/>
          </w:rPr>
          <m:t>Δ</m:t>
        </m:r>
      </m:oMath>
      <w:r w:rsidR="006F575D">
        <w:rPr>
          <w:rFonts w:eastAsiaTheme="minorEastAsia"/>
          <w:lang w:val="en-GB"/>
        </w:rPr>
        <w:t xml:space="preserve"> in the main text)</w:t>
      </w:r>
      <w:r w:rsidRPr="004427D0">
        <w:rPr>
          <w:rFonts w:eastAsiaTheme="minorEastAsia"/>
          <w:lang w:val="en-GB"/>
        </w:rPr>
        <w:t xml:space="preserve">. Averaging over the distribution of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oMath>
      <w:r w:rsidRPr="004427D0">
        <w:rPr>
          <w:rFonts w:eastAsiaTheme="minorEastAsia"/>
          <w:lang w:val="en-GB"/>
        </w:rPr>
        <w:t xml:space="preserve"> the expected value of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Pr="004427D0">
        <w:rPr>
          <w:rFonts w:eastAsiaTheme="minorEastAsia"/>
          <w:lang w:val="en-GB"/>
        </w:rPr>
        <w:t xml:space="preserve"> will be zero, and hence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Pr="004427D0">
        <w:rPr>
          <w:rFonts w:eastAsiaTheme="minorEastAsia"/>
          <w:lang w:val="en-GB"/>
        </w:rPr>
        <w:t xml:space="preserve"> will have a statistical distribution centered on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00593007">
        <w:rPr>
          <w:rFonts w:eastAsiaTheme="minorEastAsia"/>
          <w:lang w:val="en-GB"/>
        </w:rPr>
        <w:t xml:space="preserve"> under a sampling distribution that treats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00593007">
        <w:rPr>
          <w:rFonts w:eastAsiaTheme="minorEastAsia"/>
          <w:lang w:val="en-GB"/>
        </w:rPr>
        <w:t xml:space="preserve"> as random</w:t>
      </w:r>
      <w:r w:rsidRPr="004427D0">
        <w:rPr>
          <w:rFonts w:eastAsiaTheme="minorEastAsia"/>
          <w:lang w:val="en-GB"/>
        </w:rPr>
        <w:t xml:space="preserve">. </w:t>
      </w:r>
    </w:p>
    <w:p w14:paraId="355A298B" w14:textId="6CE5888A" w:rsidR="00926290" w:rsidRDefault="00926290" w:rsidP="00926290">
      <w:pPr>
        <w:ind w:firstLine="708"/>
        <w:rPr>
          <w:rFonts w:eastAsiaTheme="minorEastAsia"/>
          <w:lang w:val="en-GB"/>
        </w:rPr>
      </w:pPr>
      <w:r w:rsidRPr="004427D0">
        <w:rPr>
          <w:rFonts w:eastAsiaTheme="minorEastAsia"/>
          <w:lang w:val="en-GB"/>
        </w:rPr>
        <w:t>However, since the linear regression equation for (2)</w:t>
      </w:r>
      <w:r w:rsidR="000F23C3">
        <w:rPr>
          <w:rFonts w:eastAsiaTheme="minorEastAsia"/>
          <w:lang w:val="en-GB"/>
        </w:rPr>
        <w:t xml:space="preserve"> used in TWAS</w:t>
      </w:r>
      <w:r w:rsidRPr="004427D0">
        <w:rPr>
          <w:rFonts w:eastAsiaTheme="minorEastAsia"/>
          <w:lang w:val="en-GB"/>
        </w:rPr>
        <w:t xml:space="preserve"> simply conditions on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000F23C3">
        <w:rPr>
          <w:rFonts w:eastAsiaTheme="minorEastAsia"/>
          <w:lang w:val="en-GB"/>
        </w:rPr>
        <w:t xml:space="preserve"> (treating it as fixed)</w:t>
      </w:r>
      <w:r>
        <w:rPr>
          <w:rFonts w:eastAsiaTheme="minorEastAsia"/>
          <w:lang w:val="en-GB"/>
        </w:rPr>
        <w:t xml:space="preserve">, rather than modeling its full distribution around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oMath>
      <w:r>
        <w:rPr>
          <w:rFonts w:eastAsiaTheme="minorEastAsia"/>
          <w:lang w:val="en-GB"/>
        </w:rPr>
        <w:t>,</w:t>
      </w:r>
      <w:r w:rsidRPr="004427D0">
        <w:rPr>
          <w:rFonts w:eastAsiaTheme="minorEastAsia"/>
          <w:lang w:val="en-GB"/>
        </w:rPr>
        <w:t xml:space="preserve"> this distribution of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Pr="004427D0">
        <w:rPr>
          <w:rFonts w:eastAsiaTheme="minorEastAsia"/>
          <w:lang w:val="en-GB"/>
        </w:rPr>
        <w:t xml:space="preserve"> around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Pr="004427D0">
        <w:rPr>
          <w:rFonts w:eastAsiaTheme="minorEastAsia"/>
          <w:lang w:val="en-GB"/>
        </w:rPr>
        <w:t xml:space="preserve"> will not be accounted for in any test statistic based on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Pr>
          <w:rFonts w:eastAsiaTheme="minorEastAsia"/>
          <w:lang w:val="en-GB"/>
        </w:rPr>
        <w:t xml:space="preserve">. </w:t>
      </w:r>
      <w:r w:rsidRPr="004427D0">
        <w:rPr>
          <w:rFonts w:eastAsiaTheme="minorEastAsia"/>
          <w:lang w:val="en-GB"/>
        </w:rPr>
        <w:t xml:space="preserve">Since this effectively ignores a source of sampling variance, the resulting standard errors will be too small </w:t>
      </w:r>
      <w:r>
        <w:rPr>
          <w:rFonts w:eastAsiaTheme="minorEastAsia"/>
          <w:lang w:val="en-GB"/>
        </w:rPr>
        <w:t>if evaluating</w:t>
      </w:r>
      <w:r w:rsidRPr="004427D0">
        <w:rPr>
          <w:rFonts w:eastAsiaTheme="minorEastAsia"/>
          <w:lang w:val="en-GB"/>
        </w:rPr>
        <w:t xml:space="preserve"> the null hypothesis of no genetic covariance, ie.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w:rPr>
            <w:rFonts w:ascii="Cambria Math" w:eastAsiaTheme="minorEastAsia" w:hAnsi="Cambria Math"/>
            <w:lang w:val="en-GB"/>
          </w:rPr>
          <m:t>=0</m:t>
        </m:r>
      </m:oMath>
      <w:r w:rsidRPr="004427D0">
        <w:rPr>
          <w:rFonts w:eastAsiaTheme="minorEastAsia"/>
          <w:lang w:val="en-GB"/>
        </w:rPr>
        <w:t xml:space="preserve">. </w:t>
      </w:r>
    </w:p>
    <w:p w14:paraId="5EF880AD" w14:textId="442C7B40" w:rsidR="00926290" w:rsidRPr="004427D0" w:rsidRDefault="00926290" w:rsidP="00926290">
      <w:pPr>
        <w:ind w:firstLine="708"/>
        <w:rPr>
          <w:rFonts w:eastAsiaTheme="minorEastAsia"/>
          <w:lang w:val="en-GB"/>
        </w:rPr>
      </w:pPr>
      <w:r w:rsidRPr="004427D0">
        <w:rPr>
          <w:rFonts w:eastAsiaTheme="minorEastAsia"/>
          <w:lang w:val="en-GB"/>
        </w:rPr>
        <w:t>Moreover,</w:t>
      </w:r>
      <w:r>
        <w:rPr>
          <w:rFonts w:eastAsiaTheme="minorEastAsia"/>
          <w:lang w:val="en-GB"/>
        </w:rPr>
        <w:t xml:space="preserve"> since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Pr>
          <w:rFonts w:eastAsiaTheme="minorEastAsia"/>
          <w:lang w:val="en-GB"/>
        </w:rPr>
        <w:t xml:space="preserve"> and therefore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w:rPr>
            <w:rFonts w:ascii="Cambria Math" w:eastAsiaTheme="minorEastAsia" w:hAnsi="Cambria Math"/>
            <w:lang w:val="en-GB"/>
          </w:rPr>
          <m:t>-</m:t>
        </m:r>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Pr>
          <w:rFonts w:eastAsiaTheme="minorEastAsia"/>
          <w:lang w:val="en-GB"/>
        </w:rPr>
        <w:t xml:space="preserve">, this null hypothesis implies that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Pr>
          <w:rFonts w:eastAsiaTheme="minorEastAsia"/>
          <w:lang w:val="en-GB"/>
        </w:rPr>
        <w:t xml:space="preserve">. In practice this error term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Pr>
          <w:rFonts w:eastAsiaTheme="minorEastAsia"/>
          <w:lang w:val="en-GB"/>
        </w:rPr>
        <w:t xml:space="preserve"> has an unknown but non-zero value specific to the data used, and as such, under the TWAS null hypothesis the true genetic covariance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Pr>
          <w:rFonts w:eastAsiaTheme="minorEastAsia"/>
          <w:lang w:val="en-GB"/>
        </w:rPr>
        <w:t xml:space="preserve"> will not equal zero. </w:t>
      </w:r>
    </w:p>
    <w:p w14:paraId="7E6D5C1D" w14:textId="77777777" w:rsidR="00926290" w:rsidRDefault="00926290" w:rsidP="00926290">
      <w:pPr>
        <w:ind w:firstLine="708"/>
        <w:rPr>
          <w:rFonts w:eastAsiaTheme="minorEastAsia"/>
          <w:lang w:val="en-GB"/>
        </w:rPr>
      </w:pPr>
      <w:r w:rsidRPr="004427D0">
        <w:rPr>
          <w:rFonts w:eastAsiaTheme="minorEastAsia"/>
          <w:lang w:val="en-GB"/>
        </w:rPr>
        <w:t xml:space="preserve">Effectively, relative to testing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r>
          <w:rPr>
            <w:rFonts w:ascii="Cambria Math" w:eastAsiaTheme="minorEastAsia" w:hAnsi="Cambria Math"/>
            <w:lang w:val="en-GB"/>
          </w:rPr>
          <m:t>=0</m:t>
        </m:r>
      </m:oMath>
      <w:r w:rsidRPr="004427D0">
        <w:rPr>
          <w:rFonts w:eastAsiaTheme="minorEastAsia"/>
          <w:lang w:val="en-GB"/>
        </w:rPr>
        <w:t xml:space="preserve">, the TWAS model assumptions </w:t>
      </w:r>
      <w:r>
        <w:rPr>
          <w:rFonts w:eastAsiaTheme="minorEastAsia"/>
          <w:lang w:val="en-GB"/>
        </w:rPr>
        <w:t>treat</w:t>
      </w:r>
      <w:r w:rsidRPr="004427D0">
        <w:rPr>
          <w:rFonts w:eastAsiaTheme="minorEastAsia"/>
          <w:lang w:val="en-GB"/>
        </w:rPr>
        <w:t xml:space="preserve"> the eQTL </w:t>
      </w:r>
      <w:r>
        <w:rPr>
          <w:rFonts w:eastAsiaTheme="minorEastAsia"/>
          <w:lang w:val="en-GB"/>
        </w:rPr>
        <w:t xml:space="preserve">data </w:t>
      </w:r>
      <w:r w:rsidRPr="004427D0">
        <w:rPr>
          <w:rFonts w:eastAsiaTheme="minorEastAsia"/>
          <w:lang w:val="en-GB"/>
        </w:rPr>
        <w:t xml:space="preserve">as if it is the true </w:t>
      </w:r>
      <w:r>
        <w:rPr>
          <w:rFonts w:eastAsiaTheme="minorEastAsia"/>
          <w:lang w:val="en-GB"/>
        </w:rPr>
        <w:t xml:space="preserve">underlying </w:t>
      </w:r>
      <w:r w:rsidRPr="004427D0">
        <w:rPr>
          <w:rFonts w:eastAsiaTheme="minorEastAsia"/>
          <w:lang w:val="en-GB"/>
        </w:rPr>
        <w:t>population</w:t>
      </w:r>
      <w:r>
        <w:rPr>
          <w:rFonts w:eastAsiaTheme="minorEastAsia"/>
          <w:lang w:val="en-GB"/>
        </w:rPr>
        <w:t xml:space="preserve"> of interest, rather than merely a sample drawn from that population</w:t>
      </w:r>
      <w:r w:rsidRPr="004427D0">
        <w:rPr>
          <w:rFonts w:eastAsiaTheme="minorEastAsia"/>
          <w:lang w:val="en-GB"/>
        </w:rPr>
        <w:t xml:space="preserve">. This can be illustrated by an analogy to the t-test. </w:t>
      </w:r>
      <w:r>
        <w:rPr>
          <w:rFonts w:eastAsiaTheme="minorEastAsia"/>
          <w:lang w:val="en-GB"/>
        </w:rPr>
        <w:t>To</w:t>
      </w:r>
      <w:r w:rsidRPr="004427D0">
        <w:rPr>
          <w:rFonts w:eastAsiaTheme="minorEastAsia"/>
          <w:lang w:val="en-GB"/>
        </w:rPr>
        <w:t xml:space="preserve"> compare the true population means </w:t>
      </w:r>
      <m:oMath>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A</m:t>
            </m:r>
          </m:sub>
        </m:sSub>
      </m:oMath>
      <w:r w:rsidRPr="004427D0">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B</m:t>
            </m:r>
          </m:sub>
        </m:sSub>
      </m:oMath>
      <w:r w:rsidRPr="004427D0">
        <w:rPr>
          <w:rFonts w:eastAsiaTheme="minorEastAsia"/>
          <w:lang w:val="en-GB"/>
        </w:rPr>
        <w:t xml:space="preserve"> </w:t>
      </w:r>
      <w:r>
        <w:rPr>
          <w:rFonts w:eastAsiaTheme="minorEastAsia"/>
          <w:lang w:val="en-GB"/>
        </w:rPr>
        <w:t xml:space="preserve">of groups </w:t>
      </w:r>
      <m:oMath>
        <m:r>
          <w:rPr>
            <w:rFonts w:ascii="Cambria Math" w:eastAsiaTheme="minorEastAsia" w:hAnsi="Cambria Math"/>
            <w:lang w:val="en-GB"/>
          </w:rPr>
          <m:t>A</m:t>
        </m:r>
      </m:oMath>
      <w:r>
        <w:rPr>
          <w:rFonts w:eastAsiaTheme="minorEastAsia"/>
          <w:lang w:val="en-GB"/>
        </w:rPr>
        <w:t xml:space="preserve"> and </w:t>
      </w:r>
      <m:oMath>
        <m:r>
          <w:rPr>
            <w:rFonts w:ascii="Cambria Math" w:eastAsiaTheme="minorEastAsia" w:hAnsi="Cambria Math"/>
            <w:lang w:val="en-GB"/>
          </w:rPr>
          <m:t>B</m:t>
        </m:r>
      </m:oMath>
      <w:r>
        <w:rPr>
          <w:rFonts w:eastAsiaTheme="minorEastAsia"/>
          <w:lang w:val="en-GB"/>
        </w:rPr>
        <w:t xml:space="preserve"> </w:t>
      </w:r>
      <w:r w:rsidRPr="004427D0">
        <w:rPr>
          <w:rFonts w:eastAsiaTheme="minorEastAsia"/>
          <w:lang w:val="en-GB"/>
        </w:rPr>
        <w:t xml:space="preserve">for some variable of interest, we would typically use an independent samples t-test to evaluate the null hypothesis </w:t>
      </w:r>
      <m:oMath>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A</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B</m:t>
            </m:r>
          </m:sub>
        </m:sSub>
      </m:oMath>
      <w:r w:rsidRPr="004427D0">
        <w:rPr>
          <w:rFonts w:eastAsiaTheme="minorEastAsia"/>
          <w:lang w:val="en-GB"/>
        </w:rPr>
        <w:t xml:space="preserve">. This would utilize a test statistic based on the sample means </w:t>
      </w:r>
      <m:oMath>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A</m:t>
            </m:r>
          </m:sub>
        </m:sSub>
      </m:oMath>
      <w:r w:rsidRPr="004427D0">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B</m:t>
            </m:r>
          </m:sub>
        </m:sSub>
      </m:oMath>
      <w:r w:rsidRPr="004427D0">
        <w:rPr>
          <w:rFonts w:eastAsiaTheme="minorEastAsia"/>
          <w:lang w:val="en-GB"/>
        </w:rPr>
        <w:t xml:space="preserve"> as well as their standard errors </w:t>
      </w:r>
      <m:oMath>
        <m:r>
          <w:rPr>
            <w:rFonts w:ascii="Cambria Math" w:eastAsiaTheme="minorEastAsia" w:hAnsi="Cambria Math"/>
            <w:lang w:val="en-GB"/>
          </w:rPr>
          <m:t>SE</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A</m:t>
                </m:r>
              </m:sub>
            </m:sSub>
          </m:e>
        </m:d>
      </m:oMath>
      <w:r w:rsidRPr="004427D0">
        <w:rPr>
          <w:rFonts w:eastAsiaTheme="minorEastAsia"/>
          <w:lang w:val="en-GB"/>
        </w:rPr>
        <w:t xml:space="preserve"> and </w:t>
      </w:r>
      <m:oMath>
        <m:r>
          <w:rPr>
            <w:rFonts w:ascii="Cambria Math" w:eastAsiaTheme="minorEastAsia" w:hAnsi="Cambria Math"/>
            <w:lang w:val="en-GB"/>
          </w:rPr>
          <m:t>SE</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B</m:t>
                </m:r>
              </m:sub>
            </m:sSub>
          </m:e>
        </m:d>
      </m:oMath>
      <w:r>
        <w:rPr>
          <w:rFonts w:eastAsiaTheme="minorEastAsia"/>
          <w:lang w:val="en-GB"/>
        </w:rPr>
        <w:t>, accounting for the estimation uncertainty of both sample means</w:t>
      </w:r>
      <w:r w:rsidRPr="004427D0">
        <w:rPr>
          <w:rFonts w:eastAsiaTheme="minorEastAsia"/>
          <w:lang w:val="en-GB"/>
        </w:rPr>
        <w:t xml:space="preserve">. </w:t>
      </w:r>
    </w:p>
    <w:p w14:paraId="4473BA9F" w14:textId="358C0230" w:rsidR="00926290" w:rsidRPr="00336C9D" w:rsidRDefault="00926290" w:rsidP="00926290">
      <w:pPr>
        <w:ind w:firstLine="708"/>
        <w:rPr>
          <w:rFonts w:eastAsiaTheme="minorEastAsia"/>
          <w:lang w:val="en-GB"/>
        </w:rPr>
      </w:pPr>
      <w:r>
        <w:rPr>
          <w:rFonts w:eastAsiaTheme="minorEastAsia"/>
          <w:lang w:val="en-GB"/>
        </w:rPr>
        <w:t xml:space="preserve">In this context, </w:t>
      </w:r>
      <w:r w:rsidRPr="004427D0">
        <w:rPr>
          <w:rFonts w:eastAsiaTheme="minorEastAsia"/>
          <w:lang w:val="en-GB"/>
        </w:rPr>
        <w:t>TWAS</w:t>
      </w:r>
      <w:r>
        <w:rPr>
          <w:rFonts w:eastAsiaTheme="minorEastAsia"/>
          <w:lang w:val="en-GB"/>
        </w:rPr>
        <w:t xml:space="preserve"> is analogous to</w:t>
      </w:r>
      <w:r w:rsidRPr="004427D0">
        <w:rPr>
          <w:rFonts w:eastAsiaTheme="minorEastAsia"/>
          <w:lang w:val="en-GB"/>
        </w:rPr>
        <w:t xml:space="preserve"> </w:t>
      </w:r>
      <w:r>
        <w:rPr>
          <w:rFonts w:eastAsiaTheme="minorEastAsia"/>
          <w:lang w:val="en-GB"/>
        </w:rPr>
        <w:t>computing</w:t>
      </w:r>
      <w:r w:rsidRPr="004427D0">
        <w:rPr>
          <w:rFonts w:eastAsiaTheme="minorEastAsia"/>
          <w:lang w:val="en-GB"/>
        </w:rPr>
        <w:t xml:space="preserve"> the sample mean for group </w:t>
      </w:r>
      <m:oMath>
        <m:r>
          <w:rPr>
            <w:rFonts w:ascii="Cambria Math" w:eastAsiaTheme="minorEastAsia" w:hAnsi="Cambria Math"/>
            <w:lang w:val="en-GB"/>
          </w:rPr>
          <m:t>B</m:t>
        </m:r>
      </m:oMath>
      <w:r>
        <w:rPr>
          <w:rFonts w:eastAsiaTheme="minorEastAsia"/>
          <w:lang w:val="en-GB"/>
        </w:rPr>
        <w:t>, then</w:t>
      </w:r>
      <w:r w:rsidRPr="004427D0">
        <w:rPr>
          <w:rFonts w:eastAsiaTheme="minorEastAsia"/>
          <w:lang w:val="en-GB"/>
        </w:rPr>
        <w:t xml:space="preserve"> performing a single sample t-test in group </w:t>
      </w:r>
      <m:oMath>
        <m:r>
          <w:rPr>
            <w:rFonts w:ascii="Cambria Math" w:eastAsiaTheme="minorEastAsia" w:hAnsi="Cambria Math"/>
            <w:lang w:val="en-GB"/>
          </w:rPr>
          <m:t xml:space="preserve">A </m:t>
        </m:r>
      </m:oMath>
      <w:r w:rsidRPr="004427D0">
        <w:rPr>
          <w:rFonts w:eastAsiaTheme="minorEastAsia"/>
          <w:lang w:val="en-GB"/>
        </w:rPr>
        <w:t xml:space="preserve">with the null hypothesis </w:t>
      </w:r>
      <m:oMath>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A</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B</m:t>
            </m:r>
          </m:sub>
        </m:sSub>
      </m:oMath>
      <w:r w:rsidRPr="004427D0">
        <w:rPr>
          <w:rFonts w:eastAsiaTheme="minorEastAsia"/>
          <w:lang w:val="en-GB"/>
        </w:rPr>
        <w:t xml:space="preserve">. The resulting test statistic would be based on </w:t>
      </w:r>
      <m:oMath>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A</m:t>
            </m:r>
          </m:sub>
        </m:sSub>
      </m:oMath>
      <w:r w:rsidRPr="004427D0">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B</m:t>
            </m:r>
          </m:sub>
        </m:sSub>
      </m:oMath>
      <w:r w:rsidRPr="004427D0">
        <w:rPr>
          <w:rFonts w:eastAsiaTheme="minorEastAsia"/>
          <w:lang w:val="en-GB"/>
        </w:rPr>
        <w:t xml:space="preserve"> and </w:t>
      </w:r>
      <m:oMath>
        <m:r>
          <w:rPr>
            <w:rFonts w:ascii="Cambria Math" w:eastAsiaTheme="minorEastAsia" w:hAnsi="Cambria Math"/>
            <w:lang w:val="en-GB"/>
          </w:rPr>
          <m:t>SE</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A</m:t>
                </m:r>
              </m:sub>
            </m:sSub>
          </m:e>
        </m:d>
      </m:oMath>
      <w:r w:rsidRPr="004427D0">
        <w:rPr>
          <w:rFonts w:eastAsiaTheme="minorEastAsia"/>
          <w:lang w:val="en-GB"/>
        </w:rPr>
        <w:t xml:space="preserve">, but </w:t>
      </w:r>
      <w:r>
        <w:rPr>
          <w:rFonts w:eastAsiaTheme="minorEastAsia"/>
          <w:lang w:val="en-GB"/>
        </w:rPr>
        <w:t>as it does not</w:t>
      </w:r>
      <w:r w:rsidRPr="004427D0">
        <w:rPr>
          <w:rFonts w:eastAsiaTheme="minorEastAsia"/>
          <w:lang w:val="en-GB"/>
        </w:rPr>
        <w:t xml:space="preserve"> incorporate </w:t>
      </w:r>
      <m:oMath>
        <m:r>
          <w:rPr>
            <w:rFonts w:ascii="Cambria Math" w:eastAsiaTheme="minorEastAsia" w:hAnsi="Cambria Math"/>
            <w:lang w:val="en-GB"/>
          </w:rPr>
          <m:t>SE</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B</m:t>
                </m:r>
              </m:sub>
            </m:sSub>
          </m:e>
        </m:d>
      </m:oMath>
      <w:r>
        <w:rPr>
          <w:rFonts w:eastAsiaTheme="minorEastAsia"/>
          <w:lang w:val="en-GB"/>
        </w:rPr>
        <w:t xml:space="preserve"> it fails to account for the uncertainty in </w:t>
      </w:r>
      <m:oMath>
        <m:sSub>
          <m:sSubPr>
            <m:ctrlPr>
              <w:rPr>
                <w:rFonts w:ascii="Cambria Math" w:eastAsiaTheme="minorEastAsia" w:hAnsi="Cambria Math"/>
                <w:i/>
                <w:lang w:val="en-GB"/>
              </w:rPr>
            </m:ctrlPr>
          </m:sSubPr>
          <m:e>
            <m:r>
              <w:rPr>
                <w:rFonts w:ascii="Cambria Math" w:eastAsiaTheme="minorEastAsia" w:hAnsi="Cambria Math"/>
                <w:lang w:val="en-GB"/>
              </w:rPr>
              <m:t>m</m:t>
            </m:r>
          </m:e>
          <m:sub>
            <m:r>
              <w:rPr>
                <w:rFonts w:ascii="Cambria Math" w:eastAsiaTheme="minorEastAsia" w:hAnsi="Cambria Math"/>
                <w:lang w:val="en-GB"/>
              </w:rPr>
              <m:t>B</m:t>
            </m:r>
          </m:sub>
        </m:sSub>
      </m:oMath>
      <w:r>
        <w:rPr>
          <w:rFonts w:eastAsiaTheme="minorEastAsia"/>
          <w:lang w:val="en-GB"/>
        </w:rPr>
        <w:t xml:space="preserve"> as an estimate of </w:t>
      </w:r>
      <m:oMath>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B</m:t>
            </m:r>
          </m:sub>
        </m:sSub>
      </m:oMath>
      <w:r w:rsidRPr="004427D0">
        <w:rPr>
          <w:rFonts w:eastAsiaTheme="minorEastAsia"/>
          <w:lang w:val="en-GB"/>
        </w:rPr>
        <w:t>.</w:t>
      </w:r>
      <w:r>
        <w:rPr>
          <w:rFonts w:eastAsiaTheme="minorEastAsia"/>
          <w:lang w:val="en-GB"/>
        </w:rPr>
        <w:t xml:space="preserve"> As such, no inference can be performed on the relation between</w:t>
      </w:r>
      <w:r w:rsidR="00AB75AC">
        <w:rPr>
          <w:rFonts w:eastAsiaTheme="minorEastAsia"/>
          <w:lang w:val="en-GB"/>
        </w:rPr>
        <w:t xml:space="preserve"> the two population means</w:t>
      </w:r>
      <w:r>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A</m:t>
            </m:r>
          </m:sub>
        </m:sSub>
      </m:oMath>
      <w:r w:rsidRPr="004427D0">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B</m:t>
            </m:r>
          </m:sub>
        </m:sSub>
      </m:oMath>
      <w:r>
        <w:rPr>
          <w:rFonts w:eastAsiaTheme="minorEastAsia"/>
          <w:lang w:val="en-GB"/>
        </w:rPr>
        <w:t xml:space="preserve">. In the same vein, TWAS only considers the relationship that the </w:t>
      </w:r>
      <w:r>
        <w:rPr>
          <w:rFonts w:eastAsiaTheme="minorEastAsia"/>
          <w:i/>
          <w:iCs/>
          <w:lang w:val="en-GB"/>
        </w:rPr>
        <w:t>sample-specific</w:t>
      </w:r>
      <w:r>
        <w:rPr>
          <w:rFonts w:eastAsiaTheme="minorEastAsia"/>
          <w:lang w:val="en-GB"/>
        </w:rPr>
        <w:t xml:space="preserve"> genetic component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Pr>
          <w:rFonts w:eastAsiaTheme="minorEastAsia"/>
          <w:lang w:val="en-GB"/>
        </w:rPr>
        <w:t xml:space="preserve"> of the gene expression has with the true </w:t>
      </w:r>
      <w:r w:rsidRPr="00A2749F">
        <w:rPr>
          <w:rFonts w:eastAsiaTheme="minorEastAsia"/>
          <w:i/>
          <w:iCs/>
          <w:lang w:val="en-GB"/>
        </w:rPr>
        <w:t>population-level</w:t>
      </w:r>
      <w:r>
        <w:rPr>
          <w:rFonts w:eastAsiaTheme="minorEastAsia"/>
          <w:lang w:val="en-GB"/>
        </w:rPr>
        <w:t xml:space="preserve"> genetic component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oMath>
      <w:r>
        <w:rPr>
          <w:rFonts w:eastAsiaTheme="minorEastAsia"/>
          <w:lang w:val="en-GB"/>
        </w:rPr>
        <w:t xml:space="preserve"> of the phenotype. Since the specific sample on which this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Pr>
          <w:rFonts w:eastAsiaTheme="minorEastAsia"/>
          <w:lang w:val="en-GB"/>
        </w:rPr>
        <w:t xml:space="preserve"> is based on is unlikely to be of particular scientific interest, this will have little practical use.</w:t>
      </w:r>
    </w:p>
    <w:p w14:paraId="3800B446" w14:textId="0E10A94A" w:rsidR="00926290" w:rsidRDefault="00926290">
      <w:pPr>
        <w:rPr>
          <w:highlight w:val="yellow"/>
          <w:lang w:val="en-GB"/>
        </w:rPr>
      </w:pPr>
    </w:p>
    <w:p w14:paraId="303B36C7" w14:textId="23AC0C79" w:rsidR="00926290" w:rsidRDefault="00926290">
      <w:pPr>
        <w:rPr>
          <w:highlight w:val="yellow"/>
          <w:lang w:val="en-GB"/>
        </w:rPr>
      </w:pPr>
    </w:p>
    <w:p w14:paraId="1A674657" w14:textId="77777777" w:rsidR="00926290" w:rsidRDefault="00926290">
      <w:pPr>
        <w:rPr>
          <w:highlight w:val="yellow"/>
          <w:lang w:val="en-GB"/>
        </w:rPr>
      </w:pPr>
    </w:p>
    <w:p w14:paraId="3CF9F4DF" w14:textId="6F3943F3" w:rsidR="0052004F" w:rsidRDefault="004C0A29" w:rsidP="0052004F">
      <w:pPr>
        <w:pStyle w:val="Kop1"/>
      </w:pPr>
      <w:bookmarkStart w:id="1" w:name="_Toc79957408"/>
      <w:r>
        <w:t>Relation to</w:t>
      </w:r>
      <w:r w:rsidR="0052004F">
        <w:t xml:space="preserve"> </w:t>
      </w:r>
      <w:r w:rsidR="00F16831">
        <w:t>joint association testing</w:t>
      </w:r>
      <w:bookmarkEnd w:id="1"/>
    </w:p>
    <w:p w14:paraId="40DC87CF" w14:textId="6752E64A" w:rsidR="0052004F" w:rsidRDefault="0052004F" w:rsidP="0052004F">
      <w:pPr>
        <w:rPr>
          <w:lang w:val="en-GB"/>
        </w:rPr>
      </w:pPr>
    </w:p>
    <w:p w14:paraId="0314FA50" w14:textId="7FD230D8" w:rsidR="00F16831" w:rsidRDefault="004C0A29" w:rsidP="0052004F">
      <w:pPr>
        <w:rPr>
          <w:rFonts w:eastAsiaTheme="minorEastAsia"/>
          <w:lang w:val="en-GB"/>
        </w:rPr>
      </w:pPr>
      <w:r>
        <w:rPr>
          <w:lang w:val="en-GB"/>
        </w:rPr>
        <w:t xml:space="preserve">As shown in the main text, the second stage of the TWAS analysis can be </w:t>
      </w:r>
      <w:r w:rsidR="00F90043">
        <w:rPr>
          <w:lang w:val="en-GB"/>
        </w:rPr>
        <w:t>interpreted</w:t>
      </w:r>
      <w:r>
        <w:rPr>
          <w:lang w:val="en-GB"/>
        </w:rPr>
        <w:t xml:space="preserve"> as a </w:t>
      </w:r>
      <w:r w:rsidR="00F90043">
        <w:rPr>
          <w:lang w:val="en-GB"/>
        </w:rPr>
        <w:t xml:space="preserve">test of joint association between the SNPs in </w:t>
      </w:r>
      <m:oMath>
        <m:r>
          <w:rPr>
            <w:rFonts w:ascii="Cambria Math" w:hAnsi="Cambria Math"/>
            <w:lang w:val="en-GB"/>
          </w:rPr>
          <m:t>X</m:t>
        </m:r>
      </m:oMath>
      <w:r w:rsidR="00F90043">
        <w:rPr>
          <w:rFonts w:eastAsiaTheme="minorEastAsia"/>
          <w:lang w:val="en-GB"/>
        </w:rPr>
        <w:t xml:space="preserve"> and the phenotype </w:t>
      </w:r>
      <m:oMath>
        <m:r>
          <w:rPr>
            <w:rFonts w:ascii="Cambria Math" w:eastAsiaTheme="minorEastAsia" w:hAnsi="Cambria Math"/>
            <w:lang w:val="en-GB"/>
          </w:rPr>
          <m:t>Y</m:t>
        </m:r>
      </m:oMath>
      <w:r w:rsidR="00F90043">
        <w:rPr>
          <w:rFonts w:eastAsiaTheme="minorEastAsia"/>
          <w:lang w:val="en-GB"/>
        </w:rPr>
        <w:t xml:space="preserve">, under the constraint that the joint </w:t>
      </w:r>
      <w:r w:rsidR="00CE4189">
        <w:rPr>
          <w:rFonts w:eastAsiaTheme="minorEastAsia"/>
          <w:lang w:val="en-GB"/>
        </w:rPr>
        <w:t xml:space="preserve">SNP </w:t>
      </w:r>
      <w:r w:rsidR="00F90043">
        <w:rPr>
          <w:rFonts w:eastAsiaTheme="minorEastAsia"/>
          <w:lang w:val="en-GB"/>
        </w:rPr>
        <w:t xml:space="preserve">effect size vector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oMath>
      <w:r w:rsidR="00F90043">
        <w:rPr>
          <w:rFonts w:eastAsiaTheme="minorEastAsia"/>
          <w:lang w:val="en-GB"/>
        </w:rPr>
        <w:t xml:space="preserve"> in equation (3) is constrained to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r>
          <w:rPr>
            <w:rFonts w:ascii="Cambria Math" w:eastAsiaTheme="minorEastAsia" w:hAnsi="Cambria Math"/>
            <w:lang w:val="en-GB"/>
          </w:rPr>
          <m:t>=</m:t>
        </m:r>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r>
          <w:rPr>
            <w:rFonts w:ascii="Cambria Math" w:eastAsiaTheme="minorEastAsia" w:hAnsi="Cambria Math"/>
            <w:lang w:val="en-GB"/>
          </w:rPr>
          <m:t>β</m:t>
        </m:r>
      </m:oMath>
      <w:r w:rsidR="00F90043">
        <w:rPr>
          <w:rFonts w:eastAsiaTheme="minorEastAsia"/>
          <w:lang w:val="en-GB"/>
        </w:rPr>
        <w:t>. That is, the joint genetic association effect sizes with the outcome phenotype are assumed to be proportional to the estimated joint genetic assoc</w:t>
      </w:r>
      <w:r w:rsidR="00C71A02">
        <w:rPr>
          <w:rFonts w:eastAsiaTheme="minorEastAsia"/>
          <w:lang w:val="en-GB"/>
        </w:rPr>
        <w:t>i</w:t>
      </w:r>
      <w:r w:rsidR="00F90043">
        <w:rPr>
          <w:rFonts w:eastAsiaTheme="minorEastAsia"/>
          <w:lang w:val="en-GB"/>
        </w:rPr>
        <w:t>ation effect sizes for the gene expression.</w:t>
      </w:r>
      <w:r w:rsidR="00443951">
        <w:rPr>
          <w:rFonts w:eastAsiaTheme="minorEastAsia"/>
          <w:lang w:val="en-GB"/>
        </w:rPr>
        <w:t xml:space="preserve"> </w:t>
      </w:r>
    </w:p>
    <w:p w14:paraId="725999C5" w14:textId="545FDF4D" w:rsidR="0052004F" w:rsidRDefault="00F16831" w:rsidP="00F16831">
      <w:pPr>
        <w:rPr>
          <w:rFonts w:eastAsiaTheme="minorEastAsia"/>
          <w:lang w:val="en-GB"/>
        </w:rPr>
      </w:pPr>
      <w:r>
        <w:rPr>
          <w:rFonts w:eastAsiaTheme="minorEastAsia"/>
          <w:lang w:val="en-GB"/>
        </w:rPr>
        <w:tab/>
      </w:r>
      <w:r w:rsidR="00E776C1">
        <w:rPr>
          <w:rFonts w:eastAsiaTheme="minorEastAsia"/>
          <w:lang w:val="en-GB"/>
        </w:rPr>
        <w:t>S</w:t>
      </w:r>
      <w:r w:rsidR="00443951">
        <w:rPr>
          <w:rFonts w:eastAsiaTheme="minorEastAsia"/>
          <w:lang w:val="en-GB"/>
        </w:rPr>
        <w:t xml:space="preserve">ince </w:t>
      </w:r>
      <m:oMath>
        <m:r>
          <w:rPr>
            <w:rFonts w:ascii="Cambria Math" w:eastAsiaTheme="minorEastAsia" w:hAnsi="Cambria Math"/>
            <w:lang w:val="en-GB"/>
          </w:rPr>
          <m:t>β=0</m:t>
        </m:r>
      </m:oMath>
      <w:r w:rsidR="00443951">
        <w:rPr>
          <w:rFonts w:eastAsiaTheme="minorEastAsia"/>
          <w:lang w:val="en-GB"/>
        </w:rPr>
        <w:t xml:space="preserve"> implies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r>
          <w:rPr>
            <w:rFonts w:ascii="Cambria Math" w:eastAsiaTheme="minorEastAsia" w:hAnsi="Cambria Math"/>
            <w:lang w:val="en-GB"/>
          </w:rPr>
          <m:t>=</m:t>
        </m:r>
        <m:acc>
          <m:accPr>
            <m:chr m:val="⃗"/>
            <m:ctrlPr>
              <w:rPr>
                <w:rFonts w:ascii="Cambria Math" w:eastAsiaTheme="minorEastAsia" w:hAnsi="Cambria Math"/>
                <w:i/>
                <w:lang w:val="en-GB"/>
              </w:rPr>
            </m:ctrlPr>
          </m:accPr>
          <m:e>
            <m:r>
              <w:rPr>
                <w:rFonts w:ascii="Cambria Math" w:eastAsiaTheme="minorEastAsia" w:hAnsi="Cambria Math"/>
                <w:lang w:val="en-GB"/>
              </w:rPr>
              <m:t>0</m:t>
            </m:r>
          </m:e>
        </m:acc>
      </m:oMath>
      <w:r w:rsidR="00443951">
        <w:rPr>
          <w:rFonts w:eastAsiaTheme="minorEastAsia"/>
          <w:lang w:val="en-GB"/>
        </w:rPr>
        <w:t xml:space="preserve"> and vice versa</w:t>
      </w:r>
      <w:r w:rsidR="00E776C1">
        <w:rPr>
          <w:rFonts w:eastAsiaTheme="minorEastAsia"/>
          <w:lang w:val="en-GB"/>
        </w:rPr>
        <w:t>, the null hypothesis being tested (</w:t>
      </w:r>
      <m:oMath>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0</m:t>
            </m:r>
          </m:sub>
        </m:sSub>
        <m: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r>
          <w:rPr>
            <w:rFonts w:ascii="Cambria Math" w:eastAsiaTheme="minorEastAsia" w:hAnsi="Cambria Math"/>
            <w:lang w:val="en-GB"/>
          </w:rPr>
          <m:t>=</m:t>
        </m:r>
        <m:acc>
          <m:accPr>
            <m:chr m:val="⃗"/>
            <m:ctrlPr>
              <w:rPr>
                <w:rFonts w:ascii="Cambria Math" w:eastAsiaTheme="minorEastAsia" w:hAnsi="Cambria Math"/>
                <w:i/>
                <w:lang w:val="en-GB"/>
              </w:rPr>
            </m:ctrlPr>
          </m:accPr>
          <m:e>
            <m:r>
              <w:rPr>
                <w:rFonts w:ascii="Cambria Math" w:eastAsiaTheme="minorEastAsia" w:hAnsi="Cambria Math"/>
                <w:lang w:val="en-GB"/>
              </w:rPr>
              <m:t>0</m:t>
            </m:r>
          </m:e>
        </m:acc>
      </m:oMath>
      <w:r w:rsidR="00E776C1">
        <w:rPr>
          <w:rFonts w:eastAsiaTheme="minorEastAsia"/>
          <w:lang w:val="en-GB"/>
        </w:rPr>
        <w:t xml:space="preserve">) is the same as in an unconstrained model, and only the power characteristics of the analysis </w:t>
      </w:r>
      <w:r w:rsidR="00F87C40">
        <w:rPr>
          <w:rFonts w:eastAsiaTheme="minorEastAsia"/>
          <w:lang w:val="en-GB"/>
        </w:rPr>
        <w:t>differ</w:t>
      </w:r>
      <w:r w:rsidR="00E776C1">
        <w:rPr>
          <w:rFonts w:eastAsiaTheme="minorEastAsia"/>
          <w:lang w:val="en-GB"/>
        </w:rPr>
        <w:t xml:space="preserve">. </w:t>
      </w:r>
      <w:r w:rsidR="004E6F18">
        <w:rPr>
          <w:rFonts w:eastAsiaTheme="minorEastAsia"/>
          <w:lang w:val="en-GB"/>
        </w:rPr>
        <w:t xml:space="preserve">In cases where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oMath>
      <w:r w:rsidR="004E6F18">
        <w:rPr>
          <w:rFonts w:eastAsiaTheme="minorEastAsia"/>
          <w:lang w:val="en-GB"/>
        </w:rPr>
        <w:t xml:space="preserve"> is (sufficiently close to) proportional to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oMath>
      <w:r w:rsidR="004E6F18">
        <w:rPr>
          <w:rFonts w:eastAsiaTheme="minorEastAsia"/>
          <w:lang w:val="en-GB"/>
        </w:rPr>
        <w:t xml:space="preserve">, imposing this proportionality constraint would not substantially reduce the fit of the model while using only a single parameter. Since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oMath>
      <w:r w:rsidR="004E6F18">
        <w:rPr>
          <w:rFonts w:eastAsiaTheme="minorEastAsia"/>
          <w:lang w:val="en-GB"/>
        </w:rPr>
        <w:t xml:space="preserve"> can potentially contain hundreds or even thousands of parameters, this would yield a large increase in statistical power to detect </w:t>
      </w:r>
      <w:r w:rsidR="00CE4189">
        <w:rPr>
          <w:rFonts w:eastAsiaTheme="minorEastAsia"/>
          <w:lang w:val="en-GB"/>
        </w:rPr>
        <w:t xml:space="preserve">an </w:t>
      </w:r>
      <w:r w:rsidR="004E6F18">
        <w:rPr>
          <w:rFonts w:eastAsiaTheme="minorEastAsia"/>
          <w:lang w:val="en-GB"/>
        </w:rPr>
        <w:t xml:space="preserve">association. </w:t>
      </w:r>
      <w:r w:rsidR="00470F8D">
        <w:rPr>
          <w:rFonts w:eastAsiaTheme="minorEastAsia"/>
          <w:lang w:val="en-GB"/>
        </w:rPr>
        <w:t>However, t</w:t>
      </w:r>
      <w:r w:rsidR="004E6F18">
        <w:rPr>
          <w:rFonts w:eastAsiaTheme="minorEastAsia"/>
          <w:lang w:val="en-GB"/>
        </w:rPr>
        <w:t>his comes at the expense of reducing power when this proportionality is not present, possibly reducing it to almost zero if the true</w:t>
      </w:r>
      <w:r w:rsidR="00964264">
        <w:rPr>
          <w:rFonts w:eastAsiaTheme="minorEastAsia"/>
          <w:lang w:val="en-GB"/>
        </w:rPr>
        <w:t xml:space="preserve"> associations between </w:t>
      </w:r>
      <m:oMath>
        <m:r>
          <w:rPr>
            <w:rFonts w:ascii="Cambria Math" w:eastAsiaTheme="minorEastAsia" w:hAnsi="Cambria Math"/>
            <w:lang w:val="en-GB"/>
          </w:rPr>
          <m:t>X</m:t>
        </m:r>
      </m:oMath>
      <w:r w:rsidR="00964264">
        <w:rPr>
          <w:rFonts w:eastAsiaTheme="minorEastAsia"/>
          <w:lang w:val="en-GB"/>
        </w:rPr>
        <w:t xml:space="preserve"> and </w:t>
      </w:r>
      <m:oMath>
        <m:r>
          <w:rPr>
            <w:rFonts w:ascii="Cambria Math" w:eastAsiaTheme="minorEastAsia" w:hAnsi="Cambria Math"/>
            <w:lang w:val="en-GB"/>
          </w:rPr>
          <m:t>Y</m:t>
        </m:r>
      </m:oMath>
      <w:r w:rsidR="004E6F18">
        <w:rPr>
          <w:rFonts w:eastAsiaTheme="minorEastAsia"/>
          <w:lang w:val="en-GB"/>
        </w:rPr>
        <w:t xml:space="preserve"> are inconsistent with the directions in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oMath>
      <w:r w:rsidR="004E6F18">
        <w:rPr>
          <w:rFonts w:eastAsiaTheme="minorEastAsia"/>
          <w:lang w:val="en-GB"/>
        </w:rPr>
        <w:t>.</w:t>
      </w:r>
    </w:p>
    <w:p w14:paraId="1DB66662" w14:textId="77777777" w:rsidR="005E0C9A" w:rsidRDefault="009F1861" w:rsidP="00F16831">
      <w:pPr>
        <w:rPr>
          <w:rFonts w:eastAsiaTheme="minorEastAsia"/>
          <w:lang w:val="en-GB"/>
        </w:rPr>
      </w:pPr>
      <w:r>
        <w:rPr>
          <w:rFonts w:eastAsiaTheme="minorEastAsia"/>
          <w:lang w:val="en-GB"/>
        </w:rPr>
        <w:tab/>
        <w:t xml:space="preserve">It would be tempting to assume that because the weights used in TWAS are based on eQTL data, it is still possible to draw </w:t>
      </w:r>
      <w:r>
        <w:rPr>
          <w:rFonts w:eastAsiaTheme="minorEastAsia"/>
          <w:i/>
          <w:iCs/>
          <w:lang w:val="en-GB"/>
        </w:rPr>
        <w:t>some</w:t>
      </w:r>
      <w:r>
        <w:rPr>
          <w:rFonts w:eastAsiaTheme="minorEastAsia"/>
          <w:lang w:val="en-GB"/>
        </w:rPr>
        <w:t xml:space="preserve"> sort of conclusions</w:t>
      </w:r>
      <w:r w:rsidR="003B35C2">
        <w:rPr>
          <w:rFonts w:eastAsiaTheme="minorEastAsia"/>
          <w:lang w:val="en-GB"/>
        </w:rPr>
        <w:t xml:space="preserve"> from significant TWAS results</w:t>
      </w:r>
      <w:r>
        <w:rPr>
          <w:rFonts w:eastAsiaTheme="minorEastAsia"/>
          <w:lang w:val="en-GB"/>
        </w:rPr>
        <w:t xml:space="preserve"> regarding the involvement of the expression of that gene and tissue in the genetics of the phenotype. </w:t>
      </w:r>
      <w:r w:rsidR="003B35C2">
        <w:rPr>
          <w:rFonts w:eastAsiaTheme="minorEastAsia"/>
          <w:lang w:val="en-GB"/>
        </w:rPr>
        <w:t xml:space="preserve">After all, a significant result means that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003B35C2">
        <w:rPr>
          <w:rFonts w:eastAsiaTheme="minorEastAsia"/>
          <w:lang w:val="en-GB"/>
        </w:rPr>
        <w:t xml:space="preserve"> is at least to some degree </w:t>
      </w:r>
      <w:r w:rsidR="00095865">
        <w:rPr>
          <w:rFonts w:eastAsiaTheme="minorEastAsia"/>
          <w:lang w:val="en-GB"/>
        </w:rPr>
        <w:t>associated with</w:t>
      </w:r>
      <w:r w:rsidR="003B35C2">
        <w:rPr>
          <w:rFonts w:eastAsiaTheme="minorEastAsia"/>
          <w:lang w:val="en-GB"/>
        </w:rPr>
        <w:t xml:space="preserve"> </w:t>
      </w:r>
      <m:oMath>
        <m:r>
          <w:rPr>
            <w:rFonts w:ascii="Cambria Math" w:eastAsiaTheme="minorEastAsia" w:hAnsi="Cambria Math"/>
            <w:lang w:val="en-GB"/>
          </w:rPr>
          <m:t>Y</m:t>
        </m:r>
      </m:oMath>
      <w:r w:rsidR="003B35C2">
        <w:rPr>
          <w:rFonts w:eastAsiaTheme="minorEastAsia"/>
          <w:lang w:val="en-GB"/>
        </w:rPr>
        <w:t xml:space="preserve">. </w:t>
      </w:r>
    </w:p>
    <w:p w14:paraId="16E85514" w14:textId="2DB42494" w:rsidR="00CD0A9E" w:rsidRDefault="005E0C9A" w:rsidP="005E0C9A">
      <w:pPr>
        <w:rPr>
          <w:rFonts w:eastAsiaTheme="minorEastAsia"/>
          <w:lang w:val="en-GB"/>
        </w:rPr>
      </w:pPr>
      <w:r>
        <w:rPr>
          <w:rFonts w:eastAsiaTheme="minorEastAsia"/>
          <w:lang w:val="en-GB"/>
        </w:rPr>
        <w:tab/>
      </w:r>
      <w:r w:rsidR="00DB3372">
        <w:rPr>
          <w:rFonts w:eastAsiaTheme="minorEastAsia"/>
          <w:lang w:val="en-GB"/>
        </w:rPr>
        <w:t xml:space="preserve">However, this association can potentially come from chance correlations with the noise term included in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00DB3372">
        <w:rPr>
          <w:rFonts w:eastAsiaTheme="minorEastAsia"/>
          <w:lang w:val="en-GB"/>
        </w:rPr>
        <w:t xml:space="preserve">, and the results in Supplemental Table 1 </w:t>
      </w:r>
      <w:r w:rsidR="00E50EC3">
        <w:rPr>
          <w:rFonts w:eastAsiaTheme="minorEastAsia"/>
          <w:lang w:val="en-GB"/>
        </w:rPr>
        <w:t>bear this out</w:t>
      </w:r>
      <w:r>
        <w:rPr>
          <w:rFonts w:eastAsiaTheme="minorEastAsia"/>
          <w:lang w:val="en-GB"/>
        </w:rPr>
        <w:t>: even when no discernable genetic association with the gene expression</w:t>
      </w:r>
      <w:r w:rsidR="00700612">
        <w:rPr>
          <w:rFonts w:eastAsiaTheme="minorEastAsia"/>
          <w:lang w:val="en-GB"/>
        </w:rPr>
        <w:t xml:space="preserve"> </w:t>
      </w:r>
      <w:r>
        <w:rPr>
          <w:rFonts w:eastAsiaTheme="minorEastAsia"/>
          <w:lang w:val="en-GB"/>
        </w:rPr>
        <w:t xml:space="preserve">is present </w:t>
      </w:r>
      <w:r w:rsidR="00936DE1">
        <w:rPr>
          <w:rFonts w:eastAsiaTheme="minorEastAsia"/>
          <w:lang w:val="en-GB"/>
        </w:rPr>
        <w:t xml:space="preserve">(ie.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acc>
          <m:accPr>
            <m:chr m:val="⃗"/>
            <m:ctrlPr>
              <w:rPr>
                <w:rFonts w:ascii="Cambria Math" w:eastAsiaTheme="minorEastAsia" w:hAnsi="Cambria Math"/>
                <w:i/>
                <w:lang w:val="en-GB"/>
              </w:rPr>
            </m:ctrlPr>
          </m:accPr>
          <m:e>
            <m:r>
              <w:rPr>
                <w:rFonts w:ascii="Cambria Math" w:eastAsiaTheme="minorEastAsia" w:hAnsi="Cambria Math"/>
                <w:lang w:val="en-GB"/>
              </w:rPr>
              <m:t>0</m:t>
            </m:r>
          </m:e>
        </m:acc>
      </m:oMath>
      <w:r w:rsidR="00936DE1">
        <w:rPr>
          <w:rFonts w:eastAsiaTheme="minorEastAsia"/>
          <w:lang w:val="en-GB"/>
        </w:rPr>
        <w:t xml:space="preserve">) </w:t>
      </w:r>
      <w:r>
        <w:rPr>
          <w:rFonts w:eastAsiaTheme="minorEastAsia"/>
          <w:lang w:val="en-GB"/>
        </w:rPr>
        <w:t xml:space="preserve">and the computed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Pr>
          <w:rFonts w:eastAsiaTheme="minorEastAsia"/>
          <w:lang w:val="en-GB"/>
        </w:rPr>
        <w:t xml:space="preserve"> is effectively reduced to just that noise term</w:t>
      </w:r>
      <w:r w:rsidR="00936DE1">
        <w:rPr>
          <w:rFonts w:eastAsiaTheme="minorEastAsia"/>
          <w:lang w:val="en-GB"/>
        </w:rPr>
        <w:t xml:space="preserve">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δ</m:t>
                </m:r>
              </m:e>
            </m:acc>
          </m:e>
          <m:sub>
            <m:r>
              <w:rPr>
                <w:rFonts w:ascii="Cambria Math" w:eastAsiaTheme="minorEastAsia" w:hAnsi="Cambria Math"/>
                <w:lang w:val="en-GB"/>
              </w:rPr>
              <m:t>E</m:t>
            </m:r>
          </m:sub>
        </m:sSub>
      </m:oMath>
      <w:r>
        <w:rPr>
          <w:rFonts w:eastAsiaTheme="minorEastAsia"/>
          <w:lang w:val="en-GB"/>
        </w:rPr>
        <w:t xml:space="preserve">, there is still a considerable number of significant TWAS associations. </w:t>
      </w:r>
      <w:r w:rsidR="00E50EC3">
        <w:rPr>
          <w:rFonts w:eastAsiaTheme="minorEastAsia"/>
          <w:lang w:val="en-GB"/>
        </w:rPr>
        <w:t xml:space="preserve">The noise term will be just as capable of driving TWAS associations when a non-zero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oMath>
      <w:r w:rsidR="00E50EC3">
        <w:rPr>
          <w:rFonts w:eastAsiaTheme="minorEastAsia"/>
          <w:lang w:val="en-GB"/>
        </w:rPr>
        <w:t xml:space="preserve"> component is present, meaning that associations between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oMath>
      <w:r w:rsidR="00E50EC3">
        <w:rPr>
          <w:rFonts w:eastAsiaTheme="minorEastAsia"/>
          <w:lang w:val="en-GB"/>
        </w:rPr>
        <w:t xml:space="preserve"> and </w:t>
      </w:r>
      <m:oMath>
        <m:r>
          <w:rPr>
            <w:rFonts w:ascii="Cambria Math" w:eastAsiaTheme="minorEastAsia" w:hAnsi="Cambria Math"/>
            <w:lang w:val="en-GB"/>
          </w:rPr>
          <m:t>Y</m:t>
        </m:r>
      </m:oMath>
      <w:r w:rsidR="00E50EC3">
        <w:rPr>
          <w:rFonts w:eastAsiaTheme="minorEastAsia"/>
          <w:lang w:val="en-GB"/>
        </w:rPr>
        <w:t xml:space="preserve"> simply cannot be relied upon to draw any conclusions about the involvement of the gene expression in the genetic signal of </w:t>
      </w:r>
      <m:oMath>
        <m:r>
          <w:rPr>
            <w:rFonts w:ascii="Cambria Math" w:eastAsiaTheme="minorEastAsia" w:hAnsi="Cambria Math"/>
            <w:lang w:val="en-GB"/>
          </w:rPr>
          <m:t>Y</m:t>
        </m:r>
      </m:oMath>
      <w:r w:rsidR="00E50EC3">
        <w:rPr>
          <w:rFonts w:eastAsiaTheme="minorEastAsia"/>
          <w:lang w:val="en-GB"/>
        </w:rPr>
        <w:t xml:space="preserve">. All that can be concluded from it is what it’s null hypothesis, </w:t>
      </w:r>
      <m:oMath>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0</m:t>
            </m:r>
          </m:sub>
        </m:sSub>
        <m: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r>
          <w:rPr>
            <w:rFonts w:ascii="Cambria Math" w:eastAsiaTheme="minorEastAsia" w:hAnsi="Cambria Math"/>
            <w:lang w:val="en-GB"/>
          </w:rPr>
          <m:t>=</m:t>
        </m:r>
        <m:acc>
          <m:accPr>
            <m:chr m:val="⃗"/>
            <m:ctrlPr>
              <w:rPr>
                <w:rFonts w:ascii="Cambria Math" w:eastAsiaTheme="minorEastAsia" w:hAnsi="Cambria Math"/>
                <w:i/>
                <w:lang w:val="en-GB"/>
              </w:rPr>
            </m:ctrlPr>
          </m:accPr>
          <m:e>
            <m:r>
              <w:rPr>
                <w:rFonts w:ascii="Cambria Math" w:eastAsiaTheme="minorEastAsia" w:hAnsi="Cambria Math"/>
                <w:lang w:val="en-GB"/>
              </w:rPr>
              <m:t>0</m:t>
            </m:r>
          </m:e>
        </m:acc>
      </m:oMath>
      <w:r w:rsidR="00E50EC3">
        <w:rPr>
          <w:rFonts w:eastAsiaTheme="minorEastAsia"/>
          <w:lang w:val="en-GB"/>
        </w:rPr>
        <w:t xml:space="preserve">, suggests: whether or not there is genetic association between </w:t>
      </w:r>
      <m:oMath>
        <m:r>
          <w:rPr>
            <w:rFonts w:ascii="Cambria Math" w:eastAsiaTheme="minorEastAsia" w:hAnsi="Cambria Math"/>
            <w:lang w:val="en-GB"/>
          </w:rPr>
          <m:t>Y</m:t>
        </m:r>
      </m:oMath>
      <w:r w:rsidR="00E50EC3">
        <w:rPr>
          <w:rFonts w:eastAsiaTheme="minorEastAsia"/>
          <w:lang w:val="en-GB"/>
        </w:rPr>
        <w:t xml:space="preserve"> and the SNPs in </w:t>
      </w:r>
      <m:oMath>
        <m:r>
          <w:rPr>
            <w:rFonts w:ascii="Cambria Math" w:eastAsiaTheme="minorEastAsia" w:hAnsi="Cambria Math"/>
            <w:lang w:val="en-GB"/>
          </w:rPr>
          <m:t>X</m:t>
        </m:r>
      </m:oMath>
      <w:r w:rsidR="00E50EC3">
        <w:rPr>
          <w:rFonts w:eastAsiaTheme="minorEastAsia"/>
          <w:lang w:val="en-GB"/>
        </w:rPr>
        <w:t xml:space="preserve">. </w:t>
      </w:r>
    </w:p>
    <w:p w14:paraId="2CE84171" w14:textId="783B161F" w:rsidR="009012B2" w:rsidRPr="00912900" w:rsidRDefault="009012B2" w:rsidP="009012B2">
      <w:pPr>
        <w:ind w:firstLine="708"/>
        <w:rPr>
          <w:rFonts w:eastAsiaTheme="minorEastAsia"/>
          <w:i/>
          <w:lang w:val="en-GB"/>
        </w:rPr>
      </w:pPr>
      <w:r>
        <w:rPr>
          <w:rFonts w:eastAsiaTheme="minorEastAsia"/>
          <w:lang w:val="en-GB"/>
        </w:rPr>
        <w:t>The nature of TWAS as a form of joint association testing does also suggests a relation with gene-based analysis</w:t>
      </w:r>
      <w:r>
        <w:rPr>
          <w:rFonts w:eastAsiaTheme="minorEastAsia"/>
          <w:lang w:val="en-GB"/>
        </w:rPr>
        <w:fldChar w:fldCharType="begin"/>
      </w:r>
      <w:r w:rsidR="00FA233A">
        <w:rPr>
          <w:rFonts w:eastAsiaTheme="minorEastAsia"/>
          <w:lang w:val="en-GB"/>
        </w:rPr>
        <w:instrText xml:space="preserve"> ADDIN ZOTERO_ITEM CSL_CITATION {"citationID":"gWvpZjo3","properties":{"formattedCitation":"\\super 1\\uc0\\u8211{}3\\nosupersub{}","plainCitation":"1–3","noteIndex":0},"citationItems":[{"id":64,"uris":["http://zotero.org/users/8257072/items/8FR6L9T4"],"uri":["http://zotero.org/users/8257072/items/8FR6L9T4"],"itemData":{"id":64,"type":"article-journal","abstract":"Historically, association tests were limited to single variants, so that the allele was considered the basic unit for association testing. As marker density increases and indirect approaches are used to assess association through linkage disequilibrium, association is now frequently considered at the haplotypic level. We suggest that there are difficulties in replicating association findings at the single-nucleotide–polymorphism (SNP) or the haplotype level, and we propose a shift toward a gene-based approach in which all common variation within a candidate gene is considered jointly. Inconsistencies arising from population differences are more readily resolved by use of a gene-based approach rather than either a SNP-based or a haplotype-based approach. A gene-based approach captures all of the potential risk-conferring variations; thus, negative findings are subject only to the issue of power. In addition, chance findings due to multiple testing can be readily accounted for by use of a genewide-significance level. Meta-analysis procedures can be formalized for gene-based methods through the combination of P values. It is only a matter of time before all variation within genes is mapped, at which point the gene-based approach will become the natural end point for association analysis and will inform our search for functional variants relevant to disease etiology.","container-title":"The American Journal of Human Genetics","DOI":"10.1086/423901","ISSN":"0002-9297","issue":"3","journalAbbreviation":"The American Journal of Human Genetics","language":"en","page":"353-362","source":"ScienceDirect","title":"The Future of Association Studies: Gene-Based Analysis and Replication","title-short":"The Future of Association Studies","volume":"75","author":[{"family":"Neale","given":"Benjamin M."},{"family":"Sham","given":"Pak C."}],"issued":{"date-parts":[["2004",9,1]]}}},{"id":67,"uris":["http://zotero.org/users/8257072/items/DGPJT83G"],"uri":["http://zotero.org/users/8257072/items/DGPJT83G"],"itemData":{"id":67,"type":"article-journal","abstract":"The study of gene-based genetic associations has gained conceptual popularity recently. Biologic insight into the etiology of a complex disease can be gained by focusing on genes as testing units. Several gene-based methods (e.g., minimum p-value (or maximum test statistic) or entropy-based method) have been developed and have more power than a single nucleotide polymorphism (SNP)-based analysis. The objective of this study is to compare the performance of the entropy-based method with the minimum p-value and single SNP–based analysis and to explore their strengths and weaknesses. Simulation studies show that: 1) all three methods can reasonably control the false-positive rate; 2) the minimum p-value method outperforms the entropy-based and the single SNP–based method when only one disease-related SNP occurs within the gene; 3) the entropy-based method outperforms the other methods when there are more than two disease-related SNPs in the gene; and 4) the entropy-based method is computationally more efficient than the minimum p-value method. Application to a real data set shows that more significant genes were identified by the entropy-based method than by the other two methods.","container-title":"Current Genomics","DOI":"10.2174/13892029113149990001","ISSN":"1389-2029","issue":"4","journalAbbreviation":"Curr Genomics","note":"PMID: 24294105\nPMCID: PMC3731815","page":"250-255","source":"PubMed Central","title":"Gene-based Genomewide Association Analysis: A Comparison Study","title-short":"Gene-based Genomewide Association Analysis","volume":"14","author":[{"family":"Kang","given":"Guolian"},{"family":"Jiang","given":"Bo"},{"family":"Cui","given":"Yuehua"}],"issued":{"date-parts":[["2013",6]]}}},{"id":1,"uris":["http://zotero.org/users/8257072/items/WP2NI7R2"],"uri":["http://zotero.org/users/8257072/items/WP2NI7R2"],"itemData":{"id":1,"type":"article-journal","abstract":"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 Gene and gene-set analysis are statistical methods for analysing multiple genetic markers simultaneously to determine their joint effect. These methods can be used when the effects of individual markers is too weak to detect, which is a common problem when studying polygenic traits. Moreover, gene-set analysis can provide additional insight into functional and biological mechanisms underlying the genetic component of a trait. Although a number of methods for gene and gene-set analysis are available however, they generally suffer from various statistical issues and can be very time-consuming to run. We have therefore developed a new method called MAGMA to address these issues, and have compared it to a number of existing tools. Our results show that MAGMA detects more associated genes and gene-sets than other methods, and is also considerably faster. The way the method is set up also makes it highly flexible. This makes it suitable as a basis for more general statistical analyses aimed at investigating more complex research questions.","container-title":"PLoS Computational Biology","DOI":"10.1371/journal.pcbi.1004219","ISSN":"1553-734X","issue":"4","journalAbbreviation":"PLoS Comput Biol","note":"PMID: 25885710\nPMCID: PMC4401657","page":"e1004219","source":"PubMed Central","title":"MAGMA: Generalized Gene-Set Analysis of GWAS Data","title-short":"MAGMA","volume":"11","author":[{"family":"Leeuw","given":"Christiaan A.","non-dropping-particle":"de"},{"family":"Mooij","given":"Joris M."},{"family":"Heskes","given":"Tom"},{"family":"Posthuma","given":"Danielle"}],"issued":{"date-parts":[["2015",4,17]]}}}],"schema":"https://github.com/citation-style-language/schema/raw/master/csl-citation.json"} </w:instrText>
      </w:r>
      <w:r>
        <w:rPr>
          <w:rFonts w:eastAsiaTheme="minorEastAsia"/>
          <w:lang w:val="en-GB"/>
        </w:rPr>
        <w:fldChar w:fldCharType="separate"/>
      </w:r>
      <w:r w:rsidR="00FA233A" w:rsidRPr="00FA233A">
        <w:rPr>
          <w:rFonts w:ascii="Calibri" w:hAnsi="Calibri" w:cs="Calibri"/>
          <w:szCs w:val="24"/>
          <w:vertAlign w:val="superscript"/>
          <w:lang w:val="en-GB"/>
        </w:rPr>
        <w:t>1–3</w:t>
      </w:r>
      <w:r>
        <w:rPr>
          <w:rFonts w:eastAsiaTheme="minorEastAsia"/>
          <w:lang w:val="en-GB"/>
        </w:rPr>
        <w:fldChar w:fldCharType="end"/>
      </w:r>
      <w:r>
        <w:rPr>
          <w:rFonts w:eastAsiaTheme="minorEastAsia"/>
          <w:lang w:val="en-GB"/>
        </w:rPr>
        <w:t xml:space="preserve">, since this performs a test of joint association of a set of SNPs with an outcome </w:t>
      </w:r>
      <m:oMath>
        <m:r>
          <w:rPr>
            <w:rFonts w:ascii="Cambria Math" w:eastAsiaTheme="minorEastAsia" w:hAnsi="Cambria Math"/>
            <w:lang w:val="en-GB"/>
          </w:rPr>
          <m:t>Y</m:t>
        </m:r>
      </m:oMath>
      <w:r>
        <w:rPr>
          <w:rFonts w:eastAsiaTheme="minorEastAsia"/>
          <w:lang w:val="en-GB"/>
        </w:rPr>
        <w:t xml:space="preserve"> as well. However, interpretation of gene-based analysis hinges on the fact that the SNPs used are all located inside, or very close to, the transcription region of the gene being tested. It therefore localizes genetic association to that transcription region. By contrast, TWAS typically includes SNPs from an area orders of magnitude larger than the transcription region of the genes. As such they do not localize genetic association to nearly the same degree, and therefore cannot really be interpreted as a form of gene-based analysis</w:t>
      </w:r>
      <w:r w:rsidR="00647541">
        <w:rPr>
          <w:rFonts w:eastAsiaTheme="minorEastAsia"/>
          <w:lang w:val="en-GB"/>
        </w:rPr>
        <w:t xml:space="preserve">, unless SNP selection is similarly restricted to a more localized area. </w:t>
      </w:r>
    </w:p>
    <w:p w14:paraId="3A20F1D3" w14:textId="1CE9F157" w:rsidR="00DB3372" w:rsidRDefault="00DB3372" w:rsidP="00F16831">
      <w:pPr>
        <w:rPr>
          <w:rFonts w:eastAsiaTheme="minorEastAsia"/>
          <w:lang w:val="en-GB"/>
        </w:rPr>
      </w:pPr>
    </w:p>
    <w:p w14:paraId="4BE981C9" w14:textId="21A785F6" w:rsidR="009223C1" w:rsidRDefault="009223C1" w:rsidP="00F16831">
      <w:pPr>
        <w:rPr>
          <w:rFonts w:eastAsiaTheme="minorEastAsia"/>
          <w:lang w:val="en-GB"/>
        </w:rPr>
      </w:pPr>
    </w:p>
    <w:p w14:paraId="32CAED29" w14:textId="0B9FB371" w:rsidR="00454532" w:rsidRDefault="00454532" w:rsidP="00F16831">
      <w:pPr>
        <w:rPr>
          <w:rFonts w:eastAsiaTheme="minorEastAsia"/>
          <w:lang w:val="en-GB"/>
        </w:rPr>
      </w:pPr>
    </w:p>
    <w:p w14:paraId="08B3A0C3" w14:textId="1CAED377" w:rsidR="00454532" w:rsidRDefault="00454532" w:rsidP="00454532">
      <w:pPr>
        <w:pStyle w:val="Kop1"/>
      </w:pPr>
      <w:bookmarkStart w:id="2" w:name="_Toc79957409"/>
      <w:r>
        <w:t>Non-linear TWAS models</w:t>
      </w:r>
      <w:bookmarkEnd w:id="2"/>
    </w:p>
    <w:p w14:paraId="438CCCF5" w14:textId="77777777" w:rsidR="00454532" w:rsidRDefault="00454532" w:rsidP="00F16831">
      <w:pPr>
        <w:rPr>
          <w:rFonts w:eastAsiaTheme="minorEastAsia"/>
          <w:lang w:val="en-GB"/>
        </w:rPr>
      </w:pPr>
    </w:p>
    <w:p w14:paraId="14F3F7A8" w14:textId="179E67B7" w:rsidR="00964264" w:rsidRDefault="00FF4C99" w:rsidP="00454532">
      <w:pPr>
        <w:rPr>
          <w:rFonts w:eastAsiaTheme="minorEastAsia"/>
          <w:lang w:val="en-GB"/>
        </w:rPr>
      </w:pPr>
      <w:r>
        <w:rPr>
          <w:rFonts w:eastAsiaTheme="minorEastAsia"/>
          <w:lang w:val="en-GB"/>
        </w:rPr>
        <w:t xml:space="preserve">Several </w:t>
      </w:r>
      <w:r w:rsidR="002D31C6">
        <w:rPr>
          <w:rFonts w:eastAsiaTheme="minorEastAsia"/>
          <w:lang w:val="en-GB"/>
        </w:rPr>
        <w:t>of the</w:t>
      </w:r>
      <w:r>
        <w:rPr>
          <w:rFonts w:eastAsiaTheme="minorEastAsia"/>
          <w:lang w:val="en-GB"/>
        </w:rPr>
        <w:t xml:space="preserve"> methods </w:t>
      </w:r>
      <w:r w:rsidR="002D31C6">
        <w:rPr>
          <w:rFonts w:eastAsiaTheme="minorEastAsia"/>
          <w:lang w:val="en-GB"/>
        </w:rPr>
        <w:t>listed in Table 1</w:t>
      </w:r>
      <w:r w:rsidR="00CE4189">
        <w:rPr>
          <w:rFonts w:eastAsiaTheme="minorEastAsia"/>
          <w:lang w:val="en-GB"/>
        </w:rPr>
        <w:t xml:space="preserve"> (‘non-linear models’)</w:t>
      </w:r>
      <w:r w:rsidR="002D31C6">
        <w:rPr>
          <w:rFonts w:eastAsiaTheme="minorEastAsia"/>
          <w:lang w:val="en-GB"/>
        </w:rPr>
        <w:t xml:space="preserve"> </w:t>
      </w:r>
      <w:r w:rsidR="00BC62AD">
        <w:rPr>
          <w:rFonts w:eastAsiaTheme="minorEastAsia"/>
          <w:lang w:val="en-GB"/>
        </w:rPr>
        <w:t xml:space="preserve">more </w:t>
      </w:r>
      <w:r w:rsidR="002D31C6">
        <w:rPr>
          <w:rFonts w:eastAsiaTheme="minorEastAsia"/>
          <w:lang w:val="en-GB"/>
        </w:rPr>
        <w:t>explicitly approach TWAS as a form of joint association testing</w:t>
      </w:r>
      <w:r w:rsidR="00470F8D">
        <w:rPr>
          <w:rFonts w:eastAsiaTheme="minorEastAsia"/>
          <w:lang w:val="en-GB"/>
        </w:rPr>
        <w:t xml:space="preserve">, and seek to generalize </w:t>
      </w:r>
      <w:r w:rsidR="00D634A4">
        <w:rPr>
          <w:rFonts w:eastAsiaTheme="minorEastAsia"/>
          <w:lang w:val="en-GB"/>
        </w:rPr>
        <w:t xml:space="preserve">the model to relax this </w:t>
      </w:r>
      <w:r w:rsidR="008808FF">
        <w:rPr>
          <w:rFonts w:eastAsiaTheme="minorEastAsia"/>
          <w:lang w:val="en-GB"/>
        </w:rPr>
        <w:t>expectation</w:t>
      </w:r>
      <w:r w:rsidR="00D634A4">
        <w:rPr>
          <w:rFonts w:eastAsiaTheme="minorEastAsia"/>
          <w:lang w:val="en-GB"/>
        </w:rPr>
        <w:t xml:space="preserve"> of consistent effect directions</w:t>
      </w:r>
      <w:r w:rsidR="00123978">
        <w:rPr>
          <w:rFonts w:eastAsiaTheme="minorEastAsia"/>
          <w:lang w:val="en-GB"/>
        </w:rPr>
        <w:t>, as follows</w:t>
      </w:r>
      <w:r w:rsidR="00D634A4">
        <w:rPr>
          <w:rFonts w:eastAsiaTheme="minorEastAsia"/>
          <w:lang w:val="en-GB"/>
        </w:rPr>
        <w:t xml:space="preserve">. </w:t>
      </w:r>
      <w:r w:rsidR="00123978" w:rsidRPr="00470F8D">
        <w:rPr>
          <w:rFonts w:eastAsiaTheme="minorEastAsia"/>
          <w:lang w:val="en-GB"/>
        </w:rPr>
        <w:t xml:space="preserve">For a linear regression based on equation </w:t>
      </w:r>
      <w:r w:rsidR="00C71A02">
        <w:rPr>
          <w:rFonts w:eastAsiaTheme="minorEastAsia"/>
          <w:lang w:val="en-GB"/>
        </w:rPr>
        <w:t>(</w:t>
      </w:r>
      <w:r w:rsidR="00123978" w:rsidRPr="00470F8D">
        <w:rPr>
          <w:rFonts w:eastAsiaTheme="minorEastAsia"/>
          <w:lang w:val="en-GB"/>
        </w:rPr>
        <w:t>2</w:t>
      </w:r>
      <w:r w:rsidR="00C71A02">
        <w:rPr>
          <w:rFonts w:eastAsiaTheme="minorEastAsia"/>
          <w:lang w:val="en-GB"/>
        </w:rPr>
        <w:t>)</w:t>
      </w:r>
      <w:r w:rsidR="00123978" w:rsidRPr="00470F8D">
        <w:rPr>
          <w:rFonts w:eastAsiaTheme="minorEastAsia"/>
          <w:lang w:val="en-GB"/>
        </w:rPr>
        <w:t xml:space="preserve">, the corresponding test statistic can be expressed as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1</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c</m:t>
            </m:r>
          </m:e>
          <m:sub>
            <m:r>
              <w:rPr>
                <w:rFonts w:ascii="Cambria Math" w:eastAsiaTheme="minorEastAsia" w:hAnsi="Cambria Math"/>
                <w:lang w:val="en-GB"/>
              </w:rPr>
              <m:t>1</m:t>
            </m:r>
          </m:sub>
        </m:sSub>
        <m:nary>
          <m:naryPr>
            <m:chr m:val="∑"/>
            <m:limLoc m:val="subSup"/>
            <m:supHide m:val="1"/>
            <m:ctrlPr>
              <w:rPr>
                <w:rFonts w:ascii="Cambria Math" w:eastAsiaTheme="minorEastAsia" w:hAnsi="Cambria Math"/>
                <w:i/>
                <w:lang w:val="en-GB"/>
              </w:rPr>
            </m:ctrlPr>
          </m:naryPr>
          <m:sub>
            <m:r>
              <w:rPr>
                <w:rFonts w:ascii="Cambria Math" w:eastAsiaTheme="minorEastAsia" w:hAnsi="Cambria Math"/>
                <w:lang w:val="en-GB"/>
              </w:rPr>
              <m:t>j</m:t>
            </m:r>
          </m:sub>
          <m:sup/>
          <m:e>
            <m:sSub>
              <m:sSubPr>
                <m:ctrlPr>
                  <w:rPr>
                    <w:rFonts w:ascii="Cambria Math" w:eastAsiaTheme="minorEastAsia" w:hAnsi="Cambria Math"/>
                    <w:i/>
                    <w:lang w:val="en-GB"/>
                  </w:rPr>
                </m:ctrlPr>
              </m:sSubPr>
              <m:e>
                <m:r>
                  <w:rPr>
                    <w:rFonts w:ascii="Cambria Math" w:eastAsiaTheme="minorEastAsia" w:hAnsi="Cambria Math"/>
                    <w:lang w:val="en-GB"/>
                  </w:rPr>
                  <m:t>w</m:t>
                </m:r>
              </m:e>
              <m:sub>
                <m:r>
                  <w:rPr>
                    <w:rFonts w:ascii="Cambria Math" w:eastAsiaTheme="minorEastAsia" w:hAnsi="Cambria Math"/>
                    <w:lang w:val="en-GB"/>
                  </w:rPr>
                  <m:t>j</m:t>
                </m:r>
              </m:sub>
            </m:sSub>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j</m:t>
                </m:r>
              </m:sub>
            </m:sSub>
          </m:e>
        </m:nary>
      </m:oMath>
      <w:r w:rsidR="00123978" w:rsidRPr="00470F8D">
        <w:rPr>
          <w:rFonts w:eastAsiaTheme="minorEastAsia"/>
          <w:lang w:val="en-GB"/>
        </w:rPr>
        <w:t xml:space="preserve">, with </w:t>
      </w:r>
      <m:oMath>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j</m:t>
            </m:r>
          </m:sub>
        </m:sSub>
      </m:oMath>
      <w:r w:rsidR="00123978" w:rsidRPr="00470F8D">
        <w:rPr>
          <w:rFonts w:eastAsiaTheme="minorEastAsia"/>
          <w:lang w:val="en-GB"/>
        </w:rPr>
        <w:t xml:space="preserve"> the correlation between SNP </w:t>
      </w:r>
      <m:oMath>
        <m:r>
          <w:rPr>
            <w:rFonts w:ascii="Cambria Math" w:eastAsiaTheme="minorEastAsia" w:hAnsi="Cambria Math"/>
            <w:lang w:val="en-GB"/>
          </w:rPr>
          <m:t>j</m:t>
        </m:r>
      </m:oMath>
      <w:r w:rsidR="00123978" w:rsidRPr="00470F8D">
        <w:rPr>
          <w:rFonts w:eastAsiaTheme="minorEastAsia"/>
          <w:lang w:val="en-GB"/>
        </w:rPr>
        <w:t xml:space="preserve"> and the phenotype</w:t>
      </w:r>
      <w:r w:rsidR="00C71A02">
        <w:rPr>
          <w:rFonts w:eastAsiaTheme="minorEastAsia"/>
          <w:lang w:val="en-GB"/>
        </w:rPr>
        <w:t>,</w:t>
      </w:r>
      <w:r w:rsidR="00123978" w:rsidRPr="00470F8D">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w</m:t>
            </m:r>
          </m:e>
          <m:sub>
            <m:r>
              <w:rPr>
                <w:rFonts w:ascii="Cambria Math" w:eastAsiaTheme="minorEastAsia" w:hAnsi="Cambria Math"/>
                <w:lang w:val="en-GB"/>
              </w:rPr>
              <m:t>j</m:t>
            </m:r>
          </m:sub>
        </m:sSub>
      </m:oMath>
      <w:r w:rsidR="00123978" w:rsidRPr="00470F8D">
        <w:rPr>
          <w:rFonts w:eastAsiaTheme="minorEastAsia"/>
          <w:lang w:val="en-GB"/>
        </w:rPr>
        <w:t xml:space="preserve"> the corresponding (signed) weight derived from the eQTL data</w:t>
      </w:r>
      <w:r w:rsidR="00123978">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c</m:t>
            </m:r>
          </m:e>
          <m:sub>
            <m:r>
              <w:rPr>
                <w:rFonts w:ascii="Cambria Math" w:eastAsiaTheme="minorEastAsia" w:hAnsi="Cambria Math"/>
                <w:lang w:val="en-GB"/>
              </w:rPr>
              <m:t>1</m:t>
            </m:r>
          </m:sub>
        </m:sSub>
      </m:oMath>
      <w:r w:rsidR="00123978">
        <w:rPr>
          <w:rFonts w:eastAsiaTheme="minorEastAsia"/>
          <w:lang w:val="en-GB"/>
        </w:rPr>
        <w:t xml:space="preserve"> a scaling constant). </w:t>
      </w:r>
      <w:r w:rsidR="009F3DC0">
        <w:rPr>
          <w:rFonts w:eastAsiaTheme="minorEastAsia"/>
          <w:lang w:val="en-GB"/>
        </w:rPr>
        <w:t>T</w:t>
      </w:r>
      <w:r w:rsidR="00123978" w:rsidRPr="00470F8D">
        <w:rPr>
          <w:rFonts w:eastAsiaTheme="minorEastAsia"/>
          <w:lang w:val="en-GB"/>
        </w:rPr>
        <w:t xml:space="preserve">his follows from the fact that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,Y</m:t>
            </m:r>
          </m:e>
        </m:d>
        <m:r>
          <w:rPr>
            <w:rFonts w:ascii="Cambria Math" w:eastAsiaTheme="minorEastAsia" w:hAnsi="Cambria Math"/>
            <w:lang w:val="en-GB"/>
          </w:rPr>
          <m:t>=</m:t>
        </m:r>
        <m:nary>
          <m:naryPr>
            <m:chr m:val="∑"/>
            <m:limLoc m:val="subSup"/>
            <m:supHide m:val="1"/>
            <m:ctrlPr>
              <w:rPr>
                <w:rFonts w:ascii="Cambria Math" w:eastAsiaTheme="minorEastAsia" w:hAnsi="Cambria Math"/>
                <w:i/>
                <w:lang w:val="en-GB"/>
              </w:rPr>
            </m:ctrlPr>
          </m:naryPr>
          <m:sub>
            <m:r>
              <w:rPr>
                <w:rFonts w:ascii="Cambria Math" w:eastAsiaTheme="minorEastAsia" w:hAnsi="Cambria Math"/>
                <w:lang w:val="en-GB"/>
              </w:rPr>
              <m:t>j</m:t>
            </m:r>
          </m:sub>
          <m:sup/>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Ej</m:t>
                </m:r>
              </m:sub>
            </m:sSub>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X</m:t>
                    </m:r>
                  </m:e>
                  <m:sub>
                    <m:r>
                      <w:rPr>
                        <w:rFonts w:ascii="Cambria Math" w:eastAsiaTheme="minorEastAsia" w:hAnsi="Cambria Math"/>
                        <w:lang w:val="en-GB"/>
                      </w:rPr>
                      <m:t>j</m:t>
                    </m:r>
                  </m:sub>
                </m:sSub>
                <m:r>
                  <w:rPr>
                    <w:rFonts w:ascii="Cambria Math" w:eastAsiaTheme="minorEastAsia" w:hAnsi="Cambria Math"/>
                    <w:lang w:val="en-GB"/>
                  </w:rPr>
                  <m:t>,Y</m:t>
                </m:r>
              </m:e>
            </m:d>
          </m:e>
        </m:nary>
      </m:oMath>
      <w:r w:rsidR="00123978" w:rsidRPr="00470F8D">
        <w:rPr>
          <w:rFonts w:eastAsiaTheme="minorEastAsia"/>
          <w:lang w:val="en-GB"/>
        </w:rPr>
        <w:t xml:space="preserve">). </w:t>
      </w:r>
    </w:p>
    <w:p w14:paraId="3BC5D0D3" w14:textId="457D9705" w:rsidR="0091243D" w:rsidRDefault="00964264" w:rsidP="00123978">
      <w:pPr>
        <w:ind w:firstLine="708"/>
        <w:rPr>
          <w:rFonts w:eastAsiaTheme="minorEastAsia"/>
          <w:lang w:val="en-GB"/>
        </w:rPr>
      </w:pPr>
      <w:r>
        <w:rPr>
          <w:rFonts w:eastAsiaTheme="minorEastAsia"/>
          <w:lang w:val="en-GB"/>
        </w:rPr>
        <w:t xml:space="preserve">If the signs of </w:t>
      </w:r>
      <m:oMath>
        <m:sSub>
          <m:sSubPr>
            <m:ctrlPr>
              <w:rPr>
                <w:rFonts w:ascii="Cambria Math" w:eastAsiaTheme="minorEastAsia" w:hAnsi="Cambria Math"/>
                <w:i/>
                <w:lang w:val="en-GB"/>
              </w:rPr>
            </m:ctrlPr>
          </m:sSubPr>
          <m:e>
            <m:r>
              <w:rPr>
                <w:rFonts w:ascii="Cambria Math" w:eastAsiaTheme="minorEastAsia" w:hAnsi="Cambria Math"/>
                <w:lang w:val="en-GB"/>
              </w:rPr>
              <m:t>w</m:t>
            </m:r>
          </m:e>
          <m:sub>
            <m:r>
              <w:rPr>
                <w:rFonts w:ascii="Cambria Math" w:eastAsiaTheme="minorEastAsia" w:hAnsi="Cambria Math"/>
                <w:lang w:val="en-GB"/>
              </w:rPr>
              <m:t>j</m:t>
            </m:r>
          </m:sub>
        </m:sSub>
      </m:oMath>
      <w:r>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j</m:t>
            </m:r>
          </m:sub>
        </m:sSub>
      </m:oMath>
      <w:r>
        <w:rPr>
          <w:rFonts w:eastAsiaTheme="minorEastAsia"/>
          <w:lang w:val="en-GB"/>
        </w:rPr>
        <w:t xml:space="preserve"> are either all the same or all opposite, each term </w:t>
      </w:r>
      <m:oMath>
        <m:sSub>
          <m:sSubPr>
            <m:ctrlPr>
              <w:rPr>
                <w:rFonts w:ascii="Cambria Math" w:eastAsiaTheme="minorEastAsia" w:hAnsi="Cambria Math"/>
                <w:i/>
                <w:lang w:val="en-GB"/>
              </w:rPr>
            </m:ctrlPr>
          </m:sSubPr>
          <m:e>
            <m:r>
              <w:rPr>
                <w:rFonts w:ascii="Cambria Math" w:eastAsiaTheme="minorEastAsia" w:hAnsi="Cambria Math"/>
                <w:lang w:val="en-GB"/>
              </w:rPr>
              <m:t>w</m:t>
            </m:r>
          </m:e>
          <m:sub>
            <m:r>
              <w:rPr>
                <w:rFonts w:ascii="Cambria Math" w:eastAsiaTheme="minorEastAsia" w:hAnsi="Cambria Math"/>
                <w:lang w:val="en-GB"/>
              </w:rPr>
              <m:t>j</m:t>
            </m:r>
          </m:sub>
        </m:sSub>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j</m:t>
            </m:r>
          </m:sub>
        </m:sSub>
      </m:oMath>
      <w:r>
        <w:rPr>
          <w:rFonts w:eastAsiaTheme="minorEastAsia"/>
          <w:lang w:val="en-GB"/>
        </w:rPr>
        <w:t xml:space="preserve"> will have the same sign, and the test statistic as a whole will tend to have a large value. If the signs are not consistent however, the </w:t>
      </w:r>
      <m:oMath>
        <m:sSub>
          <m:sSubPr>
            <m:ctrlPr>
              <w:rPr>
                <w:rFonts w:ascii="Cambria Math" w:eastAsiaTheme="minorEastAsia" w:hAnsi="Cambria Math"/>
                <w:i/>
                <w:lang w:val="en-GB"/>
              </w:rPr>
            </m:ctrlPr>
          </m:sSubPr>
          <m:e>
            <m:r>
              <w:rPr>
                <w:rFonts w:ascii="Cambria Math" w:eastAsiaTheme="minorEastAsia" w:hAnsi="Cambria Math"/>
                <w:lang w:val="en-GB"/>
              </w:rPr>
              <m:t>w</m:t>
            </m:r>
          </m:e>
          <m:sub>
            <m:r>
              <w:rPr>
                <w:rFonts w:ascii="Cambria Math" w:eastAsiaTheme="minorEastAsia" w:hAnsi="Cambria Math"/>
                <w:lang w:val="en-GB"/>
              </w:rPr>
              <m:t>j</m:t>
            </m:r>
          </m:sub>
        </m:sSub>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j</m:t>
            </m:r>
          </m:sub>
        </m:sSub>
      </m:oMath>
      <w:r>
        <w:rPr>
          <w:rFonts w:eastAsiaTheme="minorEastAsia"/>
          <w:lang w:val="en-GB"/>
        </w:rPr>
        <w:t xml:space="preserve"> for different SNPs will have different signs, and they </w:t>
      </w:r>
      <w:r w:rsidR="00C71A02">
        <w:rPr>
          <w:rFonts w:eastAsiaTheme="minorEastAsia"/>
          <w:lang w:val="en-GB"/>
        </w:rPr>
        <w:t>(</w:t>
      </w:r>
      <w:r>
        <w:rPr>
          <w:rFonts w:eastAsiaTheme="minorEastAsia"/>
          <w:lang w:val="en-GB"/>
        </w:rPr>
        <w:t>partially</w:t>
      </w:r>
      <w:r w:rsidR="00C71A02">
        <w:rPr>
          <w:rFonts w:eastAsiaTheme="minorEastAsia"/>
          <w:lang w:val="en-GB"/>
        </w:rPr>
        <w:t>)</w:t>
      </w:r>
      <w:r>
        <w:rPr>
          <w:rFonts w:eastAsiaTheme="minorEastAsia"/>
          <w:lang w:val="en-GB"/>
        </w:rPr>
        <w:t xml:space="preserve"> cancel each other out when summed. </w:t>
      </w:r>
    </w:p>
    <w:p w14:paraId="5A53BA58" w14:textId="7BE31A1E" w:rsidR="00912900" w:rsidRDefault="00B531A1" w:rsidP="00A212EA">
      <w:pPr>
        <w:ind w:firstLine="708"/>
        <w:rPr>
          <w:rFonts w:eastAsiaTheme="minorEastAsia"/>
          <w:lang w:val="en-GB"/>
        </w:rPr>
      </w:pPr>
      <w:r>
        <w:rPr>
          <w:rFonts w:eastAsiaTheme="minorEastAsia"/>
          <w:lang w:val="en-GB"/>
        </w:rPr>
        <w:t xml:space="preserve">To get around this, we can define a generalized test statistic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P</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c</m:t>
            </m:r>
          </m:e>
          <m:sub>
            <m:r>
              <w:rPr>
                <w:rFonts w:ascii="Cambria Math" w:eastAsiaTheme="minorEastAsia" w:hAnsi="Cambria Math"/>
                <w:lang w:val="en-GB"/>
              </w:rPr>
              <m:t>P</m:t>
            </m:r>
          </m:sub>
        </m:sSub>
        <m:nary>
          <m:naryPr>
            <m:chr m:val="∑"/>
            <m:limLoc m:val="subSup"/>
            <m:supHide m:val="1"/>
            <m:ctrlPr>
              <w:rPr>
                <w:rFonts w:ascii="Cambria Math" w:eastAsiaTheme="minorEastAsia" w:hAnsi="Cambria Math"/>
                <w:i/>
                <w:lang w:val="en-GB"/>
              </w:rPr>
            </m:ctrlPr>
          </m:naryPr>
          <m:sub>
            <m:r>
              <w:rPr>
                <w:rFonts w:ascii="Cambria Math" w:eastAsiaTheme="minorEastAsia" w:hAnsi="Cambria Math"/>
                <w:lang w:val="en-GB"/>
              </w:rPr>
              <m:t>j</m:t>
            </m:r>
          </m:sub>
          <m:sup/>
          <m:e>
            <m:sSup>
              <m:sSupPr>
                <m:ctrlPr>
                  <w:rPr>
                    <w:rFonts w:ascii="Cambria Math" w:eastAsiaTheme="minorEastAsia" w:hAnsi="Cambria Math"/>
                    <w:i/>
                    <w:lang w:val="en-GB"/>
                  </w:rPr>
                </m:ctrlPr>
              </m:sSupPr>
              <m:e>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w</m:t>
                        </m:r>
                      </m:e>
                      <m:sub>
                        <m:r>
                          <w:rPr>
                            <w:rFonts w:ascii="Cambria Math" w:eastAsiaTheme="minorEastAsia" w:hAnsi="Cambria Math"/>
                            <w:lang w:val="en-GB"/>
                          </w:rPr>
                          <m:t>j</m:t>
                        </m:r>
                      </m:sub>
                    </m:sSub>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j</m:t>
                        </m:r>
                      </m:sub>
                    </m:sSub>
                  </m:e>
                </m:d>
              </m:e>
              <m:sup>
                <m:r>
                  <w:rPr>
                    <w:rFonts w:ascii="Cambria Math" w:eastAsiaTheme="minorEastAsia" w:hAnsi="Cambria Math"/>
                    <w:lang w:val="en-GB"/>
                  </w:rPr>
                  <m:t>P</m:t>
                </m:r>
              </m:sup>
            </m:sSup>
          </m:e>
        </m:nary>
      </m:oMath>
      <w:r>
        <w:rPr>
          <w:rFonts w:eastAsiaTheme="minorEastAsia"/>
          <w:lang w:val="en-GB"/>
        </w:rPr>
        <w:t xml:space="preserve">, raising the terms </w:t>
      </w:r>
      <m:oMath>
        <m:sSub>
          <m:sSubPr>
            <m:ctrlPr>
              <w:rPr>
                <w:rFonts w:ascii="Cambria Math" w:eastAsiaTheme="minorEastAsia" w:hAnsi="Cambria Math"/>
                <w:i/>
                <w:lang w:val="en-GB"/>
              </w:rPr>
            </m:ctrlPr>
          </m:sSubPr>
          <m:e>
            <m:r>
              <w:rPr>
                <w:rFonts w:ascii="Cambria Math" w:eastAsiaTheme="minorEastAsia" w:hAnsi="Cambria Math"/>
                <w:lang w:val="en-GB"/>
              </w:rPr>
              <m:t>w</m:t>
            </m:r>
          </m:e>
          <m:sub>
            <m:r>
              <w:rPr>
                <w:rFonts w:ascii="Cambria Math" w:eastAsiaTheme="minorEastAsia" w:hAnsi="Cambria Math"/>
                <w:lang w:val="en-GB"/>
              </w:rPr>
              <m:t>j</m:t>
            </m:r>
          </m:sub>
        </m:sSub>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j</m:t>
            </m:r>
          </m:sub>
        </m:sSub>
      </m:oMath>
      <w:r>
        <w:rPr>
          <w:rFonts w:eastAsiaTheme="minorEastAsia"/>
          <w:lang w:val="en-GB"/>
        </w:rPr>
        <w:t xml:space="preserve"> to the power </w:t>
      </w:r>
      <m:oMath>
        <m:r>
          <w:rPr>
            <w:rFonts w:ascii="Cambria Math" w:eastAsiaTheme="minorEastAsia" w:hAnsi="Cambria Math"/>
            <w:lang w:val="en-GB"/>
          </w:rPr>
          <m:t>P</m:t>
        </m:r>
      </m:oMath>
      <w:r>
        <w:rPr>
          <w:rFonts w:eastAsiaTheme="minorEastAsia"/>
          <w:lang w:val="en-GB"/>
        </w:rPr>
        <w:t xml:space="preserve"> before summing them. </w:t>
      </w:r>
      <w:r w:rsidR="008808FF">
        <w:rPr>
          <w:rFonts w:eastAsiaTheme="minorEastAsia"/>
          <w:lang w:val="en-GB"/>
        </w:rPr>
        <w:t xml:space="preserve">This has the dual effect of giving more weight in the test statistic to SNPs with stronger correlations with </w:t>
      </w:r>
      <m:oMath>
        <m:r>
          <w:rPr>
            <w:rFonts w:ascii="Cambria Math" w:eastAsiaTheme="minorEastAsia" w:hAnsi="Cambria Math"/>
            <w:lang w:val="en-GB"/>
          </w:rPr>
          <m:t>Y</m:t>
        </m:r>
      </m:oMath>
      <w:r w:rsidR="008808FF">
        <w:rPr>
          <w:rFonts w:eastAsiaTheme="minorEastAsia"/>
          <w:lang w:val="en-GB"/>
        </w:rPr>
        <w:t xml:space="preserve">, as well as removing the expectation of consistent effect directions for even values of </w:t>
      </w:r>
      <m:oMath>
        <m:r>
          <w:rPr>
            <w:rFonts w:ascii="Cambria Math" w:eastAsiaTheme="minorEastAsia" w:hAnsi="Cambria Math"/>
            <w:lang w:val="en-GB"/>
          </w:rPr>
          <m:t>P</m:t>
        </m:r>
      </m:oMath>
      <w:r w:rsidR="008808FF">
        <w:rPr>
          <w:rFonts w:eastAsiaTheme="minorEastAsia"/>
          <w:lang w:val="en-GB"/>
        </w:rPr>
        <w:t xml:space="preserve">. A notable special case of this test statistic is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2</m:t>
            </m:r>
          </m:sub>
        </m:sSub>
      </m:oMath>
      <w:r w:rsidR="008808FF">
        <w:rPr>
          <w:rFonts w:eastAsiaTheme="minorEastAsia"/>
          <w:lang w:val="en-GB"/>
        </w:rPr>
        <w:t xml:space="preserve">, which yields the test statistic of </w:t>
      </w:r>
      <w:r w:rsidR="00123978" w:rsidRPr="00470F8D">
        <w:rPr>
          <w:rFonts w:eastAsiaTheme="minorEastAsia"/>
          <w:lang w:val="en-GB"/>
        </w:rPr>
        <w:t>the weighted SKAT model</w:t>
      </w:r>
      <w:r w:rsidR="00644F8A">
        <w:rPr>
          <w:rFonts w:eastAsiaTheme="minorEastAsia"/>
          <w:lang w:val="en-GB"/>
        </w:rPr>
        <w:fldChar w:fldCharType="begin"/>
      </w:r>
      <w:r w:rsidR="00FA233A">
        <w:rPr>
          <w:rFonts w:eastAsiaTheme="minorEastAsia"/>
          <w:lang w:val="en-GB"/>
        </w:rPr>
        <w:instrText xml:space="preserve"> ADDIN ZOTERO_ITEM CSL_CITATION {"citationID":"GC7dH7ZL","properties":{"formattedCitation":"\\super 4\\nosupersub{}","plainCitation":"4","noteIndex":0},"citationItems":[{"id":123,"uris":["http://zotero.org/users/8257072/items/LPQKBAT7"],"uri":["http://zotero.org/users/8257072/items/LPQKBAT7"],"itemData":{"id":123,"type":"article-journal","abstract":"Sequencing studies are increasingly being conducted to identify rare variants associated with complex traits. The limited power of classical single-marker association analysis for rare variants poses a central challenge in such studies. We propose the sequence kernel association test (SKAT), a supervised, flexible, computationally efficient regression method to test for association between genetic variants (common and rare) in a region and a continuous or dichotomous trait while easily adjusting for covariates. As a score-based variance-component test, SKAT can quickly calculate p values analytically by fitting the null model containing only the covariates, and so can easily be applied to genome-wide data. Using SKAT to analyze a genome-wide sequencing study of 1000 individuals, by segmenting the whole genome into 30 kb regions, requires only 7 hr on a laptop. Through analysis of simulated data across a wide range of practical scenarios and triglyceride data from the Dallas Heart Study, we show that SKAT can substantially outperform several alternative rare-variant association tests. We also provide analytic power and sample-size calculations to help design candidate-gene, whole-exome, and whole-genome sequence association studies.","container-title":"American Journal of Human Genetics","DOI":"10.1016/j.ajhg.2011.05.029","ISSN":"0002-9297","issue":"1","journalAbbreviation":"Am J Hum Genet","note":"PMID: 21737059\nPMCID: PMC3135811","page":"82-93","source":"PubMed Central","title":"Rare-Variant Association Testing for Sequencing Data with the Sequence Kernel Association Test","volume":"89","author":[{"family":"Wu","given":"Michael C."},{"family":"Lee","given":"Seunggeun"},{"family":"Cai","given":"Tianxi"},{"family":"Li","given":"Yun"},{"family":"Boehnke","given":"Michael"},{"family":"Lin","given":"Xihong"}],"issued":{"date-parts":[["2011",7,15]]}}}],"schema":"https://github.com/citation-style-language/schema/raw/master/csl-citation.json"} </w:instrText>
      </w:r>
      <w:r w:rsidR="00644F8A">
        <w:rPr>
          <w:rFonts w:eastAsiaTheme="minorEastAsia"/>
          <w:lang w:val="en-GB"/>
        </w:rPr>
        <w:fldChar w:fldCharType="separate"/>
      </w:r>
      <w:r w:rsidR="00FA233A" w:rsidRPr="00FA233A">
        <w:rPr>
          <w:rFonts w:ascii="Calibri" w:hAnsi="Calibri" w:cs="Calibri"/>
          <w:szCs w:val="24"/>
          <w:vertAlign w:val="superscript"/>
          <w:lang w:val="en-GB"/>
        </w:rPr>
        <w:t>4</w:t>
      </w:r>
      <w:r w:rsidR="00644F8A">
        <w:rPr>
          <w:rFonts w:eastAsiaTheme="minorEastAsia"/>
          <w:lang w:val="en-GB"/>
        </w:rPr>
        <w:fldChar w:fldCharType="end"/>
      </w:r>
      <w:r w:rsidR="008808FF">
        <w:rPr>
          <w:rFonts w:eastAsiaTheme="minorEastAsia"/>
          <w:lang w:val="en-GB"/>
        </w:rPr>
        <w:t>.</w:t>
      </w:r>
      <w:r w:rsidR="00A212EA">
        <w:rPr>
          <w:rFonts w:eastAsiaTheme="minorEastAsia"/>
          <w:lang w:val="en-GB"/>
        </w:rPr>
        <w:t xml:space="preserve"> </w:t>
      </w:r>
    </w:p>
    <w:p w14:paraId="259B40A8" w14:textId="46C231C0" w:rsidR="00A212EA" w:rsidRDefault="00CE320E" w:rsidP="00A212EA">
      <w:pPr>
        <w:ind w:firstLine="708"/>
        <w:rPr>
          <w:rFonts w:eastAsiaTheme="minorEastAsia"/>
          <w:lang w:val="en-GB"/>
        </w:rPr>
      </w:pPr>
      <w:r>
        <w:rPr>
          <w:rFonts w:eastAsiaTheme="minorEastAsia"/>
          <w:lang w:val="en-GB"/>
        </w:rPr>
        <w:t xml:space="preserve">Different ‘non-linear’ methods in Table 1 use this test statistic in different ways (with all the ‘linear’ methods using </w:t>
      </w:r>
      <w:r w:rsidR="00321B05">
        <w:rPr>
          <w:rFonts w:eastAsiaTheme="minorEastAsia"/>
          <w:lang w:val="en-GB"/>
        </w:rPr>
        <w:t>only</w:t>
      </w:r>
      <w:r>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1</m:t>
            </m:r>
          </m:sub>
        </m:sSub>
      </m:oMath>
      <w:r>
        <w:rPr>
          <w:rFonts w:eastAsiaTheme="minorEastAsia"/>
          <w:lang w:val="en-GB"/>
        </w:rPr>
        <w:t>). Tang (2021)</w:t>
      </w:r>
      <w:r w:rsidR="00644F8A">
        <w:rPr>
          <w:rFonts w:eastAsiaTheme="minorEastAsia"/>
          <w:lang w:val="en-GB"/>
        </w:rPr>
        <w:fldChar w:fldCharType="begin"/>
      </w:r>
      <w:r w:rsidR="00FA233A">
        <w:rPr>
          <w:rFonts w:eastAsiaTheme="minorEastAsia"/>
          <w:lang w:val="en-GB"/>
        </w:rPr>
        <w:instrText xml:space="preserve"> ADDIN ZOTERO_ITEM CSL_CITATION {"citationID":"Jc8LsDJu","properties":{"formattedCitation":"\\super 5\\nosupersub{}","plainCitation":"5","noteIndex":0},"citationItems":[{"id":31,"uris":["http://zotero.org/users/8257072/items/7IAYP93V"],"uri":["http://zotero.org/users/8257072/items/7IAYP93V"],"itemData":{"id":31,"type":"article-journal","abstract":"Transcriptome-wide association studies (TWAS) have been widely used to integrate transcriptomic and genetic data to study complex human diseases. Within a test dataset lacking transcriptomic data, traditional two-stage TWAS methods first impute gene expression by creating a weighted sum that aggregates SNPs with their corresponding cis-eQTL effects on reference transcriptome. Traditional TWAS methods then employ a linear regression model to assess the association between imputed gene expression and test phenotype, thereby assuming the effect of a cis-eQTL SNP on test phenotype is a linear function of the eQTL’s estimated effect on reference transcriptome. To increase TWAS robustness to this assumption, we propose a novel Variance-Component TWAS procedure (VC-TWAS) that assumes the effects of cis-eQTL SNPs on phenotype are random (with variance proportional to corresponding reference cis-eQTL effects) rather than fixed. VC-TWAS is applicable to both continuous and dichotomous phenotypes, as well as individual-level and summary-level GWAS data. Using simulated data, we show VC-TWAS is more powerful than traditional TWAS methods based on a two-stage Burden test, especially when eQTL genetic effects on test phenotype are no longer a linear function of their eQTL genetic effects on reference transcriptome. We further applied VC-TWAS to both individual-level (N = ~3.4K) and summary-level (N = ~54K) GWAS data to study Alzheimer’s dementia (AD). With the individual-level data, we detected 13 significant risk genes including 6 known GWAS risk genes such as TOMM40 that were missed by traditional TWAS methods. With the summary-level data, we detected 57 significant risk genes considering only cis-SNPs and 71 significant genes considering both cis- and trans- SNPs, which also validated our findings with the individual-level GWAS data. Our VC-TWAS method is implemented in the TIGAR tool for public use.","container-title":"PLOS Genetics","DOI":"10.1371/journal.pgen.1009482","ISSN":"1553-7404","issue":"4","journalAbbreviation":"PLoS Genet","language":"en","page":"e1009482","source":"DOI.org (Crossref)","title":"Novel Variance-Component TWAS method for studying complex human diseases with applications to Alzheimer’s dementia","volume":"17","author":[{"family":"Tang","given":"Shizhen"},{"family":"Buchman","given":"Aron S."},{"family":"De Jager","given":"Philip L."},{"family":"Bennett","given":"David A."},{"family":"Epstein","given":"Michael P."},{"family":"Yang","given":"Jingjing"}],"editor":[{"family":"Chen","given":"Lin"}],"issued":{"date-parts":[["2021",4,2]]}}}],"schema":"https://github.com/citation-style-language/schema/raw/master/csl-citation.json"} </w:instrText>
      </w:r>
      <w:r w:rsidR="00644F8A">
        <w:rPr>
          <w:rFonts w:eastAsiaTheme="minorEastAsia"/>
          <w:lang w:val="en-GB"/>
        </w:rPr>
        <w:fldChar w:fldCharType="separate"/>
      </w:r>
      <w:r w:rsidR="00FA233A" w:rsidRPr="00FA233A">
        <w:rPr>
          <w:rFonts w:ascii="Calibri" w:hAnsi="Calibri" w:cs="Calibri"/>
          <w:szCs w:val="24"/>
          <w:vertAlign w:val="superscript"/>
          <w:lang w:val="en-GB"/>
        </w:rPr>
        <w:t>5</w:t>
      </w:r>
      <w:r w:rsidR="00644F8A">
        <w:rPr>
          <w:rFonts w:eastAsiaTheme="minorEastAsia"/>
          <w:lang w:val="en-GB"/>
        </w:rPr>
        <w:fldChar w:fldCharType="end"/>
      </w:r>
      <w:r>
        <w:rPr>
          <w:rFonts w:eastAsiaTheme="minorEastAsia"/>
          <w:lang w:val="en-GB"/>
        </w:rPr>
        <w:t xml:space="preserve"> uses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2</m:t>
            </m:r>
          </m:sub>
        </m:sSub>
      </m:oMath>
      <w:r>
        <w:rPr>
          <w:rFonts w:eastAsiaTheme="minorEastAsia"/>
          <w:lang w:val="en-GB"/>
        </w:rPr>
        <w:t xml:space="preserve"> instead of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1</m:t>
            </m:r>
          </m:sub>
        </m:sSub>
      </m:oMath>
      <w:r>
        <w:rPr>
          <w:rFonts w:eastAsiaTheme="minorEastAsia"/>
          <w:lang w:val="en-GB"/>
        </w:rPr>
        <w:t>, Xu (2017)</w:t>
      </w:r>
      <w:r w:rsidR="00644F8A">
        <w:rPr>
          <w:rFonts w:eastAsiaTheme="minorEastAsia"/>
          <w:lang w:val="en-GB"/>
        </w:rPr>
        <w:fldChar w:fldCharType="begin"/>
      </w:r>
      <w:r w:rsidR="00FA233A">
        <w:rPr>
          <w:rFonts w:eastAsiaTheme="minorEastAsia"/>
          <w:lang w:val="en-GB"/>
        </w:rPr>
        <w:instrText xml:space="preserve"> ADDIN ZOTERO_ITEM CSL_CITATION {"citationID":"Oa4UsJUA","properties":{"formattedCitation":"\\super 6\\nosupersub{}","plainCitation":"6","noteIndex":0},"citationItems":[{"id":32,"uris":["http://zotero.org/users/8257072/items/Y4D7NSNM"],"uri":["http://zotero.org/users/8257072/items/Y4D7NSNM"],"itemData":{"id":32,"type":"article-journal","abstract":"Two new gene-based association analysis methods, called PrediXcan and TWAS for GWAS individual-level and summary data, respectively, were recently proposed to integrate GWAS with eQTL data, alleviating two common problems in GWAS by boosting statistical power and facilitating biological interpretation of GWAS discoveries. Based on a novel reformulation of PrediXcan and TWAS, we propose a more powerful gene-based association test to integrate single set or multiple sets of eQTL data with GWAS individual-level data or summary statistics. The proposed test was applied to several GWAS datasets, including two lipid summary association datasets based on   100; 000 and   189; 000 samples, respectively, and uncovered more known or novel trait-associated genes, showcasing much improved performance of our proposed method. The software implementing the proposed method is freely available as an R package.","container-title":"Genetics","DOI":"10.1534/genetics.117.300270","ISSN":"1943-2631","issue":"3","language":"en","page":"893-902","source":"DOI.org (Crossref)","title":"A Powerful Framework for Integrating eQTL and GWAS Summary Data","volume":"207","author":[{"family":"Xu","given":"Zhiyuan"},{"family":"Wu","given":"Chong"},{"family":"Wei","given":"Peng"},{"family":"Pan","given":"Wei"}],"issued":{"date-parts":[["2017",11,1]]}}}],"schema":"https://github.com/citation-style-language/schema/raw/master/csl-citation.json"} </w:instrText>
      </w:r>
      <w:r w:rsidR="00644F8A">
        <w:rPr>
          <w:rFonts w:eastAsiaTheme="minorEastAsia"/>
          <w:lang w:val="en-GB"/>
        </w:rPr>
        <w:fldChar w:fldCharType="separate"/>
      </w:r>
      <w:r w:rsidR="00FA233A" w:rsidRPr="00FA233A">
        <w:rPr>
          <w:rFonts w:ascii="Calibri" w:hAnsi="Calibri" w:cs="Calibri"/>
          <w:szCs w:val="24"/>
          <w:vertAlign w:val="superscript"/>
          <w:lang w:val="en-GB"/>
        </w:rPr>
        <w:t>6</w:t>
      </w:r>
      <w:r w:rsidR="00644F8A">
        <w:rPr>
          <w:rFonts w:eastAsiaTheme="minorEastAsia"/>
          <w:lang w:val="en-GB"/>
        </w:rPr>
        <w:fldChar w:fldCharType="end"/>
      </w:r>
      <w:r>
        <w:rPr>
          <w:rFonts w:eastAsiaTheme="minorEastAsia"/>
          <w:lang w:val="en-GB"/>
        </w:rPr>
        <w:t xml:space="preserve"> uses an adaptive combination of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1</m:t>
            </m:r>
          </m:sub>
        </m:sSub>
      </m:oMath>
      <w:r>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2</m:t>
            </m:r>
          </m:sub>
        </m:sSub>
      </m:oMath>
      <w:r>
        <w:rPr>
          <w:rFonts w:eastAsiaTheme="minorEastAsia"/>
          <w:lang w:val="en-GB"/>
        </w:rPr>
        <w:t>, and Zhang (20</w:t>
      </w:r>
      <w:r w:rsidR="00644F8A">
        <w:rPr>
          <w:rFonts w:eastAsiaTheme="minorEastAsia"/>
          <w:lang w:val="en-GB"/>
        </w:rPr>
        <w:t>20</w:t>
      </w:r>
      <w:r>
        <w:rPr>
          <w:rFonts w:eastAsiaTheme="minorEastAsia"/>
          <w:lang w:val="en-GB"/>
        </w:rPr>
        <w:t>)</w:t>
      </w:r>
      <w:r w:rsidR="00644F8A">
        <w:rPr>
          <w:rFonts w:eastAsiaTheme="minorEastAsia"/>
          <w:lang w:val="en-GB"/>
        </w:rPr>
        <w:fldChar w:fldCharType="begin"/>
      </w:r>
      <w:r w:rsidR="00FA233A">
        <w:rPr>
          <w:rFonts w:eastAsiaTheme="minorEastAsia"/>
          <w:lang w:val="en-GB"/>
        </w:rPr>
        <w:instrText xml:space="preserve"> ADDIN ZOTERO_ITEM CSL_CITATION {"citationID":"JzRtr0Mf","properties":{"formattedCitation":"\\super 7\\nosupersub{}","plainCitation":"7","noteIndex":0},"citationItems":[{"id":35,"uris":["http://zotero.org/users/8257072/items/BJHXT9TQ"],"uri":["http://zotero.org/users/8257072/items/BJHXT9TQ"],"itemData":{"id":35,"type":"article-journal","abstract":"Although genomewide association studies (GWASs) have identified many genetic variants underlying complex traits, a large fraction of heritability still remains unexplained. Integrative analysis that incorporates additional information, such as expression quantitativetrait locus (eQTL) data into sequencing studies (denoted as transcriptomewide association study [TWAS]), can aid the discovery of trait‐associated genetic variants. However, general TWAS methods only incorporate one eQTL‐derived weight (e.g., cis‐effect), and thus can suffer a substantial loss of power when the single estimated ciseffect is not predictive for the effect size of a genetic variant or when there are estimation errors in the estimated cis‐effect, or if the data are not consistent with the model assumption. In this study, we propose an omnibus test (OT) which utilizes a Cauchy association test to integrate association evidence demonstrated by three different traditional tests (burden test, quadratic test, and adaptive test) using GWAS summary data with multiple eQTL‐derived weights. The p value of the proposed test can be calculated analytically, and thus it is fast and efficient. We applied our proposed test to two schizophrenia (SCZ) GWAS summary data sets and two lipids trait (HDL) GWAS summary data sets. Compared with the three traditional tests, our proposed OT can identify more trait‐associated genes.","container-title":"Genetic Epidemiology","DOI":"10.1002/gepi.22297","ISSN":"0741-0395, 1098-2272","issue":"6","journalAbbreviation":"Genetic Epidemiology","language":"en","page":"550-563","source":"DOI.org (Crossref)","title":"A fast and powerful eQTL weighted method to detect genes associated with complex trait using GWAS summary data","volume":"44","author":[{"family":"Zhang","given":"Jianjun"},{"family":"Xie","given":"Sicong"},{"family":"Gonzales","given":"Samantha"},{"family":"Liu","given":"Jianguo"},{"family":"Wang","given":"Xuexia"}],"issued":{"date-parts":[["2020",9]]}}}],"schema":"https://github.com/citation-style-language/schema/raw/master/csl-citation.json"} </w:instrText>
      </w:r>
      <w:r w:rsidR="00644F8A">
        <w:rPr>
          <w:rFonts w:eastAsiaTheme="minorEastAsia"/>
          <w:lang w:val="en-GB"/>
        </w:rPr>
        <w:fldChar w:fldCharType="separate"/>
      </w:r>
      <w:r w:rsidR="00FA233A" w:rsidRPr="00FA233A">
        <w:rPr>
          <w:rFonts w:ascii="Calibri" w:hAnsi="Calibri" w:cs="Calibri"/>
          <w:szCs w:val="24"/>
          <w:vertAlign w:val="superscript"/>
          <w:lang w:val="en-GB"/>
        </w:rPr>
        <w:t>7</w:t>
      </w:r>
      <w:r w:rsidR="00644F8A">
        <w:rPr>
          <w:rFonts w:eastAsiaTheme="minorEastAsia"/>
          <w:lang w:val="en-GB"/>
        </w:rPr>
        <w:fldChar w:fldCharType="end"/>
      </w:r>
      <w:r>
        <w:rPr>
          <w:rFonts w:eastAsiaTheme="minorEastAsia"/>
          <w:lang w:val="en-GB"/>
        </w:rPr>
        <w:t xml:space="preserve"> uses an adaptive combination of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1</m:t>
            </m:r>
          </m:sub>
        </m:sSub>
        <m: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2</m:t>
            </m:r>
          </m:sub>
        </m:sSub>
        <m:r>
          <w:rPr>
            <w:rFonts w:ascii="Cambria Math" w:eastAsiaTheme="minorEastAsia" w:hAnsi="Cambria Math"/>
            <w:lang w:val="en-GB"/>
          </w:rPr>
          <m:t xml:space="preserve">, …, </m:t>
        </m:r>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6</m:t>
            </m:r>
          </m:sub>
        </m:sSub>
        <m:r>
          <w:rPr>
            <w:rFonts w:ascii="Cambria Math" w:eastAsiaTheme="minorEastAsia" w:hAnsi="Cambria Math"/>
            <w:lang w:val="en-GB"/>
          </w:rPr>
          <m:t xml:space="preserve">, </m:t>
        </m:r>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m:t>
            </m:r>
          </m:sub>
        </m:sSub>
      </m:oMath>
      <w:r>
        <w:rPr>
          <w:rFonts w:eastAsiaTheme="minorEastAsia"/>
          <w:lang w:val="en-GB"/>
        </w:rPr>
        <w:t xml:space="preserve"> (where </w:t>
      </w:r>
      <m:oMath>
        <m:sSub>
          <m:sSubPr>
            <m:ctrlPr>
              <w:rPr>
                <w:rFonts w:ascii="Cambria Math" w:eastAsiaTheme="minorEastAsia" w:hAnsi="Cambria Math"/>
                <w:i/>
                <w:lang w:val="en-GB"/>
              </w:rPr>
            </m:ctrlPr>
          </m:sSubPr>
          <m:e>
            <m:r>
              <w:rPr>
                <w:rFonts w:ascii="Cambria Math" w:eastAsiaTheme="minorEastAsia" w:hAnsi="Cambria Math"/>
                <w:lang w:val="en-GB"/>
              </w:rPr>
              <m:t>T</m:t>
            </m:r>
          </m:e>
          <m:sub>
            <m:r>
              <w:rPr>
                <w:rFonts w:ascii="Cambria Math" w:eastAsiaTheme="minorEastAsia" w:hAnsi="Cambria Math"/>
                <w:lang w:val="en-GB"/>
              </w:rPr>
              <m:t>∞</m:t>
            </m:r>
          </m:sub>
        </m:sSub>
        <m:r>
          <w:rPr>
            <w:rFonts w:ascii="Cambria Math" w:eastAsiaTheme="minorEastAsia" w:hAnsi="Cambria Math"/>
            <w:lang w:val="en-GB"/>
          </w:rPr>
          <m:t>=</m:t>
        </m:r>
        <m:func>
          <m:funcPr>
            <m:ctrlPr>
              <w:rPr>
                <w:rFonts w:ascii="Cambria Math" w:eastAsiaTheme="minorEastAsia" w:hAnsi="Cambria Math"/>
                <w:i/>
                <w:iCs/>
                <w:lang w:val="en-GB"/>
              </w:rPr>
            </m:ctrlPr>
          </m:funcPr>
          <m:fName>
            <m:r>
              <m:rPr>
                <m:sty m:val="p"/>
              </m:rPr>
              <w:rPr>
                <w:rFonts w:ascii="Cambria Math" w:eastAsiaTheme="minorEastAsia" w:hAnsi="Cambria Math"/>
                <w:lang w:val="en-GB"/>
              </w:rPr>
              <m:t>max</m:t>
            </m:r>
          </m:fName>
          <m:e>
            <m:d>
              <m:dPr>
                <m:ctrlPr>
                  <w:rPr>
                    <w:rFonts w:ascii="Cambria Math" w:eastAsiaTheme="minorEastAsia" w:hAnsi="Cambria Math"/>
                    <w:i/>
                    <w:lang w:val="en-GB"/>
                  </w:rPr>
                </m:ctrlPr>
              </m:dPr>
              <m:e>
                <m:d>
                  <m:dPr>
                    <m:begChr m:val="|"/>
                    <m:endChr m:val="|"/>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w</m:t>
                        </m:r>
                      </m:e>
                      <m:sub>
                        <m:r>
                          <w:rPr>
                            <w:rFonts w:ascii="Cambria Math" w:eastAsiaTheme="minorEastAsia" w:hAnsi="Cambria Math"/>
                            <w:lang w:val="en-GB"/>
                          </w:rPr>
                          <m:t>j</m:t>
                        </m:r>
                      </m:sub>
                    </m:sSub>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lang w:val="en-GB"/>
                          </w:rPr>
                          <m:t>j</m:t>
                        </m:r>
                      </m:sub>
                    </m:sSub>
                  </m:e>
                </m:d>
              </m:e>
            </m:d>
          </m:e>
        </m:func>
      </m:oMath>
      <w:r>
        <w:rPr>
          <w:rFonts w:eastAsiaTheme="minorEastAsia"/>
          <w:iCs/>
          <w:lang w:val="en-GB"/>
        </w:rPr>
        <w:t>.</w:t>
      </w:r>
      <w:r w:rsidR="007161D9">
        <w:rPr>
          <w:rFonts w:eastAsiaTheme="minorEastAsia"/>
          <w:iCs/>
          <w:lang w:val="en-GB"/>
        </w:rPr>
        <w:t xml:space="preserve"> </w:t>
      </w:r>
      <w:r w:rsidR="00A212EA">
        <w:rPr>
          <w:rFonts w:eastAsiaTheme="minorEastAsia"/>
          <w:iCs/>
          <w:lang w:val="en-GB"/>
        </w:rPr>
        <w:t xml:space="preserve">Since all three of these methods include </w:t>
      </w:r>
      <m:oMath>
        <m:sSub>
          <m:sSubPr>
            <m:ctrlPr>
              <w:rPr>
                <w:rFonts w:ascii="Cambria Math" w:eastAsiaTheme="minorEastAsia" w:hAnsi="Cambria Math"/>
                <w:i/>
                <w:iCs/>
                <w:lang w:val="en-GB"/>
              </w:rPr>
            </m:ctrlPr>
          </m:sSubPr>
          <m:e>
            <m:r>
              <w:rPr>
                <w:rFonts w:ascii="Cambria Math" w:eastAsiaTheme="minorEastAsia" w:hAnsi="Cambria Math"/>
                <w:lang w:val="en-GB"/>
              </w:rPr>
              <m:t>T</m:t>
            </m:r>
          </m:e>
          <m:sub>
            <m:r>
              <w:rPr>
                <w:rFonts w:ascii="Cambria Math" w:eastAsiaTheme="minorEastAsia" w:hAnsi="Cambria Math"/>
                <w:lang w:val="en-GB"/>
              </w:rPr>
              <m:t>2</m:t>
            </m:r>
          </m:sub>
        </m:sSub>
      </m:oMath>
      <w:r w:rsidR="00A212EA">
        <w:rPr>
          <w:rFonts w:eastAsiaTheme="minorEastAsia"/>
          <w:iCs/>
          <w:lang w:val="en-GB"/>
        </w:rPr>
        <w:t xml:space="preserve">, they </w:t>
      </w:r>
      <w:r w:rsidR="00912900">
        <w:rPr>
          <w:rFonts w:eastAsiaTheme="minorEastAsia"/>
          <w:iCs/>
          <w:lang w:val="en-GB"/>
        </w:rPr>
        <w:t xml:space="preserve">have better power to detect joint associations when effect sizes are not consistent with </w:t>
      </w:r>
      <m:oMath>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oMath>
      <w:r w:rsidR="00A55554">
        <w:rPr>
          <w:rFonts w:eastAsiaTheme="minorEastAsia"/>
          <w:lang w:val="en-GB"/>
        </w:rPr>
        <w:t xml:space="preserve"> (though at the expense of somewhat lower power </w:t>
      </w:r>
      <w:r w:rsidR="001F1546">
        <w:rPr>
          <w:rFonts w:eastAsiaTheme="minorEastAsia"/>
          <w:lang w:val="en-GB"/>
        </w:rPr>
        <w:t>in scenarios where</w:t>
      </w:r>
      <w:r w:rsidR="00A55554">
        <w:rPr>
          <w:rFonts w:eastAsiaTheme="minorEastAsia"/>
          <w:lang w:val="en-GB"/>
        </w:rPr>
        <w:t xml:space="preserve"> the linear model is a good fit)</w:t>
      </w:r>
      <w:r w:rsidR="00912900">
        <w:rPr>
          <w:rFonts w:eastAsiaTheme="minorEastAsia"/>
          <w:lang w:val="en-GB"/>
        </w:rPr>
        <w:t xml:space="preserve">. However, in terms of interpretation this moves even further away from testing a genetic relation between gene expression and phenotype, since these tests can no longer be defined in terms of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G</m:t>
                    </m:r>
                  </m:e>
                </m:acc>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00912900">
        <w:rPr>
          <w:rFonts w:eastAsiaTheme="minorEastAsia"/>
          <w:lang w:val="en-GB"/>
        </w:rPr>
        <w:t xml:space="preserve">, much less </w:t>
      </w:r>
      <m:oMath>
        <m:r>
          <m:rPr>
            <m:sty m:val="p"/>
          </m:rPr>
          <w:rPr>
            <w:rFonts w:ascii="Cambria Math" w:eastAsiaTheme="minorEastAsia" w:hAnsi="Cambria Math"/>
            <w:lang w:val="en-GB"/>
          </w:rPr>
          <m:t>cov</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E</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Y</m:t>
                </m:r>
              </m:sub>
            </m:sSub>
          </m:e>
        </m:d>
      </m:oMath>
      <w:r w:rsidR="00912900">
        <w:rPr>
          <w:rFonts w:eastAsiaTheme="minorEastAsia"/>
          <w:lang w:val="en-GB"/>
        </w:rPr>
        <w:t>.</w:t>
      </w:r>
    </w:p>
    <w:p w14:paraId="5AF9F3BB" w14:textId="61A892DE" w:rsidR="0052004F" w:rsidRDefault="0052004F" w:rsidP="0052004F">
      <w:pPr>
        <w:rPr>
          <w:lang w:val="en-GB"/>
        </w:rPr>
      </w:pPr>
    </w:p>
    <w:p w14:paraId="1B173C1F" w14:textId="656A3332" w:rsidR="00A808CB" w:rsidRDefault="00A808CB" w:rsidP="0052004F">
      <w:pPr>
        <w:rPr>
          <w:lang w:val="en-GB"/>
        </w:rPr>
      </w:pPr>
    </w:p>
    <w:p w14:paraId="363AFF5F" w14:textId="77777777" w:rsidR="00A808CB" w:rsidRDefault="00A808CB" w:rsidP="0052004F">
      <w:pPr>
        <w:rPr>
          <w:lang w:val="en-GB"/>
        </w:rPr>
      </w:pPr>
    </w:p>
    <w:p w14:paraId="69D3D7A4" w14:textId="7FAAFA54" w:rsidR="0052004F" w:rsidRDefault="0052004F" w:rsidP="0052004F">
      <w:pPr>
        <w:pStyle w:val="Kop1"/>
      </w:pPr>
      <w:bookmarkStart w:id="3" w:name="_Toc79957410"/>
      <w:r>
        <w:t>Comparison with CoMM</w:t>
      </w:r>
      <w:bookmarkEnd w:id="3"/>
    </w:p>
    <w:p w14:paraId="5D526E7C" w14:textId="3E65828F" w:rsidR="0052004F" w:rsidRDefault="0052004F" w:rsidP="0052004F">
      <w:pPr>
        <w:rPr>
          <w:lang w:val="en-GB"/>
        </w:rPr>
      </w:pPr>
    </w:p>
    <w:p w14:paraId="574E76EC" w14:textId="1CC1824E" w:rsidR="0052004F" w:rsidRDefault="003A0AB5" w:rsidP="0052004F">
      <w:pPr>
        <w:rPr>
          <w:rFonts w:eastAsiaTheme="minorEastAsia"/>
          <w:lang w:val="en-GB"/>
        </w:rPr>
      </w:pPr>
      <w:r>
        <w:rPr>
          <w:lang w:val="en-GB"/>
        </w:rPr>
        <w:t>Unique among the TWAS methods in Table 1, CoMM</w:t>
      </w:r>
      <w:r w:rsidR="00A962E0">
        <w:rPr>
          <w:lang w:val="en-GB"/>
        </w:rPr>
        <w:fldChar w:fldCharType="begin"/>
      </w:r>
      <w:r w:rsidR="00A962E0">
        <w:rPr>
          <w:lang w:val="en-GB"/>
        </w:rPr>
        <w:instrText xml:space="preserve"> ADDIN ZOTERO_ITEM CSL_CITATION {"citationID":"sttZCMen","properties":{"formattedCitation":"\\super 8\\nosupersub{}","plainCitation":"8","noteIndex":0},"citationItems":[{"id":33,"uris":["http://zotero.org/users/8257072/items/9M9L4N7C"],"uri":["http://zotero.org/users/8257072/items/9M9L4N7C"],"itemData":{"id":33,"type":"article-journal","abstract":"Motivation: Genome-wide association studies (GWASs) have been successful in identifying many genetic variants associated with complex traits. However, the mechanistic links between these variants and complex traits remain elusive. A scientiﬁc hypothesis is that genetic variants inﬂuence complex traits at the organismal level via affecting cellular traits, such as regulating gene expression and altering protein abundance. Although earlier works have already presented some scientific insights about this hypothesis and their ﬁndings are very promising, statistical methods that effectively harness multilayered data (e.g. genetic variants, cellular traits and organismal traits) on a large scale for functional and mechanistic exploration are highly demanding.","container-title":"Bioinformatics","DOI":"10.1093/bioinformatics/bty865","ISSN":"1367-4803, 1460-2059","issue":"10","language":"en","page":"1644-1652","source":"DOI.org (Crossref)","title":"CoMM: a collaborative mixed model to dissecting genetic contributions to complex traits by leveraging regulatory information","title-short":"CoMM","volume":"35","author":[{"family":"Yang","given":"Can"},{"family":"Wan","given":"Xiang"},{"family":"Lin","given":"Xinyi"},{"family":"Chen","given":"Mengjie"},{"family":"Zhou","given":"Xiang"},{"family":"Liu","given":"Jin"}],"editor":[{"family":"Hancock","given":"John"}],"issued":{"date-parts":[["2019",5,15]]}}}],"schema":"https://github.com/citation-style-language/schema/raw/master/csl-citation.json"} </w:instrText>
      </w:r>
      <w:r w:rsidR="00A962E0">
        <w:rPr>
          <w:lang w:val="en-GB"/>
        </w:rPr>
        <w:fldChar w:fldCharType="separate"/>
      </w:r>
      <w:r w:rsidR="00A962E0" w:rsidRPr="00A962E0">
        <w:rPr>
          <w:rFonts w:ascii="Calibri" w:hAnsi="Calibri" w:cs="Calibri"/>
          <w:szCs w:val="24"/>
          <w:vertAlign w:val="superscript"/>
          <w:lang w:val="en-GB"/>
        </w:rPr>
        <w:t>8</w:t>
      </w:r>
      <w:r w:rsidR="00A962E0">
        <w:rPr>
          <w:lang w:val="en-GB"/>
        </w:rPr>
        <w:fldChar w:fldCharType="end"/>
      </w:r>
      <w:r>
        <w:rPr>
          <w:lang w:val="en-GB"/>
        </w:rPr>
        <w:t xml:space="preserve"> explicitly accounts for the uncertainty in the eQTL estimates. It accomplishes this by specifying the linear equations (translating to our notation) </w:t>
      </w:r>
      <m:oMath>
        <m:r>
          <w:rPr>
            <w:rFonts w:ascii="Cambria Math" w:hAnsi="Cambria Math"/>
            <w:lang w:val="en-GB"/>
          </w:rPr>
          <m:t>E=Xα+</m:t>
        </m:r>
        <m:sSub>
          <m:sSubPr>
            <m:ctrlPr>
              <w:rPr>
                <w:rFonts w:ascii="Cambria Math" w:hAnsi="Cambria Math"/>
                <w:i/>
                <w:lang w:val="en-GB"/>
              </w:rPr>
            </m:ctrlPr>
          </m:sSubPr>
          <m:e>
            <m:r>
              <w:rPr>
                <w:rFonts w:ascii="Cambria Math" w:hAnsi="Cambria Math"/>
                <w:lang w:val="en-GB"/>
              </w:rPr>
              <m:t>ξ</m:t>
            </m:r>
          </m:e>
          <m:sub>
            <m:r>
              <w:rPr>
                <w:rFonts w:ascii="Cambria Math" w:hAnsi="Cambria Math"/>
                <w:lang w:val="en-GB"/>
              </w:rPr>
              <m:t>E</m:t>
            </m:r>
          </m:sub>
        </m:sSub>
      </m:oMath>
      <w:r>
        <w:rPr>
          <w:rFonts w:eastAsiaTheme="minorEastAsia"/>
          <w:lang w:val="en-GB"/>
        </w:rPr>
        <w:t xml:space="preserve"> and </w:t>
      </w:r>
      <m:oMath>
        <m:r>
          <w:rPr>
            <w:rFonts w:ascii="Cambria Math" w:eastAsiaTheme="minorEastAsia" w:hAnsi="Cambria Math"/>
            <w:lang w:val="en-GB"/>
          </w:rPr>
          <m:t>Y=Xαβ+</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oMath>
      <w:r w:rsidR="00613E9D">
        <w:rPr>
          <w:rFonts w:eastAsiaTheme="minorEastAsia"/>
          <w:lang w:val="en-GB"/>
        </w:rPr>
        <w:t xml:space="preserve"> (with the two equations sharing the same parameter </w:t>
      </w:r>
      <m:oMath>
        <m:r>
          <w:rPr>
            <w:rFonts w:ascii="Cambria Math" w:eastAsiaTheme="minorEastAsia" w:hAnsi="Cambria Math"/>
            <w:lang w:val="en-GB"/>
          </w:rPr>
          <m:t>α</m:t>
        </m:r>
      </m:oMath>
      <w:r w:rsidR="00613E9D">
        <w:rPr>
          <w:rFonts w:eastAsiaTheme="minorEastAsia"/>
          <w:lang w:val="en-GB"/>
        </w:rPr>
        <w:t>)</w:t>
      </w:r>
      <w:r>
        <w:rPr>
          <w:rFonts w:eastAsiaTheme="minorEastAsia"/>
          <w:lang w:val="en-GB"/>
        </w:rPr>
        <w:t>,</w:t>
      </w:r>
      <w:r w:rsidR="002F7546">
        <w:rPr>
          <w:rFonts w:eastAsiaTheme="minorEastAsia"/>
          <w:lang w:val="en-GB"/>
        </w:rPr>
        <w:t xml:space="preserve"> </w:t>
      </w:r>
      <w:r>
        <w:rPr>
          <w:rFonts w:eastAsiaTheme="minorEastAsia"/>
          <w:lang w:val="en-GB"/>
        </w:rPr>
        <w:t>which</w:t>
      </w:r>
      <w:r w:rsidR="00461941">
        <w:rPr>
          <w:rFonts w:eastAsiaTheme="minorEastAsia"/>
          <w:lang w:val="en-GB"/>
        </w:rPr>
        <w:t>,</w:t>
      </w:r>
      <w:r>
        <w:rPr>
          <w:rFonts w:eastAsiaTheme="minorEastAsia"/>
          <w:lang w:val="en-GB"/>
        </w:rPr>
        <w:t xml:space="preserve"> if we substitute </w:t>
      </w:r>
      <m:oMath>
        <m:r>
          <w:rPr>
            <w:rFonts w:ascii="Cambria Math" w:eastAsiaTheme="minorEastAsia" w:hAnsi="Cambria Math"/>
            <w:lang w:val="en-GB"/>
          </w:rPr>
          <m:t>G=Xα</m:t>
        </m:r>
      </m:oMath>
      <w:r w:rsidR="00461941">
        <w:rPr>
          <w:rFonts w:eastAsiaTheme="minorEastAsia"/>
          <w:lang w:val="en-GB"/>
        </w:rPr>
        <w:t>,</w:t>
      </w:r>
      <w:r>
        <w:rPr>
          <w:rFonts w:eastAsiaTheme="minorEastAsia"/>
          <w:lang w:val="en-GB"/>
        </w:rPr>
        <w:t xml:space="preserve"> translates to </w:t>
      </w:r>
      <m:oMath>
        <m:r>
          <w:rPr>
            <w:rFonts w:ascii="Cambria Math" w:eastAsiaTheme="minorEastAsia" w:hAnsi="Cambria Math"/>
            <w:lang w:val="en-GB"/>
          </w:rPr>
          <m:t>E=G+</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E</m:t>
            </m:r>
          </m:sub>
        </m:sSub>
      </m:oMath>
      <w:r>
        <w:rPr>
          <w:rFonts w:eastAsiaTheme="minorEastAsia"/>
          <w:lang w:val="en-GB"/>
        </w:rPr>
        <w:t xml:space="preserve"> and </w:t>
      </w:r>
      <m:oMath>
        <m:r>
          <w:rPr>
            <w:rFonts w:ascii="Cambria Math" w:eastAsiaTheme="minorEastAsia" w:hAnsi="Cambria Math"/>
            <w:lang w:val="en-GB"/>
          </w:rPr>
          <m:t>Y=Gβ+</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oMath>
      <w:r>
        <w:rPr>
          <w:rFonts w:eastAsiaTheme="minorEastAsia"/>
          <w:lang w:val="en-GB"/>
        </w:rPr>
        <w:t xml:space="preserve">. The parameters </w:t>
      </w:r>
      <m:oMath>
        <m:r>
          <w:rPr>
            <w:rFonts w:ascii="Cambria Math" w:eastAsiaTheme="minorEastAsia" w:hAnsi="Cambria Math"/>
            <w:lang w:val="en-GB"/>
          </w:rPr>
          <m:t>α</m:t>
        </m:r>
      </m:oMath>
      <w:r>
        <w:rPr>
          <w:rFonts w:eastAsiaTheme="minorEastAsia"/>
          <w:lang w:val="en-GB"/>
        </w:rPr>
        <w:t xml:space="preserve"> and </w:t>
      </w:r>
      <m:oMath>
        <m:r>
          <w:rPr>
            <w:rFonts w:ascii="Cambria Math" w:eastAsiaTheme="minorEastAsia" w:hAnsi="Cambria Math"/>
            <w:lang w:val="en-GB"/>
          </w:rPr>
          <m:t>β</m:t>
        </m:r>
      </m:oMath>
      <w:r>
        <w:rPr>
          <w:rFonts w:eastAsiaTheme="minorEastAsia"/>
          <w:lang w:val="en-GB"/>
        </w:rPr>
        <w:t xml:space="preserve"> are estimated simultaneously in a single model using both these equations, thus circumventing the use of a separately estimated </w:t>
      </w:r>
      <m:oMath>
        <m:acc>
          <m:accPr>
            <m:ctrlPr>
              <w:rPr>
                <w:rFonts w:ascii="Cambria Math" w:eastAsiaTheme="minorEastAsia" w:hAnsi="Cambria Math"/>
                <w:i/>
                <w:lang w:val="en-GB"/>
              </w:rPr>
            </m:ctrlPr>
          </m:accPr>
          <m:e>
            <m:r>
              <w:rPr>
                <w:rFonts w:ascii="Cambria Math" w:eastAsiaTheme="minorEastAsia" w:hAnsi="Cambria Math"/>
                <w:lang w:val="en-GB"/>
              </w:rPr>
              <m:t>G</m:t>
            </m:r>
          </m:e>
        </m:acc>
      </m:oMath>
      <w:r>
        <w:rPr>
          <w:rFonts w:eastAsiaTheme="minorEastAsia"/>
          <w:lang w:val="en-GB"/>
        </w:rPr>
        <w:t xml:space="preserve"> </w:t>
      </w:r>
      <w:r w:rsidR="00702258">
        <w:rPr>
          <w:rFonts w:eastAsiaTheme="minorEastAsia"/>
          <w:lang w:val="en-GB"/>
        </w:rPr>
        <w:t>and failing to</w:t>
      </w:r>
      <w:r>
        <w:rPr>
          <w:rFonts w:eastAsiaTheme="minorEastAsia"/>
          <w:lang w:val="en-GB"/>
        </w:rPr>
        <w:t xml:space="preserve"> account for</w:t>
      </w:r>
      <w:r w:rsidR="00702258">
        <w:rPr>
          <w:rFonts w:eastAsiaTheme="minorEastAsia"/>
          <w:lang w:val="en-GB"/>
        </w:rPr>
        <w:t xml:space="preserve"> the</w:t>
      </w:r>
      <w:r>
        <w:rPr>
          <w:rFonts w:eastAsiaTheme="minorEastAsia"/>
          <w:lang w:val="en-GB"/>
        </w:rPr>
        <w:t xml:space="preserve"> estimation uncertainty</w:t>
      </w:r>
      <w:r w:rsidR="00702258">
        <w:rPr>
          <w:rFonts w:eastAsiaTheme="minorEastAsia"/>
          <w:lang w:val="en-GB"/>
        </w:rPr>
        <w:t xml:space="preserve"> in that </w:t>
      </w:r>
      <m:oMath>
        <m:acc>
          <m:accPr>
            <m:ctrlPr>
              <w:rPr>
                <w:rFonts w:ascii="Cambria Math" w:eastAsiaTheme="minorEastAsia" w:hAnsi="Cambria Math"/>
                <w:i/>
                <w:lang w:val="en-GB"/>
              </w:rPr>
            </m:ctrlPr>
          </m:accPr>
          <m:e>
            <m:r>
              <w:rPr>
                <w:rFonts w:ascii="Cambria Math" w:eastAsiaTheme="minorEastAsia" w:hAnsi="Cambria Math"/>
                <w:lang w:val="en-GB"/>
              </w:rPr>
              <m:t>G</m:t>
            </m:r>
          </m:e>
        </m:acc>
      </m:oMath>
      <w:r>
        <w:rPr>
          <w:rFonts w:eastAsiaTheme="minorEastAsia"/>
          <w:lang w:val="en-GB"/>
        </w:rPr>
        <w:t xml:space="preserve">. </w:t>
      </w:r>
    </w:p>
    <w:p w14:paraId="51DD250E" w14:textId="171B548D" w:rsidR="005B1CFC" w:rsidRDefault="003A0AB5" w:rsidP="005B1CFC">
      <w:pPr>
        <w:rPr>
          <w:rFonts w:eastAsiaTheme="minorEastAsia"/>
          <w:lang w:val="en-GB"/>
        </w:rPr>
      </w:pPr>
      <w:r>
        <w:rPr>
          <w:rFonts w:eastAsiaTheme="minorEastAsia"/>
          <w:lang w:val="en-GB"/>
        </w:rPr>
        <w:tab/>
      </w:r>
      <w:r w:rsidR="005C3B5A">
        <w:rPr>
          <w:rFonts w:eastAsiaTheme="minorEastAsia"/>
          <w:lang w:val="en-GB"/>
        </w:rPr>
        <w:t xml:space="preserve">Although this would therefore seem to resolve the issue discussed in this paper, </w:t>
      </w:r>
      <w:r w:rsidR="00AC6F75">
        <w:rPr>
          <w:rFonts w:eastAsiaTheme="minorEastAsia"/>
          <w:lang w:val="en-GB"/>
        </w:rPr>
        <w:t xml:space="preserve">that </w:t>
      </w:r>
      <w:r w:rsidR="002F7546">
        <w:rPr>
          <w:rFonts w:eastAsiaTheme="minorEastAsia"/>
          <w:lang w:val="en-GB"/>
        </w:rPr>
        <w:t xml:space="preserve">is not the case. </w:t>
      </w:r>
      <w:r w:rsidR="007F3BE0">
        <w:rPr>
          <w:rFonts w:eastAsiaTheme="minorEastAsia"/>
          <w:lang w:val="en-GB"/>
        </w:rPr>
        <w:t xml:space="preserve">The problem is that the model has </w:t>
      </w:r>
      <w:r w:rsidR="00FC55FD">
        <w:rPr>
          <w:rFonts w:eastAsiaTheme="minorEastAsia"/>
          <w:lang w:val="en-GB"/>
        </w:rPr>
        <w:t>can only</w:t>
      </w:r>
      <w:r w:rsidR="007F3BE0">
        <w:rPr>
          <w:rFonts w:eastAsiaTheme="minorEastAsia"/>
          <w:lang w:val="en-GB"/>
        </w:rPr>
        <w:t xml:space="preserve"> account for genetic association between </w:t>
      </w:r>
      <m:oMath>
        <m:r>
          <w:rPr>
            <w:rFonts w:ascii="Cambria Math" w:eastAsiaTheme="minorEastAsia" w:hAnsi="Cambria Math"/>
            <w:lang w:val="en-GB"/>
          </w:rPr>
          <m:t>X</m:t>
        </m:r>
      </m:oMath>
      <w:r w:rsidR="007F3BE0">
        <w:rPr>
          <w:rFonts w:eastAsiaTheme="minorEastAsia"/>
          <w:lang w:val="en-GB"/>
        </w:rPr>
        <w:t xml:space="preserve"> and </w:t>
      </w:r>
      <m:oMath>
        <m:r>
          <w:rPr>
            <w:rFonts w:ascii="Cambria Math" w:eastAsiaTheme="minorEastAsia" w:hAnsi="Cambria Math"/>
            <w:lang w:val="en-GB"/>
          </w:rPr>
          <m:t>Y</m:t>
        </m:r>
      </m:oMath>
      <w:r w:rsidR="007F3BE0">
        <w:rPr>
          <w:rFonts w:eastAsiaTheme="minorEastAsia"/>
          <w:lang w:val="en-GB"/>
        </w:rPr>
        <w:t xml:space="preserve"> via the parameter </w:t>
      </w:r>
      <m:oMath>
        <m:r>
          <w:rPr>
            <w:rFonts w:ascii="Cambria Math" w:eastAsiaTheme="minorEastAsia" w:hAnsi="Cambria Math"/>
            <w:lang w:val="en-GB"/>
          </w:rPr>
          <m:t>α</m:t>
        </m:r>
      </m:oMath>
      <w:r w:rsidR="007F3BE0">
        <w:rPr>
          <w:rFonts w:eastAsiaTheme="minorEastAsia"/>
          <w:lang w:val="en-GB"/>
        </w:rPr>
        <w:t xml:space="preserve">. </w:t>
      </w:r>
      <w:r w:rsidR="005B1CFC">
        <w:rPr>
          <w:rFonts w:eastAsiaTheme="minorEastAsia"/>
          <w:lang w:val="en-GB"/>
        </w:rPr>
        <w:t xml:space="preserve">And since in the CoMM model the two equations are estimated simultaneously, the parameter </w:t>
      </w:r>
      <m:oMath>
        <m:r>
          <w:rPr>
            <w:rFonts w:ascii="Cambria Math" w:eastAsiaTheme="minorEastAsia" w:hAnsi="Cambria Math"/>
            <w:lang w:val="en-GB"/>
          </w:rPr>
          <m:t>α</m:t>
        </m:r>
      </m:oMath>
      <w:r w:rsidR="005B1CFC">
        <w:rPr>
          <w:rFonts w:eastAsiaTheme="minorEastAsia"/>
          <w:lang w:val="en-GB"/>
        </w:rPr>
        <w:t xml:space="preserve"> will be fitted to the relation between </w:t>
      </w:r>
      <m:oMath>
        <m:r>
          <w:rPr>
            <w:rFonts w:ascii="Cambria Math" w:eastAsiaTheme="minorEastAsia" w:hAnsi="Cambria Math"/>
            <w:lang w:val="en-GB"/>
          </w:rPr>
          <m:t>X</m:t>
        </m:r>
      </m:oMath>
      <w:r w:rsidR="005B1CFC">
        <w:rPr>
          <w:rFonts w:eastAsiaTheme="minorEastAsia"/>
          <w:lang w:val="en-GB"/>
        </w:rPr>
        <w:t xml:space="preserve"> </w:t>
      </w:r>
      <w:r w:rsidR="00461941">
        <w:rPr>
          <w:rFonts w:eastAsiaTheme="minorEastAsia"/>
          <w:lang w:val="en-GB"/>
        </w:rPr>
        <w:t xml:space="preserve">and </w:t>
      </w:r>
      <m:oMath>
        <m:r>
          <w:rPr>
            <w:rFonts w:ascii="Cambria Math" w:eastAsiaTheme="minorEastAsia" w:hAnsi="Cambria Math"/>
            <w:lang w:val="en-GB"/>
          </w:rPr>
          <m:t>E</m:t>
        </m:r>
      </m:oMath>
      <w:r w:rsidR="005B1CFC">
        <w:rPr>
          <w:rFonts w:eastAsiaTheme="minorEastAsia"/>
          <w:lang w:val="en-GB"/>
        </w:rPr>
        <w:t xml:space="preserve"> as well as </w:t>
      </w:r>
      <w:r w:rsidR="00461941">
        <w:rPr>
          <w:rFonts w:eastAsiaTheme="minorEastAsia"/>
          <w:lang w:val="en-GB"/>
        </w:rPr>
        <w:t xml:space="preserve">the relation between </w:t>
      </w:r>
      <m:oMath>
        <m:r>
          <w:rPr>
            <w:rFonts w:ascii="Cambria Math" w:eastAsiaTheme="minorEastAsia" w:hAnsi="Cambria Math"/>
            <w:lang w:val="en-GB"/>
          </w:rPr>
          <m:t>X</m:t>
        </m:r>
      </m:oMath>
      <w:r w:rsidR="00461941">
        <w:rPr>
          <w:rFonts w:eastAsiaTheme="minorEastAsia"/>
          <w:lang w:val="en-GB"/>
        </w:rPr>
        <w:t xml:space="preserve"> and </w:t>
      </w:r>
      <m:oMath>
        <m:r>
          <w:rPr>
            <w:rFonts w:ascii="Cambria Math" w:eastAsiaTheme="minorEastAsia" w:hAnsi="Cambria Math"/>
            <w:lang w:val="en-GB"/>
          </w:rPr>
          <m:t>Y</m:t>
        </m:r>
      </m:oMath>
      <w:r w:rsidR="005B1CFC">
        <w:rPr>
          <w:rFonts w:eastAsiaTheme="minorEastAsia"/>
          <w:lang w:val="en-GB"/>
        </w:rPr>
        <w:t xml:space="preserve">. Thus </w:t>
      </w:r>
      <m:oMath>
        <m:r>
          <w:rPr>
            <w:rFonts w:ascii="Cambria Math" w:eastAsiaTheme="minorEastAsia" w:hAnsi="Cambria Math"/>
            <w:lang w:val="en-GB"/>
          </w:rPr>
          <m:t>α</m:t>
        </m:r>
      </m:oMath>
      <w:r w:rsidR="005B1CFC">
        <w:rPr>
          <w:rFonts w:eastAsiaTheme="minorEastAsia"/>
          <w:lang w:val="en-GB"/>
        </w:rPr>
        <w:t xml:space="preserve"> is in effect somewhere intermediate between parameters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E</m:t>
            </m:r>
          </m:sub>
        </m:sSub>
      </m:oMath>
      <w:r w:rsidR="005B1CFC">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oMath>
      <w:r w:rsidR="005B1CFC">
        <w:rPr>
          <w:rFonts w:eastAsiaTheme="minorEastAsia"/>
          <w:lang w:val="en-GB"/>
        </w:rPr>
        <w:t xml:space="preserve"> from equations (1) and (3). </w:t>
      </w:r>
    </w:p>
    <w:p w14:paraId="38F8FC98" w14:textId="1F060CB2" w:rsidR="003A0AB5" w:rsidRDefault="005B1CFC" w:rsidP="00161ED8">
      <w:pPr>
        <w:rPr>
          <w:rFonts w:eastAsiaTheme="minorEastAsia"/>
          <w:lang w:val="en-GB"/>
        </w:rPr>
      </w:pPr>
      <w:r>
        <w:rPr>
          <w:rFonts w:eastAsiaTheme="minorEastAsia"/>
          <w:lang w:val="en-GB"/>
        </w:rPr>
        <w:tab/>
      </w:r>
      <w:r w:rsidR="009A3385">
        <w:rPr>
          <w:rFonts w:eastAsiaTheme="minorEastAsia"/>
          <w:lang w:val="en-GB"/>
        </w:rPr>
        <w:t xml:space="preserve">The issue with this becomes readily apparent when we inspect the model under the null hypothesis </w:t>
      </w:r>
      <m:oMath>
        <m:sSub>
          <m:sSubPr>
            <m:ctrlPr>
              <w:rPr>
                <w:rFonts w:ascii="Cambria Math" w:eastAsiaTheme="minorEastAsia" w:hAnsi="Cambria Math"/>
                <w:i/>
                <w:lang w:val="en-GB"/>
              </w:rPr>
            </m:ctrlPr>
          </m:sSubPr>
          <m:e>
            <m:r>
              <w:rPr>
                <w:rFonts w:ascii="Cambria Math" w:eastAsiaTheme="minorEastAsia" w:hAnsi="Cambria Math"/>
                <w:lang w:val="en-GB"/>
              </w:rPr>
              <m:t>H</m:t>
            </m:r>
          </m:e>
          <m:sub>
            <m:r>
              <w:rPr>
                <w:rFonts w:ascii="Cambria Math" w:eastAsiaTheme="minorEastAsia" w:hAnsi="Cambria Math"/>
                <w:lang w:val="en-GB"/>
              </w:rPr>
              <m:t>0</m:t>
            </m:r>
          </m:sub>
        </m:sSub>
        <m:r>
          <w:rPr>
            <w:rFonts w:ascii="Cambria Math" w:eastAsiaTheme="minorEastAsia" w:hAnsi="Cambria Math"/>
            <w:lang w:val="en-GB"/>
          </w:rPr>
          <m:t>:β=0</m:t>
        </m:r>
      </m:oMath>
      <w:r w:rsidR="00E7698B">
        <w:rPr>
          <w:rFonts w:eastAsiaTheme="minorEastAsia"/>
          <w:lang w:val="en-GB"/>
        </w:rPr>
        <w:t xml:space="preserve"> tested by CoMM</w:t>
      </w:r>
      <w:r w:rsidR="009A3385">
        <w:rPr>
          <w:rFonts w:eastAsiaTheme="minorEastAsia"/>
          <w:lang w:val="en-GB"/>
        </w:rPr>
        <w:t>. Under that null</w:t>
      </w:r>
      <w:r w:rsidR="00461941">
        <w:rPr>
          <w:rFonts w:eastAsiaTheme="minorEastAsia"/>
          <w:lang w:val="en-GB"/>
        </w:rPr>
        <w:t>,</w:t>
      </w:r>
      <w:r w:rsidR="004A18C6">
        <w:rPr>
          <w:rFonts w:eastAsiaTheme="minorEastAsia"/>
          <w:lang w:val="en-GB"/>
        </w:rPr>
        <w:t xml:space="preserve"> the first equation </w:t>
      </w:r>
      <m:oMath>
        <m:r>
          <w:rPr>
            <w:rFonts w:ascii="Cambria Math" w:hAnsi="Cambria Math"/>
            <w:lang w:val="en-GB"/>
          </w:rPr>
          <m:t>E=Xα+</m:t>
        </m:r>
        <m:sSub>
          <m:sSubPr>
            <m:ctrlPr>
              <w:rPr>
                <w:rFonts w:ascii="Cambria Math" w:hAnsi="Cambria Math"/>
                <w:i/>
                <w:lang w:val="en-GB"/>
              </w:rPr>
            </m:ctrlPr>
          </m:sSubPr>
          <m:e>
            <m:r>
              <w:rPr>
                <w:rFonts w:ascii="Cambria Math" w:hAnsi="Cambria Math"/>
                <w:lang w:val="en-GB"/>
              </w:rPr>
              <m:t>ξ</m:t>
            </m:r>
          </m:e>
          <m:sub>
            <m:r>
              <w:rPr>
                <w:rFonts w:ascii="Cambria Math" w:hAnsi="Cambria Math"/>
                <w:lang w:val="en-GB"/>
              </w:rPr>
              <m:t>E</m:t>
            </m:r>
          </m:sub>
        </m:sSub>
      </m:oMath>
      <w:r w:rsidR="004A18C6">
        <w:rPr>
          <w:rFonts w:eastAsiaTheme="minorEastAsia"/>
          <w:lang w:val="en-GB"/>
        </w:rPr>
        <w:t xml:space="preserve"> is unchanged since </w:t>
      </w:r>
      <m:oMath>
        <m:r>
          <w:rPr>
            <w:rFonts w:ascii="Cambria Math" w:eastAsiaTheme="minorEastAsia" w:hAnsi="Cambria Math"/>
            <w:lang w:val="en-GB"/>
          </w:rPr>
          <m:t>β</m:t>
        </m:r>
      </m:oMath>
      <w:r w:rsidR="004A18C6">
        <w:rPr>
          <w:rFonts w:eastAsiaTheme="minorEastAsia"/>
          <w:lang w:val="en-GB"/>
        </w:rPr>
        <w:t xml:space="preserve"> does not occur in it. For the second equation however, we obtain </w:t>
      </w:r>
      <m:oMath>
        <m:r>
          <w:rPr>
            <w:rFonts w:ascii="Cambria Math" w:eastAsiaTheme="minorEastAsia" w:hAnsi="Cambria Math"/>
            <w:lang w:val="en-GB"/>
          </w:rPr>
          <m:t>Y=Xαβ+</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r>
          <w:rPr>
            <w:rFonts w:ascii="Cambria Math" w:eastAsiaTheme="minorEastAsia" w:hAnsi="Cambria Math"/>
            <w:lang w:val="en-GB"/>
          </w:rPr>
          <m:t>=Xα×0+</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oMath>
      <w:r w:rsidR="00160F1E">
        <w:rPr>
          <w:rFonts w:eastAsiaTheme="minorEastAsia"/>
          <w:lang w:val="en-GB"/>
        </w:rPr>
        <w:t xml:space="preserve">. In other words, because under the CoMM model the genetic associations between </w:t>
      </w:r>
      <m:oMath>
        <m:r>
          <w:rPr>
            <w:rFonts w:ascii="Cambria Math" w:eastAsiaTheme="minorEastAsia" w:hAnsi="Cambria Math"/>
            <w:lang w:val="en-GB"/>
          </w:rPr>
          <m:t>X</m:t>
        </m:r>
      </m:oMath>
      <w:r w:rsidR="00160F1E">
        <w:rPr>
          <w:rFonts w:eastAsiaTheme="minorEastAsia"/>
          <w:lang w:val="en-GB"/>
        </w:rPr>
        <w:t xml:space="preserve"> and </w:t>
      </w:r>
      <m:oMath>
        <m:r>
          <w:rPr>
            <w:rFonts w:ascii="Cambria Math" w:eastAsiaTheme="minorEastAsia" w:hAnsi="Cambria Math"/>
            <w:lang w:val="en-GB"/>
          </w:rPr>
          <m:t>Y</m:t>
        </m:r>
      </m:oMath>
      <w:r w:rsidR="00160F1E">
        <w:rPr>
          <w:rFonts w:eastAsiaTheme="minorEastAsia"/>
          <w:lang w:val="en-GB"/>
        </w:rPr>
        <w:t xml:space="preserve"> are parameterized as </w:t>
      </w:r>
      <m:oMath>
        <m:r>
          <w:rPr>
            <w:rFonts w:ascii="Cambria Math" w:eastAsiaTheme="minorEastAsia" w:hAnsi="Cambria Math"/>
            <w:lang w:val="en-GB"/>
          </w:rPr>
          <m:t>αβ</m:t>
        </m:r>
      </m:oMath>
      <w:r w:rsidR="00160F1E">
        <w:rPr>
          <w:rFonts w:eastAsiaTheme="minorEastAsia"/>
          <w:lang w:val="en-GB"/>
        </w:rPr>
        <w:t xml:space="preserve">, when </w:t>
      </w:r>
      <m:oMath>
        <m:r>
          <w:rPr>
            <w:rFonts w:ascii="Cambria Math" w:eastAsiaTheme="minorEastAsia" w:hAnsi="Cambria Math"/>
            <w:lang w:val="en-GB"/>
          </w:rPr>
          <m:t>β</m:t>
        </m:r>
      </m:oMath>
      <w:r w:rsidR="00160F1E">
        <w:rPr>
          <w:rFonts w:eastAsiaTheme="minorEastAsia"/>
          <w:lang w:val="en-GB"/>
        </w:rPr>
        <w:t xml:space="preserve"> is set to 0 under the null this forces the assumption that </w:t>
      </w:r>
      <m:oMath>
        <m:r>
          <w:rPr>
            <w:rFonts w:ascii="Cambria Math" w:eastAsiaTheme="minorEastAsia" w:hAnsi="Cambria Math"/>
            <w:lang w:val="en-GB"/>
          </w:rPr>
          <m:t>X</m:t>
        </m:r>
      </m:oMath>
      <w:r w:rsidR="00160F1E">
        <w:rPr>
          <w:rFonts w:eastAsiaTheme="minorEastAsia"/>
          <w:lang w:val="en-GB"/>
        </w:rPr>
        <w:t xml:space="preserve"> and </w:t>
      </w:r>
      <m:oMath>
        <m:r>
          <w:rPr>
            <w:rFonts w:ascii="Cambria Math" w:eastAsiaTheme="minorEastAsia" w:hAnsi="Cambria Math"/>
            <w:lang w:val="en-GB"/>
          </w:rPr>
          <m:t>Y</m:t>
        </m:r>
      </m:oMath>
      <w:r w:rsidR="00160F1E">
        <w:rPr>
          <w:rFonts w:eastAsiaTheme="minorEastAsia"/>
          <w:lang w:val="en-GB"/>
        </w:rPr>
        <w:t xml:space="preserve"> are completely independent (since </w:t>
      </w:r>
      <m:oMath>
        <m:sSub>
          <m:sSubPr>
            <m:ctrlPr>
              <w:rPr>
                <w:rFonts w:ascii="Cambria Math" w:eastAsiaTheme="minorEastAsia" w:hAnsi="Cambria Math"/>
                <w:i/>
                <w:lang w:val="en-GB"/>
              </w:rPr>
            </m:ctrlPr>
          </m:sSubPr>
          <m:e>
            <m:r>
              <w:rPr>
                <w:rFonts w:ascii="Cambria Math" w:eastAsiaTheme="minorEastAsia" w:hAnsi="Cambria Math"/>
                <w:lang w:val="en-GB"/>
              </w:rPr>
              <m:t>ξ</m:t>
            </m:r>
          </m:e>
          <m:sub>
            <m:r>
              <w:rPr>
                <w:rFonts w:ascii="Cambria Math" w:eastAsiaTheme="minorEastAsia" w:hAnsi="Cambria Math"/>
                <w:lang w:val="en-GB"/>
              </w:rPr>
              <m:t>Y</m:t>
            </m:r>
          </m:sub>
        </m:sSub>
      </m:oMath>
      <w:r w:rsidR="00160F1E">
        <w:rPr>
          <w:rFonts w:eastAsiaTheme="minorEastAsia"/>
          <w:lang w:val="en-GB"/>
        </w:rPr>
        <w:t xml:space="preserve"> is defined in the model as independent of </w:t>
      </w:r>
      <m:oMath>
        <m:r>
          <w:rPr>
            <w:rFonts w:ascii="Cambria Math" w:eastAsiaTheme="minorEastAsia" w:hAnsi="Cambria Math"/>
            <w:lang w:val="en-GB"/>
          </w:rPr>
          <m:t>X</m:t>
        </m:r>
      </m:oMath>
      <w:r w:rsidR="00160F1E">
        <w:rPr>
          <w:rFonts w:eastAsiaTheme="minorEastAsia"/>
          <w:lang w:val="en-GB"/>
        </w:rPr>
        <w:t>)</w:t>
      </w:r>
      <w:r w:rsidR="009A3385">
        <w:rPr>
          <w:rFonts w:eastAsiaTheme="minorEastAsia"/>
          <w:lang w:val="en-GB"/>
        </w:rPr>
        <w:t xml:space="preserve">. In other words, this </w:t>
      </w:r>
      <w:r w:rsidR="009A3385">
        <w:rPr>
          <w:rFonts w:eastAsiaTheme="minorEastAsia"/>
          <w:lang w:val="en-GB"/>
        </w:rPr>
        <w:lastRenderedPageBreak/>
        <w:t xml:space="preserve">null is again equivalent to testing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r>
          <w:rPr>
            <w:rFonts w:ascii="Cambria Math" w:eastAsiaTheme="minorEastAsia" w:hAnsi="Cambria Math"/>
            <w:lang w:val="en-GB"/>
          </w:rPr>
          <m:t>=</m:t>
        </m:r>
        <m:acc>
          <m:accPr>
            <m:chr m:val="⃗"/>
            <m:ctrlPr>
              <w:rPr>
                <w:rFonts w:ascii="Cambria Math" w:eastAsiaTheme="minorEastAsia" w:hAnsi="Cambria Math"/>
                <w:i/>
                <w:lang w:val="en-GB"/>
              </w:rPr>
            </m:ctrlPr>
          </m:accPr>
          <m:e>
            <m:r>
              <w:rPr>
                <w:rFonts w:ascii="Cambria Math" w:eastAsiaTheme="minorEastAsia" w:hAnsi="Cambria Math"/>
                <w:lang w:val="en-GB"/>
              </w:rPr>
              <m:t>0</m:t>
            </m:r>
          </m:e>
        </m:acc>
      </m:oMath>
      <w:r w:rsidR="00D34125">
        <w:rPr>
          <w:rFonts w:eastAsiaTheme="minorEastAsia"/>
          <w:lang w:val="en-GB"/>
        </w:rPr>
        <w:t xml:space="preserve"> (since the CoMM model essentially assumes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r>
          <w:rPr>
            <w:rFonts w:ascii="Cambria Math" w:eastAsiaTheme="minorEastAsia" w:hAnsi="Cambria Math"/>
            <w:lang w:val="en-GB"/>
          </w:rPr>
          <m:t>=αβ</m:t>
        </m:r>
      </m:oMath>
      <w:r w:rsidR="00D34125">
        <w:rPr>
          <w:rFonts w:eastAsiaTheme="minorEastAsia"/>
          <w:lang w:val="en-GB"/>
        </w:rPr>
        <w:t>)</w:t>
      </w:r>
      <w:r w:rsidR="009A3385">
        <w:rPr>
          <w:rFonts w:eastAsiaTheme="minorEastAsia"/>
          <w:lang w:val="en-GB"/>
        </w:rPr>
        <w:t xml:space="preserve">, reducing to a joint association test just as the other TWAS models do </w:t>
      </w:r>
      <w:r w:rsidR="00205FB1">
        <w:rPr>
          <w:rFonts w:eastAsiaTheme="minorEastAsia"/>
          <w:lang w:val="en-GB"/>
        </w:rPr>
        <w:t xml:space="preserve">(see section </w:t>
      </w:r>
      <w:r w:rsidR="00205FB1">
        <w:rPr>
          <w:rFonts w:eastAsiaTheme="minorEastAsia"/>
          <w:i/>
          <w:iCs/>
          <w:lang w:val="en-GB"/>
        </w:rPr>
        <w:t>Relation to joint association tes</w:t>
      </w:r>
      <w:r w:rsidR="007872BD">
        <w:rPr>
          <w:rFonts w:eastAsiaTheme="minorEastAsia"/>
          <w:i/>
          <w:iCs/>
          <w:lang w:val="en-GB"/>
        </w:rPr>
        <w:t>ting</w:t>
      </w:r>
      <w:r w:rsidR="00205FB1">
        <w:rPr>
          <w:rFonts w:eastAsiaTheme="minorEastAsia"/>
          <w:lang w:val="en-GB"/>
        </w:rPr>
        <w:t xml:space="preserve"> above). </w:t>
      </w:r>
    </w:p>
    <w:p w14:paraId="7A488C9F" w14:textId="0A50322F" w:rsidR="009C40A6" w:rsidRPr="0052004F" w:rsidRDefault="00002939" w:rsidP="00BC3A08">
      <w:pPr>
        <w:rPr>
          <w:lang w:val="en-GB"/>
        </w:rPr>
      </w:pPr>
      <w:r>
        <w:rPr>
          <w:rFonts w:eastAsiaTheme="minorEastAsia"/>
          <w:lang w:val="en-GB"/>
        </w:rPr>
        <w:tab/>
        <w:t xml:space="preserve"> </w:t>
      </w:r>
    </w:p>
    <w:p w14:paraId="4B794766" w14:textId="40FF98FB" w:rsidR="0052004F" w:rsidRDefault="0052004F">
      <w:pPr>
        <w:rPr>
          <w:lang w:val="en-GB"/>
        </w:rPr>
      </w:pPr>
    </w:p>
    <w:p w14:paraId="289CA775" w14:textId="77777777" w:rsidR="00EA2446" w:rsidRDefault="00EA2446">
      <w:pPr>
        <w:rPr>
          <w:lang w:val="en-GB"/>
        </w:rPr>
      </w:pPr>
    </w:p>
    <w:p w14:paraId="37062D3A" w14:textId="77777777" w:rsidR="00A808CB" w:rsidRPr="0052004F" w:rsidRDefault="00A808CB" w:rsidP="00A808CB">
      <w:pPr>
        <w:pStyle w:val="Kop1"/>
      </w:pPr>
      <w:bookmarkStart w:id="4" w:name="_Toc79957411"/>
      <w:r w:rsidRPr="0052004F">
        <w:t>Simulation results</w:t>
      </w:r>
      <w:bookmarkEnd w:id="4"/>
    </w:p>
    <w:p w14:paraId="0301E5F0" w14:textId="77777777" w:rsidR="00A808CB" w:rsidRPr="0052004F" w:rsidRDefault="00A808CB" w:rsidP="00A808CB">
      <w:pPr>
        <w:rPr>
          <w:lang w:val="en-GB"/>
        </w:rPr>
      </w:pPr>
    </w:p>
    <w:p w14:paraId="27D31212" w14:textId="2CD084F4" w:rsidR="00C56D11" w:rsidRDefault="00EA2446" w:rsidP="00A808CB">
      <w:pPr>
        <w:rPr>
          <w:rFonts w:eastAsiaTheme="minorEastAsia"/>
          <w:lang w:val="en-GB"/>
        </w:rPr>
      </w:pPr>
      <w:r>
        <w:rPr>
          <w:lang w:val="en-GB"/>
        </w:rPr>
        <w:t xml:space="preserve">The primary simulations (see </w:t>
      </w:r>
      <w:r>
        <w:rPr>
          <w:i/>
          <w:iCs/>
          <w:lang w:val="en-GB"/>
        </w:rPr>
        <w:t>Methods - Primary simulations</w:t>
      </w:r>
      <w:r>
        <w:rPr>
          <w:lang w:val="en-GB"/>
        </w:rPr>
        <w:t>) were performed to evaluate the type 1 error rates of TWAS under different conditions, when it is used to test the null hypothesis</w:t>
      </w:r>
      <w:r w:rsidR="00B304A6">
        <w:rPr>
          <w:lang w:val="en-GB"/>
        </w:rPr>
        <w:t xml:space="preserve"> of no genetic covariance (ie. </w:t>
      </w:r>
      <m:oMath>
        <m:r>
          <m:rPr>
            <m:sty m:val="p"/>
          </m:rPr>
          <w:rPr>
            <w:rFonts w:ascii="Cambria Math" w:hAnsi="Cambria Math"/>
            <w:lang w:val="en-GB"/>
          </w:rPr>
          <m:t>cov</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Y</m:t>
                </m:r>
              </m:sub>
            </m:sSub>
          </m:e>
        </m:d>
        <m:r>
          <w:rPr>
            <w:rFonts w:ascii="Cambria Math" w:eastAsiaTheme="minorEastAsia" w:hAnsi="Cambria Math"/>
            <w:lang w:val="en-GB"/>
          </w:rPr>
          <m:t>=0</m:t>
        </m:r>
      </m:oMath>
      <w:r w:rsidR="00B304A6">
        <w:rPr>
          <w:rFonts w:eastAsiaTheme="minorEastAsia"/>
          <w:lang w:val="en-GB"/>
        </w:rPr>
        <w:t>). In this case</w:t>
      </w:r>
      <w:r w:rsidR="0032686D">
        <w:rPr>
          <w:rFonts w:eastAsiaTheme="minorEastAsia"/>
          <w:lang w:val="en-GB"/>
        </w:rPr>
        <w:t>,</w:t>
      </w:r>
      <w:r w:rsidR="00B304A6">
        <w:rPr>
          <w:rFonts w:eastAsiaTheme="minorEastAsia"/>
          <w:lang w:val="en-GB"/>
        </w:rPr>
        <w:t xml:space="preserve"> simulations were performed using a constant sample size of 10,060 (except for one set of conditions, which used </w:t>
      </w:r>
      <m:oMath>
        <m:r>
          <w:rPr>
            <w:rFonts w:ascii="Cambria Math" w:eastAsiaTheme="minorEastAsia" w:hAnsi="Cambria Math"/>
            <w:lang w:val="en-GB"/>
          </w:rPr>
          <m:t>N=1,006</m:t>
        </m:r>
      </m:oMath>
      <w:r w:rsidR="00B304A6">
        <w:rPr>
          <w:rFonts w:eastAsiaTheme="minorEastAsia"/>
          <w:lang w:val="en-GB"/>
        </w:rPr>
        <w:t xml:space="preserve"> for the eQTL sample size), varying only the local heritability values for the gene expression and outcome phenotype effects. </w:t>
      </w:r>
    </w:p>
    <w:p w14:paraId="28699C70" w14:textId="3EA22C84" w:rsidR="00557665" w:rsidRDefault="00FA69F5" w:rsidP="00C56D11">
      <w:pPr>
        <w:ind w:firstLine="708"/>
        <w:rPr>
          <w:rFonts w:eastAsiaTheme="minorEastAsia"/>
          <w:lang w:val="en-GB"/>
        </w:rPr>
      </w:pPr>
      <w:r>
        <w:rPr>
          <w:rFonts w:eastAsiaTheme="minorEastAsia"/>
          <w:lang w:val="en-GB"/>
        </w:rPr>
        <w:t xml:space="preserve">It should be noted however that simulations at particular heritability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1</m:t>
            </m:r>
          </m:sub>
          <m:sup>
            <m:r>
              <w:rPr>
                <w:rFonts w:ascii="Cambria Math" w:eastAsiaTheme="minorEastAsia" w:hAnsi="Cambria Math"/>
                <w:lang w:val="en-GB"/>
              </w:rPr>
              <m:t>2</m:t>
            </m:r>
          </m:sup>
        </m:sSubSup>
      </m:oMath>
      <w:r>
        <w:rPr>
          <w:rFonts w:eastAsiaTheme="minorEastAsia"/>
          <w:lang w:val="en-GB"/>
        </w:rPr>
        <w:t xml:space="preserve"> and sample size </w:t>
      </w:r>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1</m:t>
            </m:r>
          </m:sub>
        </m:sSub>
      </m:oMath>
      <w:r>
        <w:rPr>
          <w:rFonts w:eastAsiaTheme="minorEastAsia"/>
          <w:lang w:val="en-GB"/>
        </w:rPr>
        <w:t xml:space="preserve"> are </w:t>
      </w:r>
      <w:r w:rsidR="005C38CC">
        <w:rPr>
          <w:rFonts w:eastAsiaTheme="minorEastAsia"/>
          <w:lang w:val="en-GB"/>
        </w:rPr>
        <w:t xml:space="preserve">approximately </w:t>
      </w:r>
      <w:r>
        <w:rPr>
          <w:rFonts w:eastAsiaTheme="minorEastAsia"/>
          <w:lang w:val="en-GB"/>
        </w:rPr>
        <w:t xml:space="preserve">equivalent to simulations at a different sample size </w:t>
      </w:r>
      <m:oMath>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2</m:t>
            </m:r>
          </m:sub>
        </m:sSub>
      </m:oMath>
      <w:r w:rsidR="005C38CC">
        <w:rPr>
          <w:rFonts w:eastAsiaTheme="minorEastAsia"/>
          <w:lang w:val="en-GB"/>
        </w:rPr>
        <w:t xml:space="preserve"> and a heritability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2</m:t>
            </m:r>
          </m:sub>
          <m:sup>
            <m:r>
              <w:rPr>
                <w:rFonts w:ascii="Cambria Math" w:eastAsiaTheme="minorEastAsia" w:hAnsi="Cambria Math"/>
                <w:lang w:val="en-GB"/>
              </w:rPr>
              <m:t>2</m:t>
            </m:r>
          </m:sup>
        </m:sSubSup>
        <m:r>
          <w:rPr>
            <w:rFonts w:ascii="Cambria Math" w:eastAsiaTheme="minorEastAsia" w:hAnsi="Cambria Math"/>
            <w:lang w:val="en-GB"/>
          </w:rPr>
          <m:t>=1-</m:t>
        </m:r>
        <m:f>
          <m:fPr>
            <m:ctrlPr>
              <w:rPr>
                <w:rFonts w:ascii="Cambria Math" w:eastAsiaTheme="minorEastAsia" w:hAnsi="Cambria Math"/>
                <w:i/>
                <w:lang w:val="en-GB"/>
              </w:rPr>
            </m:ctrlPr>
          </m:fPr>
          <m:num>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2</m:t>
                </m:r>
              </m:sub>
            </m:sSub>
          </m:num>
          <m:den>
            <m:f>
              <m:fPr>
                <m:ctrlPr>
                  <w:rPr>
                    <w:rFonts w:ascii="Cambria Math" w:eastAsiaTheme="minorEastAsia" w:hAnsi="Cambria Math"/>
                    <w:i/>
                    <w:lang w:val="en-GB"/>
                  </w:rPr>
                </m:ctrlPr>
              </m:fPr>
              <m:num>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1</m:t>
                    </m:r>
                  </m:sub>
                  <m:sup>
                    <m:r>
                      <w:rPr>
                        <w:rFonts w:ascii="Cambria Math" w:eastAsiaTheme="minorEastAsia" w:hAnsi="Cambria Math"/>
                        <w:lang w:val="en-GB"/>
                      </w:rPr>
                      <m:t>2</m:t>
                    </m:r>
                  </m:sup>
                </m:sSubSup>
              </m:num>
              <m:den>
                <m:r>
                  <w:rPr>
                    <w:rFonts w:ascii="Cambria Math" w:eastAsiaTheme="minorEastAsia" w:hAnsi="Cambria Math"/>
                    <w:lang w:val="en-GB"/>
                  </w:rPr>
                  <m:t>1-</m:t>
                </m:r>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1</m:t>
                    </m:r>
                  </m:sub>
                  <m:sup>
                    <m:r>
                      <w:rPr>
                        <w:rFonts w:ascii="Cambria Math" w:eastAsiaTheme="minorEastAsia" w:hAnsi="Cambria Math"/>
                        <w:lang w:val="en-GB"/>
                      </w:rPr>
                      <m:t>2</m:t>
                    </m:r>
                  </m:sup>
                </m:sSubSup>
              </m:den>
            </m:f>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1</m:t>
                </m:r>
              </m:sub>
            </m:sSub>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N</m:t>
                </m:r>
              </m:e>
              <m:sub>
                <m:r>
                  <w:rPr>
                    <w:rFonts w:ascii="Cambria Math" w:eastAsiaTheme="minorEastAsia" w:hAnsi="Cambria Math"/>
                    <w:lang w:val="en-GB"/>
                  </w:rPr>
                  <m:t>2</m:t>
                </m:r>
              </m:sub>
            </m:sSub>
          </m:den>
        </m:f>
      </m:oMath>
      <w:r w:rsidR="005C38CC">
        <w:rPr>
          <w:rFonts w:eastAsiaTheme="minorEastAsia"/>
          <w:lang w:val="en-GB"/>
        </w:rPr>
        <w:t>. That is, simulations at</w:t>
      </w:r>
      <w:r w:rsidR="00E940E5">
        <w:rPr>
          <w:rFonts w:eastAsiaTheme="minorEastAsia"/>
          <w:lang w:val="en-GB"/>
        </w:rPr>
        <w:t>,</w:t>
      </w:r>
      <w:r w:rsidR="005C38CC">
        <w:rPr>
          <w:rFonts w:eastAsiaTheme="minorEastAsia"/>
          <w:lang w:val="en-GB"/>
        </w:rPr>
        <w:t xml:space="preserve"> for example</w:t>
      </w:r>
      <w:r w:rsidR="00E940E5">
        <w:rPr>
          <w:rFonts w:eastAsiaTheme="minorEastAsia"/>
          <w:lang w:val="en-GB"/>
        </w:rPr>
        <w:t>,</w:t>
      </w:r>
      <w:r w:rsidR="005C38CC">
        <w:rPr>
          <w:rFonts w:eastAsiaTheme="minorEastAsia"/>
          <w:lang w:val="en-GB"/>
        </w:rPr>
        <w:t xml:space="preserve"> 10% heritability and </w:t>
      </w:r>
      <m:oMath>
        <m:r>
          <w:rPr>
            <w:rFonts w:ascii="Cambria Math" w:eastAsiaTheme="minorEastAsia" w:hAnsi="Cambria Math"/>
            <w:lang w:val="en-GB"/>
          </w:rPr>
          <m:t>N=10,000</m:t>
        </m:r>
      </m:oMath>
      <w:r w:rsidR="005C38CC">
        <w:rPr>
          <w:rFonts w:eastAsiaTheme="minorEastAsia"/>
          <w:lang w:val="en-GB"/>
        </w:rPr>
        <w:t xml:space="preserve"> are equivalent to simulating at </w:t>
      </w:r>
      <m:oMath>
        <m:r>
          <w:rPr>
            <w:rFonts w:ascii="Cambria Math" w:eastAsiaTheme="minorEastAsia" w:hAnsi="Cambria Math"/>
            <w:lang w:val="en-GB"/>
          </w:rPr>
          <m:t>N=100,000</m:t>
        </m:r>
      </m:oMath>
      <w:r w:rsidR="005C38CC">
        <w:rPr>
          <w:rFonts w:eastAsiaTheme="minorEastAsia"/>
          <w:lang w:val="en-GB"/>
        </w:rPr>
        <w:t xml:space="preserve"> with a heritability of approximately 1.1%, or at </w:t>
      </w:r>
      <m:oMath>
        <m:r>
          <w:rPr>
            <w:rFonts w:ascii="Cambria Math" w:eastAsiaTheme="minorEastAsia" w:hAnsi="Cambria Math"/>
            <w:lang w:val="en-GB"/>
          </w:rPr>
          <m:t>N=1,000</m:t>
        </m:r>
      </m:oMath>
      <w:r w:rsidR="005C38CC">
        <w:rPr>
          <w:rFonts w:eastAsiaTheme="minorEastAsia"/>
          <w:lang w:val="en-GB"/>
        </w:rPr>
        <w:t xml:space="preserve"> with a heritability of approximately 52.6%. </w:t>
      </w:r>
      <w:r w:rsidR="00C56D11">
        <w:rPr>
          <w:rFonts w:eastAsiaTheme="minorEastAsia"/>
          <w:lang w:val="en-GB"/>
        </w:rPr>
        <w:t>As such, the simulations at this sample size are representative of a range of scenarios at other sample sizes as well.</w:t>
      </w:r>
    </w:p>
    <w:p w14:paraId="2EFD9357" w14:textId="16AD9C0F" w:rsidR="00C56D11" w:rsidRDefault="003967C1" w:rsidP="00C56D11">
      <w:pPr>
        <w:ind w:firstLine="708"/>
        <w:rPr>
          <w:rFonts w:eastAsiaTheme="minorEastAsia"/>
          <w:lang w:val="en-GB"/>
        </w:rPr>
      </w:pPr>
      <w:r>
        <w:rPr>
          <w:iCs/>
          <w:lang w:val="en-GB"/>
        </w:rPr>
        <w:t>The main results for these simulations are depicted in Figure 2, and</w:t>
      </w:r>
      <w:r w:rsidR="00547D89">
        <w:rPr>
          <w:iCs/>
          <w:lang w:val="en-GB"/>
        </w:rPr>
        <w:t>,</w:t>
      </w:r>
      <w:r>
        <w:rPr>
          <w:iCs/>
          <w:lang w:val="en-GB"/>
        </w:rPr>
        <w:t xml:space="preserve"> as these show there is considerable type 1 error rate inflation in many of the conditions, varying as a function of the heritability parameters. </w:t>
      </w:r>
      <w:r w:rsidR="00873184">
        <w:rPr>
          <w:iCs/>
          <w:lang w:val="en-GB"/>
        </w:rPr>
        <w:t xml:space="preserve">Firstly, with larger </w:t>
      </w:r>
      <m:oMath>
        <m:sSubSup>
          <m:sSubSupPr>
            <m:ctrlPr>
              <w:rPr>
                <w:rFonts w:ascii="Cambria Math" w:hAnsi="Cambria Math"/>
                <w:i/>
                <w:iCs/>
                <w:lang w:val="en-GB"/>
              </w:rPr>
            </m:ctrlPr>
          </m:sSubSupPr>
          <m:e>
            <m:r>
              <w:rPr>
                <w:rFonts w:ascii="Cambria Math" w:hAnsi="Cambria Math"/>
                <w:lang w:val="en-GB"/>
              </w:rPr>
              <m:t>h</m:t>
            </m:r>
          </m:e>
          <m:sub>
            <m:r>
              <w:rPr>
                <w:rFonts w:ascii="Cambria Math" w:hAnsi="Cambria Math"/>
                <w:lang w:val="en-GB"/>
              </w:rPr>
              <m:t>Y</m:t>
            </m:r>
          </m:sub>
          <m:sup>
            <m:r>
              <w:rPr>
                <w:rFonts w:ascii="Cambria Math" w:hAnsi="Cambria Math"/>
                <w:lang w:val="en-GB"/>
              </w:rPr>
              <m:t>2</m:t>
            </m:r>
          </m:sup>
        </m:sSubSup>
      </m:oMath>
      <w:r w:rsidR="00873184">
        <w:rPr>
          <w:rFonts w:eastAsiaTheme="minorEastAsia"/>
          <w:iCs/>
          <w:lang w:val="en-GB"/>
        </w:rPr>
        <w:t xml:space="preserve"> the type 1 error rate increases</w:t>
      </w:r>
      <w:r w:rsidR="006333FF">
        <w:rPr>
          <w:rFonts w:eastAsiaTheme="minorEastAsia"/>
          <w:iCs/>
          <w:lang w:val="en-GB"/>
        </w:rPr>
        <w:t xml:space="preserve"> (and the same would happen with increasing </w:t>
      </w:r>
      <m:oMath>
        <m:sSub>
          <m:sSubPr>
            <m:ctrlPr>
              <w:rPr>
                <w:rFonts w:ascii="Cambria Math" w:eastAsiaTheme="minorEastAsia" w:hAnsi="Cambria Math"/>
                <w:i/>
                <w:iCs/>
                <w:lang w:val="en-GB"/>
              </w:rPr>
            </m:ctrlPr>
          </m:sSubPr>
          <m:e>
            <m:r>
              <w:rPr>
                <w:rFonts w:ascii="Cambria Math" w:eastAsiaTheme="minorEastAsia" w:hAnsi="Cambria Math"/>
                <w:lang w:val="en-GB"/>
              </w:rPr>
              <m:t>N</m:t>
            </m:r>
          </m:e>
          <m:sub>
            <m:r>
              <w:rPr>
                <w:rFonts w:ascii="Cambria Math" w:eastAsiaTheme="minorEastAsia" w:hAnsi="Cambria Math"/>
                <w:lang w:val="en-GB"/>
              </w:rPr>
              <m:t>Y</m:t>
            </m:r>
          </m:sub>
        </m:sSub>
      </m:oMath>
      <w:r w:rsidR="006333FF">
        <w:rPr>
          <w:rFonts w:eastAsiaTheme="minorEastAsia"/>
          <w:iCs/>
          <w:lang w:val="en-GB"/>
        </w:rPr>
        <w:t>)</w:t>
      </w:r>
      <w:r w:rsidR="00873184">
        <w:rPr>
          <w:rFonts w:eastAsiaTheme="minorEastAsia"/>
          <w:iCs/>
          <w:lang w:val="en-GB"/>
        </w:rPr>
        <w:t xml:space="preserve">. The </w:t>
      </w:r>
      <w:r w:rsidR="00F70BF6">
        <w:rPr>
          <w:rFonts w:eastAsiaTheme="minorEastAsia"/>
          <w:iCs/>
          <w:lang w:val="en-GB"/>
        </w:rPr>
        <w:t xml:space="preserve">main </w:t>
      </w:r>
      <w:r w:rsidR="00873184">
        <w:rPr>
          <w:rFonts w:eastAsiaTheme="minorEastAsia"/>
          <w:iCs/>
          <w:lang w:val="en-GB"/>
        </w:rPr>
        <w:t>reason for this is that</w:t>
      </w:r>
      <w:r w:rsidR="00F70BF6">
        <w:rPr>
          <w:rFonts w:eastAsiaTheme="minorEastAsia"/>
          <w:iCs/>
          <w:lang w:val="en-GB"/>
        </w:rPr>
        <w:t xml:space="preserve">, as noted in the main text, under the actual null hypothesis tested by TWAS </w:t>
      </w:r>
      <m:oMath>
        <m:r>
          <m:rPr>
            <m:sty m:val="p"/>
          </m:rPr>
          <w:rPr>
            <w:rFonts w:ascii="Cambria Math" w:hAnsi="Cambria Math"/>
            <w:lang w:val="en-GB"/>
          </w:rPr>
          <m:t>cov</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Y</m:t>
                </m:r>
              </m:sub>
            </m:sSub>
          </m:e>
        </m:d>
        <m:r>
          <w:rPr>
            <w:rFonts w:ascii="Cambria Math" w:eastAsiaTheme="minorEastAsia" w:hAnsi="Cambria Math"/>
            <w:lang w:val="en-GB"/>
          </w:rPr>
          <m:t>≠0</m:t>
        </m:r>
      </m:oMath>
      <w:r w:rsidR="00F70BF6">
        <w:rPr>
          <w:rFonts w:eastAsiaTheme="minorEastAsia"/>
          <w:lang w:val="en-GB"/>
        </w:rPr>
        <w:t>. As such, relative to the TWAS null</w:t>
      </w:r>
      <w:r w:rsidR="00547D89">
        <w:rPr>
          <w:rFonts w:eastAsiaTheme="minorEastAsia"/>
          <w:lang w:val="en-GB"/>
        </w:rPr>
        <w:t>,</w:t>
      </w:r>
      <w:r w:rsidR="00F70BF6">
        <w:rPr>
          <w:rFonts w:eastAsiaTheme="minorEastAsia"/>
          <w:lang w:val="en-GB"/>
        </w:rPr>
        <w:t xml:space="preserve"> the simulations performed here essentially constitute a power analysis, and naturally the power increases as either the effect size (here determined by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Y</m:t>
            </m:r>
          </m:sub>
          <m:sup>
            <m:r>
              <w:rPr>
                <w:rFonts w:ascii="Cambria Math" w:eastAsiaTheme="minorEastAsia" w:hAnsi="Cambria Math"/>
                <w:lang w:val="en-GB"/>
              </w:rPr>
              <m:t>2</m:t>
            </m:r>
          </m:sup>
        </m:sSubSup>
      </m:oMath>
      <w:r w:rsidR="00F70BF6">
        <w:rPr>
          <w:rFonts w:eastAsiaTheme="minorEastAsia"/>
          <w:lang w:val="en-GB"/>
        </w:rPr>
        <w:t>) or the sample size increase.</w:t>
      </w:r>
    </w:p>
    <w:p w14:paraId="0FD92A65" w14:textId="089ADE07" w:rsidR="00F70BF6" w:rsidRDefault="006333FF" w:rsidP="00C56D11">
      <w:pPr>
        <w:ind w:firstLine="708"/>
        <w:rPr>
          <w:rFonts w:eastAsiaTheme="minorEastAsia"/>
          <w:iCs/>
          <w:lang w:val="en-GB"/>
        </w:rPr>
      </w:pPr>
      <w:r>
        <w:rPr>
          <w:iCs/>
          <w:lang w:val="en-GB"/>
        </w:rPr>
        <w:t xml:space="preserve">Secondly, the results also show an opposite effect for </w:t>
      </w:r>
      <m:oMath>
        <m:sSubSup>
          <m:sSubSupPr>
            <m:ctrlPr>
              <w:rPr>
                <w:rFonts w:ascii="Cambria Math" w:hAnsi="Cambria Math"/>
                <w:i/>
                <w:iCs/>
                <w:lang w:val="en-GB"/>
              </w:rPr>
            </m:ctrlPr>
          </m:sSubSupPr>
          <m:e>
            <m:r>
              <w:rPr>
                <w:rFonts w:ascii="Cambria Math" w:hAnsi="Cambria Math"/>
                <w:lang w:val="en-GB"/>
              </w:rPr>
              <m:t>h</m:t>
            </m:r>
          </m:e>
          <m:sub>
            <m:r>
              <w:rPr>
                <w:rFonts w:ascii="Cambria Math" w:hAnsi="Cambria Math"/>
                <w:lang w:val="en-GB"/>
              </w:rPr>
              <m:t>E</m:t>
            </m:r>
          </m:sub>
          <m:sup>
            <m:r>
              <w:rPr>
                <w:rFonts w:ascii="Cambria Math" w:hAnsi="Cambria Math"/>
                <w:lang w:val="en-GB"/>
              </w:rPr>
              <m:t>2</m:t>
            </m:r>
          </m:sup>
        </m:sSubSup>
      </m:oMath>
      <w:r>
        <w:rPr>
          <w:rFonts w:eastAsiaTheme="minorEastAsia"/>
          <w:iCs/>
          <w:lang w:val="en-GB"/>
        </w:rPr>
        <w:t xml:space="preserve">, with </w:t>
      </w:r>
      <w:r>
        <w:rPr>
          <w:iCs/>
          <w:lang w:val="en-GB"/>
        </w:rPr>
        <w:t xml:space="preserve">the type 1 error rate inflation decreasing for larger </w:t>
      </w:r>
      <m:oMath>
        <m:sSubSup>
          <m:sSubSupPr>
            <m:ctrlPr>
              <w:rPr>
                <w:rFonts w:ascii="Cambria Math" w:hAnsi="Cambria Math"/>
                <w:i/>
                <w:iCs/>
                <w:lang w:val="en-GB"/>
              </w:rPr>
            </m:ctrlPr>
          </m:sSubSupPr>
          <m:e>
            <m:r>
              <w:rPr>
                <w:rFonts w:ascii="Cambria Math" w:hAnsi="Cambria Math"/>
                <w:lang w:val="en-GB"/>
              </w:rPr>
              <m:t>h</m:t>
            </m:r>
          </m:e>
          <m:sub>
            <m:r>
              <w:rPr>
                <w:rFonts w:ascii="Cambria Math" w:hAnsi="Cambria Math"/>
                <w:lang w:val="en-GB"/>
              </w:rPr>
              <m:t>E</m:t>
            </m:r>
          </m:sub>
          <m:sup>
            <m:r>
              <w:rPr>
                <w:rFonts w:ascii="Cambria Math" w:hAnsi="Cambria Math"/>
                <w:lang w:val="en-GB"/>
              </w:rPr>
              <m:t>2</m:t>
            </m:r>
          </m:sup>
        </m:sSubSup>
      </m:oMath>
      <w:r>
        <w:rPr>
          <w:rFonts w:eastAsiaTheme="minorEastAsia"/>
          <w:iCs/>
          <w:lang w:val="en-GB"/>
        </w:rPr>
        <w:t>.</w:t>
      </w:r>
      <w:r w:rsidR="00174CCF">
        <w:rPr>
          <w:rFonts w:eastAsiaTheme="minorEastAsia"/>
          <w:iCs/>
          <w:lang w:val="en-GB"/>
        </w:rPr>
        <w:t xml:space="preserve"> This is because the error rate inflation results from the uncertainty in the eQTL estimates </w:t>
      </w:r>
      <w:r w:rsidR="00547D89">
        <w:rPr>
          <w:rFonts w:eastAsiaTheme="minorEastAsia"/>
          <w:iCs/>
          <w:lang w:val="en-GB"/>
        </w:rPr>
        <w:t xml:space="preserve">that </w:t>
      </w:r>
      <w:r w:rsidR="00174CCF">
        <w:rPr>
          <w:rFonts w:eastAsiaTheme="minorEastAsia"/>
          <w:iCs/>
          <w:lang w:val="en-GB"/>
        </w:rPr>
        <w:t xml:space="preserve">is essentially ignored in the TWAS model, and with larger </w:t>
      </w:r>
      <m:oMath>
        <m:sSubSup>
          <m:sSubSupPr>
            <m:ctrlPr>
              <w:rPr>
                <w:rFonts w:ascii="Cambria Math" w:eastAsiaTheme="minorEastAsia" w:hAnsi="Cambria Math"/>
                <w:i/>
                <w:iCs/>
                <w:lang w:val="en-GB"/>
              </w:rPr>
            </m:ctrlPr>
          </m:sSubSupPr>
          <m:e>
            <m:r>
              <w:rPr>
                <w:rFonts w:ascii="Cambria Math" w:eastAsiaTheme="minorEastAsia" w:hAnsi="Cambria Math"/>
                <w:lang w:val="en-GB"/>
              </w:rPr>
              <m:t>h</m:t>
            </m:r>
          </m:e>
          <m:sub>
            <m:r>
              <w:rPr>
                <w:rFonts w:ascii="Cambria Math" w:eastAsiaTheme="minorEastAsia" w:hAnsi="Cambria Math"/>
                <w:lang w:val="en-GB"/>
              </w:rPr>
              <m:t>E</m:t>
            </m:r>
          </m:sub>
          <m:sup>
            <m:r>
              <w:rPr>
                <w:rFonts w:ascii="Cambria Math" w:eastAsiaTheme="minorEastAsia" w:hAnsi="Cambria Math"/>
                <w:lang w:val="en-GB"/>
              </w:rPr>
              <m:t>2</m:t>
            </m:r>
          </m:sup>
        </m:sSubSup>
      </m:oMath>
      <w:r w:rsidR="00174CCF">
        <w:rPr>
          <w:rFonts w:eastAsiaTheme="minorEastAsia"/>
          <w:iCs/>
          <w:lang w:val="en-GB"/>
        </w:rPr>
        <w:t xml:space="preserve"> the estimates improve and hence there is less uncertainty to ignore. The same is true</w:t>
      </w:r>
      <w:r w:rsidR="004F7891">
        <w:rPr>
          <w:rFonts w:eastAsiaTheme="minorEastAsia"/>
          <w:iCs/>
          <w:lang w:val="en-GB"/>
        </w:rPr>
        <w:t xml:space="preserve">, and for the same reasons, </w:t>
      </w:r>
      <w:r w:rsidR="00174CCF">
        <w:rPr>
          <w:rFonts w:eastAsiaTheme="minorEastAsia"/>
          <w:iCs/>
          <w:lang w:val="en-GB"/>
        </w:rPr>
        <w:t xml:space="preserve">for increases in sample size for the gene expression data, as the difference between the left and right panels in Figure 2 demonstrate. </w:t>
      </w:r>
    </w:p>
    <w:p w14:paraId="14DE25E0" w14:textId="22B77286" w:rsidR="004A0F5B" w:rsidRDefault="000C5F12" w:rsidP="00C56D11">
      <w:pPr>
        <w:ind w:firstLine="708"/>
        <w:rPr>
          <w:rFonts w:eastAsiaTheme="minorEastAsia"/>
          <w:iCs/>
          <w:lang w:val="en-GB"/>
        </w:rPr>
      </w:pPr>
      <w:r>
        <w:rPr>
          <w:iCs/>
          <w:lang w:val="en-GB"/>
        </w:rPr>
        <w:t>Finally, as shown</w:t>
      </w:r>
      <w:r w:rsidR="00071207">
        <w:rPr>
          <w:iCs/>
          <w:lang w:val="en-GB"/>
        </w:rPr>
        <w:t xml:space="preserve"> in Figure 3, the error rate inflation also gets progressively worse at lower significance thresholds. </w:t>
      </w:r>
      <w:r w:rsidR="00EE5279">
        <w:rPr>
          <w:iCs/>
          <w:lang w:val="en-GB"/>
        </w:rPr>
        <w:t xml:space="preserve">The reason for this is that the relative difference between the true sampling distribution and the distribution actually used by TWAS gets larger the further we move into the tails of those distributions. This is also illustrated in the figure below, </w:t>
      </w:r>
      <w:r w:rsidR="00B05078">
        <w:rPr>
          <w:iCs/>
          <w:lang w:val="en-GB"/>
        </w:rPr>
        <w:t>plotting</w:t>
      </w:r>
      <w:r w:rsidR="00EE5279">
        <w:rPr>
          <w:iCs/>
          <w:lang w:val="en-GB"/>
        </w:rPr>
        <w:t xml:space="preserve"> the -log10 p-values as a function of the test statistic value for a sampling distribution, and for a corresponding distribution with underestimated standard errors (</w:t>
      </w:r>
      <m:oMath>
        <m:r>
          <w:rPr>
            <w:rFonts w:ascii="Cambria Math" w:hAnsi="Cambria Math"/>
            <w:lang w:val="en-GB"/>
          </w:rPr>
          <m:t>N(0,1)</m:t>
        </m:r>
      </m:oMath>
      <w:r w:rsidR="00EE5279">
        <w:rPr>
          <w:rFonts w:eastAsiaTheme="minorEastAsia"/>
          <w:iCs/>
          <w:lang w:val="en-GB"/>
        </w:rPr>
        <w:t xml:space="preserve"> and </w:t>
      </w:r>
      <m:oMath>
        <m:r>
          <w:rPr>
            <w:rFonts w:ascii="Cambria Math" w:eastAsiaTheme="minorEastAsia" w:hAnsi="Cambria Math"/>
            <w:lang w:val="en-GB"/>
          </w:rPr>
          <m:t>N</m:t>
        </m:r>
        <m:d>
          <m:dPr>
            <m:ctrlPr>
              <w:rPr>
                <w:rFonts w:ascii="Cambria Math" w:eastAsiaTheme="minorEastAsia" w:hAnsi="Cambria Math"/>
                <w:i/>
                <w:iCs/>
                <w:lang w:val="en-GB"/>
              </w:rPr>
            </m:ctrlPr>
          </m:dPr>
          <m:e>
            <m:sSup>
              <m:sSupPr>
                <m:ctrlPr>
                  <w:rPr>
                    <w:rFonts w:ascii="Cambria Math" w:eastAsiaTheme="minorEastAsia" w:hAnsi="Cambria Math"/>
                    <w:i/>
                    <w:iCs/>
                    <w:lang w:val="en-GB"/>
                  </w:rPr>
                </m:ctrlPr>
              </m:sSupPr>
              <m:e>
                <m:r>
                  <w:rPr>
                    <w:rFonts w:ascii="Cambria Math" w:eastAsiaTheme="minorEastAsia" w:hAnsi="Cambria Math"/>
                    <w:lang w:val="en-GB"/>
                  </w:rPr>
                  <m:t>0,0.9</m:t>
                </m:r>
              </m:e>
              <m:sup>
                <m:r>
                  <w:rPr>
                    <w:rFonts w:ascii="Cambria Math" w:eastAsiaTheme="minorEastAsia" w:hAnsi="Cambria Math"/>
                    <w:lang w:val="en-GB"/>
                  </w:rPr>
                  <m:t>2</m:t>
                </m:r>
              </m:sup>
            </m:sSup>
          </m:e>
        </m:d>
      </m:oMath>
      <w:r w:rsidR="00EE5279">
        <w:rPr>
          <w:rFonts w:eastAsiaTheme="minorEastAsia"/>
          <w:iCs/>
          <w:lang w:val="en-GB"/>
        </w:rPr>
        <w:t xml:space="preserve"> respectively</w:t>
      </w:r>
      <w:r w:rsidR="004A0F5B">
        <w:rPr>
          <w:rFonts w:eastAsiaTheme="minorEastAsia"/>
          <w:iCs/>
          <w:lang w:val="en-GB"/>
        </w:rPr>
        <w:t>, computing one-sided p-values)</w:t>
      </w:r>
      <w:r w:rsidR="00EE5279">
        <w:rPr>
          <w:rFonts w:eastAsiaTheme="minorEastAsia"/>
          <w:iCs/>
          <w:lang w:val="en-GB"/>
        </w:rPr>
        <w:t xml:space="preserve">. </w:t>
      </w:r>
      <w:r w:rsidR="004A0F5B">
        <w:rPr>
          <w:rFonts w:eastAsiaTheme="minorEastAsia"/>
          <w:iCs/>
          <w:lang w:val="en-GB"/>
        </w:rPr>
        <w:t>As shown, the discrepancy between the correct p-value (black) and the p-value that results from using the wrong distribution (red) gets larger as the test statistic value increases, and this causes a corresponding discrepancy in type 1 error rates for these distributions as well.</w:t>
      </w:r>
    </w:p>
    <w:p w14:paraId="572C653D" w14:textId="3BCAE330" w:rsidR="004A0F5B" w:rsidRPr="003967C1" w:rsidRDefault="004A0F5B" w:rsidP="00C56D11">
      <w:pPr>
        <w:ind w:firstLine="708"/>
        <w:rPr>
          <w:iCs/>
          <w:lang w:val="en-GB"/>
        </w:rPr>
      </w:pPr>
      <w:r>
        <w:rPr>
          <w:noProof/>
        </w:rPr>
        <w:lastRenderedPageBreak/>
        <w:drawing>
          <wp:inline distT="0" distB="0" distL="0" distR="0" wp14:anchorId="081287A5" wp14:editId="01A4813D">
            <wp:extent cx="3105150" cy="31051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inline>
        </w:drawing>
      </w:r>
    </w:p>
    <w:p w14:paraId="739EBF00" w14:textId="1E2C5081" w:rsidR="00557665" w:rsidRDefault="004A0F5B" w:rsidP="00A808CB">
      <w:pPr>
        <w:rPr>
          <w:lang w:val="en-GB"/>
        </w:rPr>
      </w:pPr>
      <w:r>
        <w:rPr>
          <w:lang w:val="en-GB"/>
        </w:rPr>
        <w:tab/>
      </w:r>
    </w:p>
    <w:p w14:paraId="324D909D" w14:textId="6477C782" w:rsidR="00245272" w:rsidRPr="007374DF" w:rsidRDefault="00D8400E" w:rsidP="00A808CB">
      <w:r>
        <w:rPr>
          <w:lang w:val="en-GB"/>
        </w:rPr>
        <w:tab/>
      </w:r>
      <w:r w:rsidR="00CD7385">
        <w:rPr>
          <w:lang w:val="en-GB"/>
        </w:rPr>
        <w:t xml:space="preserve">Additional results for the simulations are </w:t>
      </w:r>
      <w:r w:rsidR="001B7252">
        <w:rPr>
          <w:lang w:val="en-GB"/>
        </w:rPr>
        <w:t>given</w:t>
      </w:r>
      <w:r w:rsidR="00CD7385">
        <w:rPr>
          <w:lang w:val="en-GB"/>
        </w:rPr>
        <w:t xml:space="preserve"> in</w:t>
      </w:r>
      <w:r w:rsidR="005D58C2">
        <w:rPr>
          <w:lang w:val="en-GB"/>
        </w:rPr>
        <w:t xml:space="preserve"> Supplemental Figure 1,</w:t>
      </w:r>
      <w:r w:rsidR="00CD7385">
        <w:rPr>
          <w:lang w:val="en-GB"/>
        </w:rPr>
        <w:t xml:space="preserve"> </w:t>
      </w:r>
      <w:r w:rsidR="001B7252">
        <w:rPr>
          <w:lang w:val="en-GB"/>
        </w:rPr>
        <w:t>where</w:t>
      </w:r>
      <w:r w:rsidR="00287A99">
        <w:rPr>
          <w:lang w:val="en-GB"/>
        </w:rPr>
        <w:t xml:space="preserve"> the “Local rG” values show that the type 1 error rate is well controlled for these simulations when using LAVA local genetic correlation analysis. The “TWAS (TWAS null)” values show the same for the LAVA TWAS implementation when simulating under the TWAS null instead. </w:t>
      </w:r>
      <w:r w:rsidR="00245272">
        <w:rPr>
          <w:lang w:val="en-GB"/>
        </w:rPr>
        <w:t xml:space="preserve">It should also be noted that type 1 error rate simulations for existing methods have generally been of this latter kind (eg. </w:t>
      </w:r>
      <w:r w:rsidR="00AE714C">
        <w:rPr>
          <w:lang w:val="en-GB"/>
        </w:rPr>
        <w:t>Su (2018)</w:t>
      </w:r>
      <w:r w:rsidR="008373FB">
        <w:rPr>
          <w:lang w:val="en-GB"/>
        </w:rPr>
        <w:fldChar w:fldCharType="begin"/>
      </w:r>
      <w:r w:rsidR="008373FB">
        <w:rPr>
          <w:lang w:val="en-GB"/>
        </w:rPr>
        <w:instrText xml:space="preserve"> ADDIN ZOTERO_ITEM CSL_CITATION {"citationID":"B67KS18N","properties":{"formattedCitation":"\\super 9\\nosupersub{}","plainCitation":"9","noteIndex":0},"citationItems":[{"id":30,"uris":["http://zotero.org/users/8257072/items/X39FBFZB"],"uri":["http://zotero.org/users/8257072/items/X39FBFZB"],"itemData":{"id":30,"type":"article-journal","container-title":"The American Journal of Human Genetics","DOI":"10.1016/j.ajhg.2018.03.019","ISSN":"00029297","issue":"5","journalAbbreviation":"The American Journal of Human Genetics","language":"en","page":"904-919","source":"DOI.org (Crossref)","title":"A Mixed-Effects Model for Powerful Association Tests in Integrative Functional Genomics","volume":"102","author":[{"family":"Su","given":"Yu-Ru"},{"family":"Di","given":"Chongzhi"},{"family":"Bien","given":"Stephanie"},{"family":"Huang","given":"Licai"},{"family":"Dong","given":"Xinyuan"},{"family":"Abecasis","given":"Goncalo"},{"family":"Berndt","given":"Sonja"},{"family":"Bezieau","given":"Stephane"},{"family":"Brenner","given":"Hermann"},{"family":"Caan","given":"Bette"},{"family":"Casey","given":"Graham"},{"family":"Chang-Claude","given":"Jenny"},{"family":"Chanock","given":"Stephen"},{"family":"Chen","given":"Sai"},{"family":"Connolly","given":"Charles"},{"family":"Curtis","given":"Keith"},{"family":"Figueiredo","given":"Jane"},{"family":"Gala","given":"Manish"},{"family":"Gallinger","given":"Steven"},{"family":"Harrison","given":"Tabitha"},{"family":"Hoffmeister","given":"Michael"},{"family":"Hopper","given":"John"},{"family":"Huyghe","given":"Jeroen R."},{"family":"Jenkins","given":"Mark"},{"family":"Joshi","given":"Amit"},{"family":"Le Marchand","given":"Loic"},{"family":"Newcomb","given":"Polly"},{"family":"Nickerson","given":"Deborah"},{"family":"Potter","given":"John"},{"family":"Schoen","given":"Robert"},{"family":"Slattery","given":"Martha"},{"family":"White","given":"Emily"},{"family":"Zanke","given":"Brent"},{"family":"Peters","given":"Ulrike"},{"family":"Hsu","given":"Li"}],"issued":{"date-parts":[["2018",5]]}}}],"schema":"https://github.com/citation-style-language/schema/raw/master/csl-citation.json"} </w:instrText>
      </w:r>
      <w:r w:rsidR="008373FB">
        <w:rPr>
          <w:lang w:val="en-GB"/>
        </w:rPr>
        <w:fldChar w:fldCharType="separate"/>
      </w:r>
      <w:r w:rsidR="008373FB" w:rsidRPr="008373FB">
        <w:rPr>
          <w:rFonts w:ascii="Calibri" w:hAnsi="Calibri" w:cs="Calibri"/>
          <w:szCs w:val="24"/>
          <w:vertAlign w:val="superscript"/>
          <w:lang w:val="en-GB"/>
        </w:rPr>
        <w:t>9</w:t>
      </w:r>
      <w:r w:rsidR="008373FB">
        <w:rPr>
          <w:lang w:val="en-GB"/>
        </w:rPr>
        <w:fldChar w:fldCharType="end"/>
      </w:r>
      <w:r w:rsidR="00AE714C">
        <w:rPr>
          <w:lang w:val="en-GB"/>
        </w:rPr>
        <w:t>, Zhang 20</w:t>
      </w:r>
      <w:r w:rsidR="008373FB">
        <w:rPr>
          <w:lang w:val="en-GB"/>
        </w:rPr>
        <w:t>20</w:t>
      </w:r>
      <w:r w:rsidR="00AE714C">
        <w:rPr>
          <w:lang w:val="en-GB"/>
        </w:rPr>
        <w:t>)</w:t>
      </w:r>
      <w:r w:rsidR="008373FB">
        <w:rPr>
          <w:lang w:val="en-GB"/>
        </w:rPr>
        <w:fldChar w:fldCharType="begin"/>
      </w:r>
      <w:r w:rsidR="00FA233A">
        <w:rPr>
          <w:lang w:val="en-GB"/>
        </w:rPr>
        <w:instrText xml:space="preserve"> ADDIN ZOTERO_ITEM CSL_CITATION {"citationID":"s7K91kih","properties":{"formattedCitation":"\\super 7\\nosupersub{}","plainCitation":"7","noteIndex":0},"citationItems":[{"id":35,"uris":["http://zotero.org/users/8257072/items/BJHXT9TQ"],"uri":["http://zotero.org/users/8257072/items/BJHXT9TQ"],"itemData":{"id":35,"type":"article-journal","abstract":"Although genomewide association studies (GWASs) have identified many genetic variants underlying complex traits, a large fraction of heritability still remains unexplained. Integrative analysis that incorporates additional information, such as expression quantitativetrait locus (eQTL) data into sequencing studies (denoted as transcriptomewide association study [TWAS]), can aid the discovery of trait‐associated genetic variants. However, general TWAS methods only incorporate one eQTL‐derived weight (e.g., cis‐effect), and thus can suffer a substantial loss of power when the single estimated ciseffect is not predictive for the effect size of a genetic variant or when there are estimation errors in the estimated cis‐effect, or if the data are not consistent with the model assumption. In this study, we propose an omnibus test (OT) which utilizes a Cauchy association test to integrate association evidence demonstrated by three different traditional tests (burden test, quadratic test, and adaptive test) using GWAS summary data with multiple eQTL‐derived weights. The p value of the proposed test can be calculated analytically, and thus it is fast and efficient. We applied our proposed test to two schizophrenia (SCZ) GWAS summary data sets and two lipids trait (HDL) GWAS summary data sets. Compared with the three traditional tests, our proposed OT can identify more trait‐associated genes.","container-title":"Genetic Epidemiology","DOI":"10.1002/gepi.22297","ISSN":"0741-0395, 1098-2272","issue":"6","journalAbbreviation":"Genetic Epidemiology","language":"en","page":"550-563","source":"DOI.org (Crossref)","title":"A fast and powerful eQTL weighted method to detect genes associated with complex trait using GWAS summary data","volume":"44","author":[{"family":"Zhang","given":"Jianjun"},{"family":"Xie","given":"Sicong"},{"family":"Gonzales","given":"Samantha"},{"family":"Liu","given":"Jianguo"},{"family":"Wang","given":"Xuexia"}],"issued":{"date-parts":[["2020",9]]}}}],"schema":"https://github.com/citation-style-language/schema/raw/master/csl-citation.json"} </w:instrText>
      </w:r>
      <w:r w:rsidR="008373FB">
        <w:rPr>
          <w:lang w:val="en-GB"/>
        </w:rPr>
        <w:fldChar w:fldCharType="separate"/>
      </w:r>
      <w:r w:rsidR="00FA233A" w:rsidRPr="007872BD">
        <w:rPr>
          <w:rFonts w:ascii="Calibri" w:hAnsi="Calibri" w:cs="Calibri"/>
          <w:szCs w:val="24"/>
          <w:vertAlign w:val="superscript"/>
          <w:lang w:val="en-GB"/>
        </w:rPr>
        <w:t>7</w:t>
      </w:r>
      <w:r w:rsidR="008373FB">
        <w:rPr>
          <w:lang w:val="en-GB"/>
        </w:rPr>
        <w:fldChar w:fldCharType="end"/>
      </w:r>
      <w:r w:rsidR="00245272">
        <w:rPr>
          <w:lang w:val="en-GB"/>
        </w:rPr>
        <w:t xml:space="preserve">), only simulating the phenotype for given eQTL effects. Or alternatively, simulating both gene expression and phenotype, but under a model of no genetic association for the phenotype (eg. </w:t>
      </w:r>
      <w:r w:rsidR="00AE714C">
        <w:rPr>
          <w:lang w:val="en-GB"/>
        </w:rPr>
        <w:t>Xu (2017)</w:t>
      </w:r>
      <w:r w:rsidR="008373FB">
        <w:rPr>
          <w:lang w:val="en-GB"/>
        </w:rPr>
        <w:fldChar w:fldCharType="begin"/>
      </w:r>
      <w:r w:rsidR="00FA233A">
        <w:rPr>
          <w:lang w:val="en-GB"/>
        </w:rPr>
        <w:instrText xml:space="preserve"> ADDIN ZOTERO_ITEM CSL_CITATION {"citationID":"Kj88wxGN","properties":{"formattedCitation":"\\super 6\\nosupersub{}","plainCitation":"6","noteIndex":0},"citationItems":[{"id":32,"uris":["http://zotero.org/users/8257072/items/Y4D7NSNM"],"uri":["http://zotero.org/users/8257072/items/Y4D7NSNM"],"itemData":{"id":32,"type":"article-journal","abstract":"Two new gene-based association analysis methods, called PrediXcan and TWAS for GWAS individual-level and summary data, respectively, were recently proposed to integrate GWAS with eQTL data, alleviating two common problems in GWAS by boosting statistical power and facilitating biological interpretation of GWAS discoveries. Based on a novel reformulation of PrediXcan and TWAS, we propose a more powerful gene-based association test to integrate single set or multiple sets of eQTL data with GWAS individual-level data or summary statistics. The proposed test was applied to several GWAS datasets, including two lipid summary association datasets based on   100; 000 and   189; 000 samples, respectively, and uncovered more known or novel trait-associated genes, showcasing much improved performance of our proposed method. The software implementing the proposed method is freely available as an R package.","container-title":"Genetics","DOI":"10.1534/genetics.117.300270","ISSN":"1943-2631","issue":"3","language":"en","page":"893-902","source":"DOI.org (Crossref)","title":"A Powerful Framework for Integrating eQTL and GWAS Summary Data","volume":"207","author":[{"family":"Xu","given":"Zhiyuan"},{"family":"Wu","given":"Chong"},{"family":"Wei","given":"Peng"},{"family":"Pan","given":"Wei"}],"issued":{"date-parts":[["2017",11,1]]}}}],"schema":"https://github.com/citation-style-language/schema/raw/master/csl-citation.json"} </w:instrText>
      </w:r>
      <w:r w:rsidR="008373FB">
        <w:rPr>
          <w:lang w:val="en-GB"/>
        </w:rPr>
        <w:fldChar w:fldCharType="separate"/>
      </w:r>
      <w:r w:rsidR="00FA233A" w:rsidRPr="00FA233A">
        <w:rPr>
          <w:rFonts w:ascii="Calibri" w:hAnsi="Calibri" w:cs="Calibri"/>
          <w:szCs w:val="24"/>
          <w:vertAlign w:val="superscript"/>
        </w:rPr>
        <w:t>6</w:t>
      </w:r>
      <w:r w:rsidR="008373FB">
        <w:rPr>
          <w:lang w:val="en-GB"/>
        </w:rPr>
        <w:fldChar w:fldCharType="end"/>
      </w:r>
      <w:r w:rsidR="00AE714C">
        <w:rPr>
          <w:lang w:val="en-GB"/>
        </w:rPr>
        <w:t>, Tang (2021)</w:t>
      </w:r>
      <w:r w:rsidR="008373FB">
        <w:rPr>
          <w:lang w:val="en-GB"/>
        </w:rPr>
        <w:fldChar w:fldCharType="begin"/>
      </w:r>
      <w:r w:rsidR="00FA233A">
        <w:rPr>
          <w:lang w:val="en-GB"/>
        </w:rPr>
        <w:instrText xml:space="preserve"> ADDIN ZOTERO_ITEM CSL_CITATION {"citationID":"R8Hssx3a","properties":{"formattedCitation":"\\super 5\\nosupersub{}","plainCitation":"5","noteIndex":0},"citationItems":[{"id":31,"uris":["http://zotero.org/users/8257072/items/7IAYP93V"],"uri":["http://zotero.org/users/8257072/items/7IAYP93V"],"itemData":{"id":31,"type":"article-journal","abstract":"Transcriptome-wide association studies (TWAS) have been widely used to integrate transcriptomic and genetic data to study complex human diseases. Within a test dataset lacking transcriptomic data, traditional two-stage TWAS methods first impute gene expression by creating a weighted sum that aggregates SNPs with their corresponding cis-eQTL effects on reference transcriptome. Traditional TWAS methods then employ a linear regression model to assess the association between imputed gene expression and test phenotype, thereby assuming the effect of a cis-eQTL SNP on test phenotype is a linear function of the eQTL’s estimated effect on reference transcriptome. To increase TWAS robustness to this assumption, we propose a novel Variance-Component TWAS procedure (VC-TWAS) that assumes the effects of cis-eQTL SNPs on phenotype are random (with variance proportional to corresponding reference cis-eQTL effects) rather than fixed. VC-TWAS is applicable to both continuous and dichotomous phenotypes, as well as individual-level and summary-level GWAS data. Using simulated data, we show VC-TWAS is more powerful than traditional TWAS methods based on a two-stage Burden test, especially</w:instrText>
      </w:r>
      <w:r w:rsidR="00FA233A" w:rsidRPr="007374DF">
        <w:instrText xml:space="preserve"> when eQTL genetic effects on test phenotype are no longer a linear function of their eQTL genetic effects on reference transcriptome. We further applied VC-TWAS to both individual-level (N = ~3.4K) and summary-level (N = ~54K) GWAS data to study Alzheimer’s dementia (AD). With the individual-level data, we detected 13 significant risk genes including 6 known GWAS risk genes such as TOMM40 that were missed by traditional TWAS methods. With the summary-level data, we detected 57 significant risk genes considering only cis-SNPs and 71 significant genes considering both cis- and trans- SNPs, which also validated our findings with the individual-level GWAS data. Our VC-TWAS method is implemented in the TIGAR tool for public use.","container-title":"PLOS Genetics","DOI":"10.1371/journal.pgen.1009482","ISSN":"1553-7404","issue":"4","journalAbbreviation":"PLoS Genet","language":"en","page":"e1009482","source":"DOI.org (Crossref)","title":"Novel Variance-Component TWAS method for studying complex human diseases with applications to Alzheimer’s dementia","volume":"17","author":[{"family":"Tang","given":"Shizhen"},{"family":"Buchman","given":"Aron S."},{"family":"De Jager","given":"Philip L."},{"family":"Bennett","given":"David A."},{"family":"Epstein","given":"Michael P."},{"family":"Yang","given":"Jingjing"}],"editor":[{"family":"Chen","given":"Lin"}],"issued":{"date-parts":[["2021",4,2]]}}}],"schema":"https://github.com/citation-style-language/schema/raw/master/csl-citation.json"} </w:instrText>
      </w:r>
      <w:r w:rsidR="008373FB">
        <w:rPr>
          <w:lang w:val="en-GB"/>
        </w:rPr>
        <w:fldChar w:fldCharType="separate"/>
      </w:r>
      <w:r w:rsidR="00FA233A" w:rsidRPr="007374DF">
        <w:rPr>
          <w:rFonts w:ascii="Calibri" w:hAnsi="Calibri" w:cs="Calibri"/>
          <w:szCs w:val="24"/>
          <w:vertAlign w:val="superscript"/>
        </w:rPr>
        <w:t>5</w:t>
      </w:r>
      <w:r w:rsidR="008373FB">
        <w:rPr>
          <w:lang w:val="en-GB"/>
        </w:rPr>
        <w:fldChar w:fldCharType="end"/>
      </w:r>
      <w:r w:rsidR="00C06755" w:rsidRPr="007374DF">
        <w:t>, Yang (2019)</w:t>
      </w:r>
      <w:r w:rsidR="00C06755">
        <w:rPr>
          <w:lang w:val="en-GB"/>
        </w:rPr>
        <w:fldChar w:fldCharType="begin"/>
      </w:r>
      <w:r w:rsidR="00C06755" w:rsidRPr="007374DF">
        <w:instrText xml:space="preserve"> ADDIN ZOTERO_ITEM CSL_CITATION {"citationID":"sttZCMen","properties":{"formattedCitation":"\\super 8\\nosupersub{}","plainCitation":"8","noteIndex":0},"citationItems":[{"id":33,"uris":["http://zotero.org/users/8257072/items/9M9L4N7C"],"uri":["http://zotero.org/users/8257072/items/9M9L4N7C"],"itemData":{"id":33,"type":"article-journal","abstract":"Motivation: Genome-wide association studies (GWASs) have been successful in identifying many genetic variants associated with complex traits. However, the mechanistic links between these variants and complex traits remain elusive. A scienti</w:instrText>
      </w:r>
      <w:r w:rsidR="00C06755">
        <w:rPr>
          <w:lang w:val="en-GB"/>
        </w:rPr>
        <w:instrText>ﬁ</w:instrText>
      </w:r>
      <w:r w:rsidR="00C06755" w:rsidRPr="007374DF">
        <w:instrText>c hypothesis is that genetic variants in</w:instrText>
      </w:r>
      <w:r w:rsidR="00C06755">
        <w:rPr>
          <w:lang w:val="en-GB"/>
        </w:rPr>
        <w:instrText>ﬂ</w:instrText>
      </w:r>
      <w:r w:rsidR="00C06755" w:rsidRPr="007374DF">
        <w:instrText xml:space="preserve">uence complex traits at the organismal level via affecting cellular traits, such as regulating gene expression and altering protein abundance. Although earlier works have already presented some scientific insights about this hypothesis and their </w:instrText>
      </w:r>
      <w:r w:rsidR="00C06755">
        <w:rPr>
          <w:lang w:val="en-GB"/>
        </w:rPr>
        <w:instrText>ﬁ</w:instrText>
      </w:r>
      <w:r w:rsidR="00C06755" w:rsidRPr="007374DF">
        <w:instrText xml:space="preserve">ndings are very promising, statistical methods that effectively harness multilayered data (e.g. genetic variants, cellular traits and organismal traits) on a large scale for functional and mechanistic exploration are highly demanding.","container-title":"Bioinformatics","DOI":"10.1093/bioinformatics/bty865","ISSN":"1367-4803, 1460-2059","issue":"10","language":"en","page":"1644-1652","source":"DOI.org (Crossref)","title":"CoMM: a collaborative mixed model to dissecting genetic contributions to complex traits by leveraging regulatory information","title-short":"CoMM","volume":"35","author":[{"family":"Yang","given":"Can"},{"family":"Wan","given":"Xiang"},{"family":"Lin","given":"Xinyi"},{"family":"Chen","given":"Mengjie"},{"family":"Zhou","given":"Xiang"},{"family":"Liu","given":"Jin"}],"editor":[{"family":"Hancock","given":"John"}],"issued":{"date-parts":[["2019",5,15]]}}}],"schema":"https://github.com/citation-style-language/schema/raw/master/csl-citation.json"} </w:instrText>
      </w:r>
      <w:r w:rsidR="00C06755">
        <w:rPr>
          <w:lang w:val="en-GB"/>
        </w:rPr>
        <w:fldChar w:fldCharType="separate"/>
      </w:r>
      <w:r w:rsidR="00C06755" w:rsidRPr="007374DF">
        <w:rPr>
          <w:rFonts w:ascii="Calibri" w:hAnsi="Calibri" w:cs="Calibri"/>
          <w:szCs w:val="24"/>
          <w:vertAlign w:val="superscript"/>
        </w:rPr>
        <w:t>8</w:t>
      </w:r>
      <w:r w:rsidR="00C06755">
        <w:rPr>
          <w:lang w:val="en-GB"/>
        </w:rPr>
        <w:fldChar w:fldCharType="end"/>
      </w:r>
      <w:r w:rsidR="00245272" w:rsidRPr="007374DF">
        <w:t>). This in part explains why the issues discussed in this paper were not discovered before.</w:t>
      </w:r>
    </w:p>
    <w:p w14:paraId="25192275" w14:textId="7A2387C1" w:rsidR="00D8400E" w:rsidRDefault="000C22A7" w:rsidP="00245272">
      <w:pPr>
        <w:ind w:firstLine="708"/>
        <w:rPr>
          <w:rFonts w:eastAsiaTheme="minorEastAsia"/>
          <w:lang w:val="en-GB"/>
        </w:rPr>
      </w:pPr>
      <w:r>
        <w:rPr>
          <w:lang w:val="en-GB"/>
        </w:rPr>
        <w:t>Also shown are results for FUSION (note that these are based on only 1,000 iterations, and therefore somewhat noisier).</w:t>
      </w:r>
      <w:r w:rsidR="001B7252">
        <w:rPr>
          <w:lang w:val="en-GB"/>
        </w:rPr>
        <w:t xml:space="preserve"> For the elastic net model</w:t>
      </w:r>
      <w:r w:rsidR="003D3DF2">
        <w:rPr>
          <w:lang w:val="en-GB"/>
        </w:rPr>
        <w:t>,</w:t>
      </w:r>
      <w:r w:rsidR="001B7252">
        <w:rPr>
          <w:lang w:val="en-GB"/>
        </w:rPr>
        <w:t xml:space="preserve"> the performance is the same as for as the LAVA TWAS, though for FUSION with the LASSO model the </w:t>
      </w:r>
      <w:r w:rsidR="002A439D">
        <w:rPr>
          <w:lang w:val="en-GB"/>
        </w:rPr>
        <w:t>decrease</w:t>
      </w:r>
      <w:r w:rsidR="002A65C6">
        <w:rPr>
          <w:lang w:val="en-GB"/>
        </w:rPr>
        <w:t xml:space="preserve"> in error rate inflation with increasing </w:t>
      </w:r>
      <m:oMath>
        <m:sSubSup>
          <m:sSubSupPr>
            <m:ctrlPr>
              <w:rPr>
                <w:rFonts w:ascii="Cambria Math" w:hAnsi="Cambria Math"/>
                <w:i/>
                <w:lang w:val="en-GB"/>
              </w:rPr>
            </m:ctrlPr>
          </m:sSubSupPr>
          <m:e>
            <m:r>
              <w:rPr>
                <w:rFonts w:ascii="Cambria Math" w:hAnsi="Cambria Math"/>
                <w:lang w:val="en-GB"/>
              </w:rPr>
              <m:t>h</m:t>
            </m:r>
          </m:e>
          <m:sub>
            <m:r>
              <w:rPr>
                <w:rFonts w:ascii="Cambria Math" w:hAnsi="Cambria Math"/>
                <w:lang w:val="en-GB"/>
              </w:rPr>
              <m:t>E</m:t>
            </m:r>
          </m:sub>
          <m:sup>
            <m:r>
              <w:rPr>
                <w:rFonts w:ascii="Cambria Math" w:hAnsi="Cambria Math"/>
                <w:lang w:val="en-GB"/>
              </w:rPr>
              <m:t>2</m:t>
            </m:r>
          </m:sup>
        </m:sSubSup>
      </m:oMath>
      <w:r w:rsidR="002A65C6">
        <w:rPr>
          <w:rFonts w:eastAsiaTheme="minorEastAsia"/>
          <w:lang w:val="en-GB"/>
        </w:rPr>
        <w:t xml:space="preserve"> appears to be absent.</w:t>
      </w:r>
    </w:p>
    <w:p w14:paraId="5F780F8A" w14:textId="04C90A9C" w:rsidR="004F42F6" w:rsidRPr="004F42F6" w:rsidRDefault="002A65C6" w:rsidP="004F42F6">
      <w:pPr>
        <w:rPr>
          <w:lang w:val="en-GB"/>
        </w:rPr>
      </w:pPr>
      <w:r>
        <w:rPr>
          <w:rFonts w:eastAsiaTheme="minorEastAsia"/>
          <w:lang w:val="en-GB"/>
        </w:rPr>
        <w:tab/>
      </w:r>
      <w:r w:rsidR="001449C4">
        <w:rPr>
          <w:rFonts w:eastAsiaTheme="minorEastAsia"/>
          <w:lang w:val="en-GB"/>
        </w:rPr>
        <w:t>Finally, Supplemental Figure 2 shows the simulation results for CoMM</w:t>
      </w:r>
      <w:r w:rsidR="008119AC">
        <w:rPr>
          <w:rFonts w:eastAsiaTheme="minorEastAsia"/>
          <w:lang w:val="en-GB"/>
        </w:rPr>
        <w:t xml:space="preserve">, with considerably more severe type 1 error rate inflation than the traditional TWAS models. </w:t>
      </w:r>
      <w:r w:rsidR="00F65468">
        <w:rPr>
          <w:rFonts w:eastAsiaTheme="minorEastAsia"/>
          <w:lang w:val="en-GB"/>
        </w:rPr>
        <w:t xml:space="preserve">The reason for this is that </w:t>
      </w:r>
      <w:r w:rsidR="004F42F6">
        <w:rPr>
          <w:rFonts w:eastAsiaTheme="minorEastAsia"/>
          <w:lang w:val="en-GB"/>
        </w:rPr>
        <w:t xml:space="preserve">CoMM only imposes a soft constraint on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oMath>
      <w:r w:rsidR="004F42F6">
        <w:rPr>
          <w:rFonts w:eastAsiaTheme="minorEastAsia"/>
          <w:lang w:val="en-GB"/>
        </w:rPr>
        <w:t xml:space="preserve">, since the parameter </w:t>
      </w:r>
      <m:oMath>
        <m:r>
          <w:rPr>
            <w:rFonts w:ascii="Cambria Math" w:eastAsiaTheme="minorEastAsia" w:hAnsi="Cambria Math"/>
            <w:lang w:val="en-GB"/>
          </w:rPr>
          <m:t>α</m:t>
        </m:r>
      </m:oMath>
      <w:r w:rsidR="004F42F6">
        <w:rPr>
          <w:rFonts w:eastAsiaTheme="minorEastAsia"/>
          <w:lang w:val="en-GB"/>
        </w:rPr>
        <w:t xml:space="preserve"> it uses (see section </w:t>
      </w:r>
      <w:r w:rsidR="004F42F6">
        <w:rPr>
          <w:rFonts w:eastAsiaTheme="minorEastAsia"/>
          <w:i/>
          <w:iCs/>
          <w:lang w:val="en-GB"/>
        </w:rPr>
        <w:t>Comparison with CoMM</w:t>
      </w:r>
      <w:r w:rsidR="004F42F6">
        <w:rPr>
          <w:rFonts w:eastAsiaTheme="minorEastAsia"/>
          <w:lang w:val="en-GB"/>
        </w:rPr>
        <w:t xml:space="preserve"> above) is partially determined by the genetic associations of </w:t>
      </w:r>
      <m:oMath>
        <m:r>
          <w:rPr>
            <w:rFonts w:ascii="Cambria Math" w:eastAsiaTheme="minorEastAsia" w:hAnsi="Cambria Math"/>
            <w:lang w:val="en-GB"/>
          </w:rPr>
          <m:t>X</m:t>
        </m:r>
      </m:oMath>
      <w:r w:rsidR="004F42F6">
        <w:rPr>
          <w:rFonts w:eastAsiaTheme="minorEastAsia"/>
          <w:lang w:val="en-GB"/>
        </w:rPr>
        <w:t xml:space="preserve"> with </w:t>
      </w:r>
      <m:oMath>
        <m:r>
          <w:rPr>
            <w:rFonts w:ascii="Cambria Math" w:eastAsiaTheme="minorEastAsia" w:hAnsi="Cambria Math"/>
            <w:lang w:val="en-GB"/>
          </w:rPr>
          <m:t>Y</m:t>
        </m:r>
      </m:oMath>
      <w:r w:rsidR="004F42F6">
        <w:rPr>
          <w:rFonts w:eastAsiaTheme="minorEastAsia"/>
          <w:lang w:val="en-GB"/>
        </w:rPr>
        <w:t xml:space="preserve">. By contrast, the traditional TWAS model effectively imposes a hard constraint of </w:t>
      </w:r>
      <m:oMath>
        <m:r>
          <w:rPr>
            <w:rFonts w:ascii="Cambria Math" w:eastAsiaTheme="minorEastAsia" w:hAnsi="Cambria Math"/>
            <w:lang w:val="en-GB"/>
          </w:rPr>
          <m:t>α=</m:t>
        </m:r>
        <m:sSub>
          <m:sSubPr>
            <m:ctrlPr>
              <w:rPr>
                <w:rFonts w:ascii="Cambria Math" w:eastAsiaTheme="minorEastAsia" w:hAnsi="Cambria Math"/>
                <w:i/>
                <w:lang w:val="en-GB"/>
              </w:rPr>
            </m:ctrlPr>
          </m:sSubPr>
          <m:e>
            <m:acc>
              <m:accPr>
                <m:ctrlPr>
                  <w:rPr>
                    <w:rFonts w:ascii="Cambria Math" w:eastAsiaTheme="minorEastAsia" w:hAnsi="Cambria Math"/>
                    <w:i/>
                    <w:lang w:val="en-GB"/>
                  </w:rPr>
                </m:ctrlPr>
              </m:accPr>
              <m:e>
                <m:r>
                  <w:rPr>
                    <w:rFonts w:ascii="Cambria Math" w:eastAsiaTheme="minorEastAsia" w:hAnsi="Cambria Math"/>
                    <w:lang w:val="en-GB"/>
                  </w:rPr>
                  <m:t>α</m:t>
                </m:r>
              </m:e>
            </m:acc>
          </m:e>
          <m:sub>
            <m:r>
              <w:rPr>
                <w:rFonts w:ascii="Cambria Math" w:eastAsiaTheme="minorEastAsia" w:hAnsi="Cambria Math"/>
                <w:lang w:val="en-GB"/>
              </w:rPr>
              <m:t>E</m:t>
            </m:r>
          </m:sub>
        </m:sSub>
      </m:oMath>
      <w:r w:rsidR="004F42F6">
        <w:rPr>
          <w:rFonts w:eastAsiaTheme="minorEastAsia"/>
          <w:lang w:val="en-GB"/>
        </w:rPr>
        <w:t xml:space="preserve">, leaving only the parameter </w:t>
      </w:r>
      <m:oMath>
        <m:r>
          <w:rPr>
            <w:rFonts w:ascii="Cambria Math" w:eastAsiaTheme="minorEastAsia" w:hAnsi="Cambria Math"/>
            <w:lang w:val="en-GB"/>
          </w:rPr>
          <m:t>β</m:t>
        </m:r>
      </m:oMath>
      <w:r w:rsidR="004F42F6">
        <w:rPr>
          <w:rFonts w:eastAsiaTheme="minorEastAsia"/>
          <w:lang w:val="en-GB"/>
        </w:rPr>
        <w:t xml:space="preserve"> free. This gives the CoMM model more freedom to fit those genetic associations, resulting in greater type 1 error rate inflation.</w:t>
      </w:r>
      <w:r w:rsidR="003D3DF2">
        <w:rPr>
          <w:rFonts w:eastAsiaTheme="minorEastAsia"/>
          <w:lang w:val="en-GB"/>
        </w:rPr>
        <w:t xml:space="preserve"> </w:t>
      </w:r>
      <w:r w:rsidR="00A35DD3">
        <w:rPr>
          <w:rFonts w:eastAsiaTheme="minorEastAsia"/>
          <w:lang w:val="en-GB"/>
        </w:rPr>
        <w:t xml:space="preserve">Of note is that although CoMM does fully model the uncertainty in the eQTL estimates, the inverse relation between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E</m:t>
            </m:r>
          </m:sub>
          <m:sup>
            <m:r>
              <w:rPr>
                <w:rFonts w:ascii="Cambria Math" w:eastAsiaTheme="minorEastAsia" w:hAnsi="Cambria Math"/>
                <w:lang w:val="en-GB"/>
              </w:rPr>
              <m:t>2</m:t>
            </m:r>
          </m:sup>
        </m:sSubSup>
      </m:oMath>
      <w:r w:rsidR="00A35DD3">
        <w:rPr>
          <w:rFonts w:eastAsiaTheme="minorEastAsia"/>
          <w:lang w:val="en-GB"/>
        </w:rPr>
        <w:t xml:space="preserve"> (or corresponding sample size) and error rate inflation is still present. The likely reason for this is that </w:t>
      </w:r>
      <w:r w:rsidR="00473DFD">
        <w:rPr>
          <w:rFonts w:eastAsiaTheme="minorEastAsia"/>
          <w:lang w:val="en-GB"/>
        </w:rPr>
        <w:t xml:space="preserve">as the eQTL signal becomes stronger, the </w:t>
      </w:r>
      <m:oMath>
        <m:r>
          <w:rPr>
            <w:rFonts w:ascii="Cambria Math" w:eastAsiaTheme="minorEastAsia" w:hAnsi="Cambria Math"/>
            <w:lang w:val="en-GB"/>
          </w:rPr>
          <m:t>α</m:t>
        </m:r>
      </m:oMath>
      <w:r w:rsidR="00473DFD">
        <w:rPr>
          <w:rFonts w:eastAsiaTheme="minorEastAsia"/>
          <w:lang w:val="en-GB"/>
        </w:rPr>
        <w:t xml:space="preserve"> parameter is </w:t>
      </w:r>
      <w:r w:rsidR="00A66D41">
        <w:rPr>
          <w:rFonts w:eastAsiaTheme="minorEastAsia"/>
          <w:lang w:val="en-GB"/>
        </w:rPr>
        <w:t xml:space="preserve">pulled </w:t>
      </w:r>
      <w:r w:rsidR="00473DFD">
        <w:rPr>
          <w:rFonts w:eastAsiaTheme="minorEastAsia"/>
          <w:lang w:val="en-GB"/>
        </w:rPr>
        <w:t xml:space="preserve">more strongly towards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E</m:t>
            </m:r>
          </m:sub>
        </m:sSub>
      </m:oMath>
      <w:r w:rsidR="00473DFD">
        <w:rPr>
          <w:rFonts w:eastAsiaTheme="minorEastAsia"/>
          <w:lang w:val="en-GB"/>
        </w:rPr>
        <w:t xml:space="preserve">, and therefore away from </w:t>
      </w:r>
      <m:oMath>
        <m:sSub>
          <m:sSubPr>
            <m:ctrlPr>
              <w:rPr>
                <w:rFonts w:ascii="Cambria Math" w:eastAsiaTheme="minorEastAsia" w:hAnsi="Cambria Math"/>
                <w:i/>
                <w:lang w:val="en-GB"/>
              </w:rPr>
            </m:ctrlPr>
          </m:sSubPr>
          <m:e>
            <m:r>
              <w:rPr>
                <w:rFonts w:ascii="Cambria Math" w:eastAsiaTheme="minorEastAsia" w:hAnsi="Cambria Math"/>
                <w:lang w:val="en-GB"/>
              </w:rPr>
              <m:t>α</m:t>
            </m:r>
          </m:e>
          <m:sub>
            <m:r>
              <w:rPr>
                <w:rFonts w:ascii="Cambria Math" w:eastAsiaTheme="minorEastAsia" w:hAnsi="Cambria Math"/>
                <w:lang w:val="en-GB"/>
              </w:rPr>
              <m:t>Y</m:t>
            </m:r>
          </m:sub>
        </m:sSub>
      </m:oMath>
      <w:r w:rsidR="00473DFD">
        <w:rPr>
          <w:rFonts w:eastAsiaTheme="minorEastAsia"/>
          <w:lang w:val="en-GB"/>
        </w:rPr>
        <w:t xml:space="preserve">. </w:t>
      </w:r>
    </w:p>
    <w:p w14:paraId="7299D685" w14:textId="0C433EE6" w:rsidR="004F42F6" w:rsidRDefault="001D6F46" w:rsidP="00A808CB">
      <w:pPr>
        <w:rPr>
          <w:rFonts w:eastAsiaTheme="minorEastAsia"/>
          <w:lang w:val="en-GB"/>
        </w:rPr>
      </w:pPr>
      <w:r>
        <w:rPr>
          <w:rFonts w:eastAsiaTheme="minorEastAsia"/>
          <w:lang w:val="en-GB"/>
        </w:rPr>
        <w:tab/>
      </w:r>
      <w:r w:rsidR="00B47A87">
        <w:rPr>
          <w:rFonts w:eastAsiaTheme="minorEastAsia"/>
          <w:lang w:val="en-GB"/>
        </w:rPr>
        <w:t>Following the bivariate analyses, additional simulations were performed using real</w:t>
      </w:r>
      <w:r w:rsidR="006C436A">
        <w:rPr>
          <w:rFonts w:eastAsiaTheme="minorEastAsia"/>
          <w:lang w:val="en-GB"/>
        </w:rPr>
        <w:t xml:space="preserve"> </w:t>
      </w:r>
      <w:r w:rsidR="00B47A87">
        <w:rPr>
          <w:rFonts w:eastAsiaTheme="minorEastAsia"/>
          <w:lang w:val="en-GB"/>
        </w:rPr>
        <w:t xml:space="preserve">data estimates of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E</m:t>
            </m:r>
          </m:sub>
          <m:sup>
            <m:r>
              <w:rPr>
                <w:rFonts w:ascii="Cambria Math" w:eastAsiaTheme="minorEastAsia" w:hAnsi="Cambria Math"/>
                <w:lang w:val="en-GB"/>
              </w:rPr>
              <m:t>2</m:t>
            </m:r>
          </m:sup>
        </m:sSubSup>
      </m:oMath>
      <w:r w:rsidR="00B47A87">
        <w:rPr>
          <w:rFonts w:eastAsiaTheme="minorEastAsia"/>
          <w:lang w:val="en-GB"/>
        </w:rPr>
        <w:t xml:space="preserve"> and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Y</m:t>
            </m:r>
          </m:sub>
          <m:sup>
            <m:r>
              <w:rPr>
                <w:rFonts w:ascii="Cambria Math" w:eastAsiaTheme="minorEastAsia" w:hAnsi="Cambria Math"/>
                <w:lang w:val="en-GB"/>
              </w:rPr>
              <m:t>2</m:t>
            </m:r>
          </m:sup>
        </m:sSubSup>
      </m:oMath>
      <w:r w:rsidR="00B47A87">
        <w:rPr>
          <w:rFonts w:eastAsiaTheme="minorEastAsia"/>
          <w:lang w:val="en-GB"/>
        </w:rPr>
        <w:t xml:space="preserve"> for each tested gene-tissue pair. </w:t>
      </w:r>
      <w:r w:rsidR="00091F25">
        <w:rPr>
          <w:rFonts w:eastAsiaTheme="minorEastAsia"/>
          <w:lang w:val="en-GB"/>
        </w:rPr>
        <w:t>This provides an estimate of the type 1 error rate inflation for each individual tested gene-tissue</w:t>
      </w:r>
      <w:r w:rsidR="009E23BF">
        <w:rPr>
          <w:rFonts w:eastAsiaTheme="minorEastAsia"/>
          <w:lang w:val="en-GB"/>
        </w:rPr>
        <w:t xml:space="preserve"> pair</w:t>
      </w:r>
      <w:r w:rsidR="00091F25">
        <w:rPr>
          <w:rFonts w:eastAsiaTheme="minorEastAsia"/>
          <w:lang w:val="en-GB"/>
        </w:rPr>
        <w:t xml:space="preserve"> in the TWAS, given the levels of genetic signal for the gene expression and outcome found in the data</w:t>
      </w:r>
      <w:r w:rsidR="009E23BF">
        <w:rPr>
          <w:rFonts w:eastAsiaTheme="minorEastAsia"/>
          <w:lang w:val="en-GB"/>
        </w:rPr>
        <w:t xml:space="preserve"> for that gene and tissue</w:t>
      </w:r>
      <w:r w:rsidR="00091F25">
        <w:rPr>
          <w:rFonts w:eastAsiaTheme="minorEastAsia"/>
          <w:lang w:val="en-GB"/>
        </w:rPr>
        <w:t xml:space="preserve">. </w:t>
      </w:r>
      <w:r w:rsidR="00426A74">
        <w:rPr>
          <w:rFonts w:eastAsiaTheme="minorEastAsia"/>
          <w:lang w:val="en-GB"/>
        </w:rPr>
        <w:t>Although this cannot tell us whether specific significant TWAS hits are false positives or not, it does provide a reasonable approximation of the level of type 1 error rate inflation the TWAS for that phenotype.</w:t>
      </w:r>
    </w:p>
    <w:p w14:paraId="4BB67850" w14:textId="63BA28BE" w:rsidR="00426A74" w:rsidRDefault="00426A74" w:rsidP="00A808CB">
      <w:pPr>
        <w:rPr>
          <w:rFonts w:eastAsiaTheme="minorEastAsia"/>
          <w:lang w:val="en-GB"/>
        </w:rPr>
      </w:pPr>
      <w:r>
        <w:rPr>
          <w:rFonts w:eastAsiaTheme="minorEastAsia"/>
          <w:lang w:val="en-GB"/>
        </w:rPr>
        <w:tab/>
      </w:r>
      <w:r w:rsidR="002C6F6F">
        <w:rPr>
          <w:rFonts w:eastAsiaTheme="minorEastAsia"/>
          <w:lang w:val="en-GB"/>
        </w:rPr>
        <w:t xml:space="preserve">As shown in Table 3, the type 1 error rate inflation is extremely variable across genes and tissues. </w:t>
      </w:r>
      <w:r w:rsidR="00384CA2">
        <w:rPr>
          <w:rFonts w:eastAsiaTheme="minorEastAsia"/>
          <w:lang w:val="en-GB"/>
        </w:rPr>
        <w:t>This is in large part due to the fact that the</w:t>
      </w:r>
      <w:r w:rsidR="00D47E3D">
        <w:rPr>
          <w:rFonts w:eastAsiaTheme="minorEastAsia"/>
          <w:lang w:val="en-GB"/>
        </w:rPr>
        <w:t xml:space="preserve"> local</w:t>
      </w:r>
      <w:r w:rsidR="00384CA2">
        <w:rPr>
          <w:rFonts w:eastAsiaTheme="minorEastAsia"/>
          <w:lang w:val="en-GB"/>
        </w:rPr>
        <w:t xml:space="preserve">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E</m:t>
            </m:r>
          </m:sub>
          <m:sup>
            <m:r>
              <w:rPr>
                <w:rFonts w:ascii="Cambria Math" w:eastAsiaTheme="minorEastAsia" w:hAnsi="Cambria Math"/>
                <w:lang w:val="en-GB"/>
              </w:rPr>
              <m:t>2</m:t>
            </m:r>
          </m:sup>
        </m:sSubSup>
      </m:oMath>
      <w:r w:rsidR="00384CA2">
        <w:rPr>
          <w:rFonts w:eastAsiaTheme="minorEastAsia"/>
          <w:lang w:val="en-GB"/>
        </w:rPr>
        <w:t xml:space="preserve"> and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Y</m:t>
            </m:r>
          </m:sub>
          <m:sup>
            <m:r>
              <w:rPr>
                <w:rFonts w:ascii="Cambria Math" w:eastAsiaTheme="minorEastAsia" w:hAnsi="Cambria Math"/>
                <w:lang w:val="en-GB"/>
              </w:rPr>
              <m:t>2</m:t>
            </m:r>
          </m:sup>
        </m:sSubSup>
      </m:oMath>
      <w:r w:rsidR="00384CA2">
        <w:rPr>
          <w:rFonts w:eastAsiaTheme="minorEastAsia"/>
          <w:lang w:val="en-GB"/>
        </w:rPr>
        <w:t xml:space="preserve"> values vary considerably across genes and tissues, and</w:t>
      </w:r>
      <w:r w:rsidR="003D3DF2">
        <w:rPr>
          <w:rFonts w:eastAsiaTheme="minorEastAsia"/>
          <w:lang w:val="en-GB"/>
        </w:rPr>
        <w:t>,</w:t>
      </w:r>
      <w:r w:rsidR="00384CA2">
        <w:rPr>
          <w:rFonts w:eastAsiaTheme="minorEastAsia"/>
          <w:lang w:val="en-GB"/>
        </w:rPr>
        <w:t xml:space="preserve"> as the primary simulations demonstrated</w:t>
      </w:r>
      <w:r w:rsidR="00A81AE2">
        <w:rPr>
          <w:rFonts w:eastAsiaTheme="minorEastAsia"/>
          <w:lang w:val="en-GB"/>
        </w:rPr>
        <w:t>,</w:t>
      </w:r>
      <w:r w:rsidR="00384CA2">
        <w:rPr>
          <w:rFonts w:eastAsiaTheme="minorEastAsia"/>
          <w:lang w:val="en-GB"/>
        </w:rPr>
        <w:t xml:space="preserve"> the type 1 error rate inflation is </w:t>
      </w:r>
      <w:r w:rsidR="00384CA2">
        <w:rPr>
          <w:rFonts w:eastAsiaTheme="minorEastAsia"/>
          <w:lang w:val="en-GB"/>
        </w:rPr>
        <w:lastRenderedPageBreak/>
        <w:t xml:space="preserve">strongly affected by both those values (and note that the sample size varies across tissues as well). This is also borne out by Supplemental Figure 3, showing the relation between the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E</m:t>
            </m:r>
          </m:sub>
          <m:sup>
            <m:r>
              <w:rPr>
                <w:rFonts w:ascii="Cambria Math" w:eastAsiaTheme="minorEastAsia" w:hAnsi="Cambria Math"/>
                <w:lang w:val="en-GB"/>
              </w:rPr>
              <m:t>2</m:t>
            </m:r>
          </m:sup>
        </m:sSubSup>
      </m:oMath>
      <w:r w:rsidR="00384CA2">
        <w:rPr>
          <w:rFonts w:eastAsiaTheme="minorEastAsia"/>
          <w:lang w:val="en-GB"/>
        </w:rPr>
        <w:t xml:space="preserve"> and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Y</m:t>
            </m:r>
          </m:sub>
          <m:sup>
            <m:r>
              <w:rPr>
                <w:rFonts w:ascii="Cambria Math" w:eastAsiaTheme="minorEastAsia" w:hAnsi="Cambria Math"/>
                <w:lang w:val="en-GB"/>
              </w:rPr>
              <m:t>2</m:t>
            </m:r>
          </m:sup>
        </m:sSubSup>
      </m:oMath>
      <w:r w:rsidR="00384CA2">
        <w:rPr>
          <w:rFonts w:eastAsiaTheme="minorEastAsia"/>
          <w:lang w:val="en-GB"/>
        </w:rPr>
        <w:t xml:space="preserve"> estimates and the type 1 error rate inflation (at </w:t>
      </w:r>
      <m:oMath>
        <m:r>
          <w:rPr>
            <w:rFonts w:ascii="Cambria Math" w:eastAsiaTheme="minorEastAsia" w:hAnsi="Cambria Math"/>
            <w:lang w:val="en-GB"/>
          </w:rPr>
          <m:t>α=0.05</m:t>
        </m:r>
      </m:oMath>
      <w:r w:rsidR="00384CA2">
        <w:rPr>
          <w:rFonts w:eastAsiaTheme="minorEastAsia"/>
          <w:lang w:val="en-GB"/>
        </w:rPr>
        <w:t xml:space="preserve">). </w:t>
      </w:r>
      <w:r w:rsidR="00623410">
        <w:rPr>
          <w:rFonts w:eastAsiaTheme="minorEastAsia"/>
          <w:lang w:val="en-GB"/>
        </w:rPr>
        <w:t xml:space="preserve">Both the negative relation of the inflation with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E</m:t>
            </m:r>
          </m:sub>
          <m:sup>
            <m:r>
              <w:rPr>
                <w:rFonts w:ascii="Cambria Math" w:eastAsiaTheme="minorEastAsia" w:hAnsi="Cambria Math"/>
                <w:lang w:val="en-GB"/>
              </w:rPr>
              <m:t>2</m:t>
            </m:r>
          </m:sup>
        </m:sSubSup>
      </m:oMath>
      <w:r w:rsidR="00623410">
        <w:rPr>
          <w:rFonts w:eastAsiaTheme="minorEastAsia"/>
          <w:lang w:val="en-GB"/>
        </w:rPr>
        <w:t xml:space="preserve"> and the positive relation with </w:t>
      </w:r>
      <m:oMath>
        <m:sSubSup>
          <m:sSubSupPr>
            <m:ctrlPr>
              <w:rPr>
                <w:rFonts w:ascii="Cambria Math" w:eastAsiaTheme="minorEastAsia" w:hAnsi="Cambria Math"/>
                <w:i/>
                <w:lang w:val="en-GB"/>
              </w:rPr>
            </m:ctrlPr>
          </m:sSubSupPr>
          <m:e>
            <m:r>
              <w:rPr>
                <w:rFonts w:ascii="Cambria Math" w:eastAsiaTheme="minorEastAsia" w:hAnsi="Cambria Math"/>
                <w:lang w:val="en-GB"/>
              </w:rPr>
              <m:t>h</m:t>
            </m:r>
          </m:e>
          <m:sub>
            <m:r>
              <w:rPr>
                <w:rFonts w:ascii="Cambria Math" w:eastAsiaTheme="minorEastAsia" w:hAnsi="Cambria Math"/>
                <w:lang w:val="en-GB"/>
              </w:rPr>
              <m:t>Y</m:t>
            </m:r>
          </m:sub>
          <m:sup>
            <m:r>
              <w:rPr>
                <w:rFonts w:ascii="Cambria Math" w:eastAsiaTheme="minorEastAsia" w:hAnsi="Cambria Math"/>
                <w:lang w:val="en-GB"/>
              </w:rPr>
              <m:t>2</m:t>
            </m:r>
          </m:sup>
        </m:sSubSup>
      </m:oMath>
      <w:r w:rsidR="00623410">
        <w:rPr>
          <w:rFonts w:eastAsiaTheme="minorEastAsia"/>
          <w:lang w:val="en-GB"/>
        </w:rPr>
        <w:t xml:space="preserve"> that were found in the primary simulations are visible here as well. </w:t>
      </w:r>
    </w:p>
    <w:p w14:paraId="31C2F5E9" w14:textId="0917AA50" w:rsidR="00DD118A" w:rsidRDefault="009C6E05" w:rsidP="00A808CB">
      <w:pPr>
        <w:rPr>
          <w:rFonts w:eastAsiaTheme="minorEastAsia"/>
          <w:lang w:val="en-GB"/>
        </w:rPr>
      </w:pPr>
      <w:r>
        <w:rPr>
          <w:rFonts w:eastAsiaTheme="minorEastAsia"/>
          <w:lang w:val="en-GB"/>
        </w:rPr>
        <w:tab/>
        <w:t xml:space="preserve">An illustration of what </w:t>
      </w:r>
      <w:r w:rsidR="00B179C7">
        <w:rPr>
          <w:rFonts w:eastAsiaTheme="minorEastAsia"/>
          <w:lang w:val="en-GB"/>
        </w:rPr>
        <w:t xml:space="preserve">this can look like is given in </w:t>
      </w:r>
      <w:r w:rsidR="00EC34A4">
        <w:rPr>
          <w:rFonts w:eastAsiaTheme="minorEastAsia"/>
          <w:lang w:val="en-GB"/>
        </w:rPr>
        <w:t>Supplemental Table 2</w:t>
      </w:r>
      <w:r w:rsidR="00B179C7">
        <w:rPr>
          <w:rFonts w:eastAsiaTheme="minorEastAsia"/>
          <w:lang w:val="en-GB"/>
        </w:rPr>
        <w:t xml:space="preserve">, </w:t>
      </w:r>
      <w:r w:rsidR="00F94538">
        <w:rPr>
          <w:rFonts w:eastAsiaTheme="minorEastAsia"/>
          <w:lang w:val="en-GB"/>
        </w:rPr>
        <w:t>showing</w:t>
      </w:r>
      <w:r w:rsidR="00B179C7">
        <w:rPr>
          <w:rFonts w:eastAsiaTheme="minorEastAsia"/>
          <w:lang w:val="en-GB"/>
        </w:rPr>
        <w:t xml:space="preserve"> the gene with the most extreme estimated type 1 error rate inflation (gene ENSG</w:t>
      </w:r>
      <w:r w:rsidR="00B179C7" w:rsidRPr="00B179C7">
        <w:rPr>
          <w:rFonts w:eastAsiaTheme="minorEastAsia"/>
          <w:lang w:val="en-GB"/>
        </w:rPr>
        <w:t>00000277639</w:t>
      </w:r>
      <w:r w:rsidR="00B179C7">
        <w:rPr>
          <w:rFonts w:eastAsiaTheme="minorEastAsia"/>
          <w:lang w:val="en-GB"/>
        </w:rPr>
        <w:t>) from the BMI analysis</w:t>
      </w:r>
      <w:r w:rsidR="0080682C">
        <w:rPr>
          <w:rFonts w:eastAsiaTheme="minorEastAsia"/>
          <w:lang w:val="en-GB"/>
        </w:rPr>
        <w:t xml:space="preserve">. </w:t>
      </w:r>
      <w:r w:rsidR="00D43DD8">
        <w:rPr>
          <w:rFonts w:eastAsiaTheme="minorEastAsia"/>
          <w:lang w:val="en-GB"/>
        </w:rPr>
        <w:t>The estimated error rates for all five of the tested tissues are orders of magnitude higher than the should be, and for</w:t>
      </w:r>
      <w:r w:rsidR="00120019">
        <w:rPr>
          <w:rFonts w:eastAsiaTheme="minorEastAsia"/>
          <w:lang w:val="en-GB"/>
        </w:rPr>
        <w:t xml:space="preserve"> both artery and</w:t>
      </w:r>
      <w:r w:rsidR="00D43DD8">
        <w:rPr>
          <w:rFonts w:eastAsiaTheme="minorEastAsia"/>
          <w:lang w:val="en-GB"/>
        </w:rPr>
        <w:t xml:space="preserve"> skin gene expression the TWAS analysis also yields a </w:t>
      </w:r>
      <w:r w:rsidR="00120019">
        <w:rPr>
          <w:rFonts w:eastAsiaTheme="minorEastAsia"/>
          <w:lang w:val="en-GB"/>
        </w:rPr>
        <w:t xml:space="preserve">p-value much lower than the corresponding local genetic correlation analysis, and highly </w:t>
      </w:r>
      <w:r w:rsidR="00D43DD8">
        <w:rPr>
          <w:rFonts w:eastAsiaTheme="minorEastAsia"/>
          <w:lang w:val="en-GB"/>
        </w:rPr>
        <w:t xml:space="preserve">significant </w:t>
      </w:r>
      <w:r w:rsidR="00120019">
        <w:rPr>
          <w:rFonts w:eastAsiaTheme="minorEastAsia"/>
          <w:lang w:val="en-GB"/>
        </w:rPr>
        <w:t xml:space="preserve">in the case of skin. </w:t>
      </w:r>
    </w:p>
    <w:p w14:paraId="14A8188A" w14:textId="053AB8E5" w:rsidR="001D6F46" w:rsidRDefault="00DD118A" w:rsidP="00DD118A">
      <w:pPr>
        <w:ind w:firstLine="708"/>
        <w:rPr>
          <w:rFonts w:eastAsiaTheme="minorEastAsia"/>
          <w:lang w:val="en-GB"/>
        </w:rPr>
      </w:pPr>
      <w:r>
        <w:rPr>
          <w:rFonts w:eastAsiaTheme="minorEastAsia"/>
          <w:lang w:val="en-GB"/>
        </w:rPr>
        <w:t xml:space="preserve">This demonstrates the big discrepancies in p-value that can arise when the uncertainty in the eQTL estimates is accounted for compared to when it is not, and the repercussions of that for the conclusions drawn from the analysis. Based on the TWAS results, a researcher might conclude with considerable confidence that the expression of this gene, particularly in the skin, plays a role in the genetic aetiology of BMI. Yet the local genetic correlation analysis paints a very different picture, </w:t>
      </w:r>
      <w:r w:rsidR="00CC7547">
        <w:rPr>
          <w:rFonts w:eastAsiaTheme="minorEastAsia"/>
          <w:lang w:val="en-GB"/>
        </w:rPr>
        <w:t>showing</w:t>
      </w:r>
      <w:r>
        <w:rPr>
          <w:rFonts w:eastAsiaTheme="minorEastAsia"/>
          <w:lang w:val="en-GB"/>
        </w:rPr>
        <w:t xml:space="preserve"> no</w:t>
      </w:r>
      <w:r w:rsidR="00CC7547">
        <w:rPr>
          <w:rFonts w:eastAsiaTheme="minorEastAsia"/>
          <w:lang w:val="en-GB"/>
        </w:rPr>
        <w:t xml:space="preserve"> real</w:t>
      </w:r>
      <w:r>
        <w:rPr>
          <w:rFonts w:eastAsiaTheme="minorEastAsia"/>
          <w:lang w:val="en-GB"/>
        </w:rPr>
        <w:t xml:space="preserve"> evidence for any such relation</w:t>
      </w:r>
      <w:r w:rsidR="00DF207D">
        <w:rPr>
          <w:rFonts w:eastAsiaTheme="minorEastAsia"/>
          <w:lang w:val="en-GB"/>
        </w:rPr>
        <w:t>, with none of the five tissues anywhere close to significance.</w:t>
      </w:r>
    </w:p>
    <w:p w14:paraId="62CBE145" w14:textId="0AD0C0EB" w:rsidR="00D02427" w:rsidRDefault="0050653A" w:rsidP="00DD118A">
      <w:pPr>
        <w:ind w:firstLine="708"/>
        <w:rPr>
          <w:rFonts w:eastAsiaTheme="minorEastAsia"/>
          <w:lang w:val="en-GB"/>
        </w:rPr>
      </w:pPr>
      <w:r>
        <w:rPr>
          <w:rFonts w:eastAsiaTheme="minorEastAsia"/>
          <w:lang w:val="en-GB"/>
        </w:rPr>
        <w:t xml:space="preserve">Moreover, based on the local genetic correlation estimates </w:t>
      </w:r>
      <w:r w:rsidR="00E27EE8">
        <w:rPr>
          <w:rFonts w:eastAsiaTheme="minorEastAsia"/>
          <w:lang w:val="en-GB"/>
        </w:rPr>
        <w:t xml:space="preserve">it is clear that the relationship </w:t>
      </w:r>
      <w:r w:rsidR="009577AE">
        <w:rPr>
          <w:rFonts w:eastAsiaTheme="minorEastAsia"/>
          <w:lang w:val="en-GB"/>
        </w:rPr>
        <w:t xml:space="preserve">would be </w:t>
      </w:r>
      <w:r w:rsidR="00E27EE8">
        <w:rPr>
          <w:rFonts w:eastAsiaTheme="minorEastAsia"/>
          <w:lang w:val="en-GB"/>
        </w:rPr>
        <w:t>very weak</w:t>
      </w:r>
      <w:r w:rsidR="009577AE">
        <w:rPr>
          <w:rFonts w:eastAsiaTheme="minorEastAsia"/>
          <w:lang w:val="en-GB"/>
        </w:rPr>
        <w:t xml:space="preserve"> even had it been significant</w:t>
      </w:r>
      <w:r w:rsidR="00E27EE8">
        <w:rPr>
          <w:rFonts w:eastAsiaTheme="minorEastAsia"/>
          <w:lang w:val="en-GB"/>
        </w:rPr>
        <w:t>, with only an estimated 2% of the local genetic signal for BMI being explained by the genetic component of the skin expression for  gene ENSG</w:t>
      </w:r>
      <w:r w:rsidR="00E27EE8" w:rsidRPr="00B179C7">
        <w:rPr>
          <w:rFonts w:eastAsiaTheme="minorEastAsia"/>
          <w:lang w:val="en-GB"/>
        </w:rPr>
        <w:t>00000277639</w:t>
      </w:r>
      <w:r w:rsidR="00E27EE8">
        <w:rPr>
          <w:rFonts w:eastAsiaTheme="minorEastAsia"/>
          <w:lang w:val="en-GB"/>
        </w:rPr>
        <w:t xml:space="preserve">. </w:t>
      </w:r>
      <w:r w:rsidR="00C90097">
        <w:rPr>
          <w:rFonts w:eastAsiaTheme="minorEastAsia"/>
          <w:lang w:val="en-GB"/>
        </w:rPr>
        <w:t xml:space="preserve">This makes it unlikely to be a biologically very relevant or informative relationship, regardless of its p-value. </w:t>
      </w:r>
      <w:r w:rsidR="00EC34A4">
        <w:rPr>
          <w:rFonts w:eastAsiaTheme="minorEastAsia"/>
          <w:lang w:val="en-GB"/>
        </w:rPr>
        <w:t xml:space="preserve">For comparison, </w:t>
      </w:r>
      <w:r w:rsidR="00E74885">
        <w:rPr>
          <w:rFonts w:eastAsiaTheme="minorEastAsia"/>
          <w:lang w:val="en-GB"/>
        </w:rPr>
        <w:t>Supplemental Table 3 shows a summary of significant local genetic correlations and their effect sizes</w:t>
      </w:r>
      <w:r w:rsidR="00D45CB7">
        <w:rPr>
          <w:rFonts w:eastAsiaTheme="minorEastAsia"/>
          <w:lang w:val="en-GB"/>
        </w:rPr>
        <w:t xml:space="preserve">. </w:t>
      </w:r>
    </w:p>
    <w:p w14:paraId="70278E5E" w14:textId="620535DE" w:rsidR="00DE67A5" w:rsidRDefault="00DE67A5">
      <w:pPr>
        <w:rPr>
          <w:lang w:val="en-GB"/>
        </w:rPr>
      </w:pPr>
    </w:p>
    <w:p w14:paraId="75AA24F9" w14:textId="77777777" w:rsidR="000836D7" w:rsidRDefault="000836D7">
      <w:pPr>
        <w:rPr>
          <w:b/>
          <w:bCs/>
          <w:smallCaps/>
          <w:lang w:val="en-GB"/>
        </w:rPr>
      </w:pPr>
      <w:r w:rsidRPr="00E03628">
        <w:rPr>
          <w:lang w:val="en-GB"/>
        </w:rPr>
        <w:br w:type="page"/>
      </w:r>
    </w:p>
    <w:p w14:paraId="2C567ED3" w14:textId="0585B62A" w:rsidR="00DE67A5" w:rsidRDefault="00DE67A5" w:rsidP="00DE67A5">
      <w:pPr>
        <w:pStyle w:val="Kop1"/>
      </w:pPr>
      <w:bookmarkStart w:id="5" w:name="_Toc79957412"/>
      <w:r>
        <w:lastRenderedPageBreak/>
        <w:t>Supplemental figures</w:t>
      </w:r>
      <w:bookmarkEnd w:id="5"/>
    </w:p>
    <w:p w14:paraId="68F70533" w14:textId="20EE1985" w:rsidR="00D963BE" w:rsidRDefault="00D963BE">
      <w:pPr>
        <w:rPr>
          <w:lang w:val="en-GB"/>
        </w:rPr>
      </w:pPr>
    </w:p>
    <w:p w14:paraId="3AD6DD8A" w14:textId="77777777" w:rsidR="00DE67A5" w:rsidRDefault="00DE67A5" w:rsidP="00DE67A5">
      <w:pPr>
        <w:keepNext/>
      </w:pPr>
      <w:r>
        <w:rPr>
          <w:noProof/>
        </w:rPr>
        <w:drawing>
          <wp:inline distT="0" distB="0" distL="0" distR="0" wp14:anchorId="72D71F43" wp14:editId="6C622C39">
            <wp:extent cx="6048375" cy="7257783"/>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3" cy="7280640"/>
                    </a:xfrm>
                    <a:prstGeom prst="rect">
                      <a:avLst/>
                    </a:prstGeom>
                    <a:noFill/>
                    <a:ln>
                      <a:noFill/>
                    </a:ln>
                  </pic:spPr>
                </pic:pic>
              </a:graphicData>
            </a:graphic>
          </wp:inline>
        </w:drawing>
      </w:r>
    </w:p>
    <w:p w14:paraId="6955BCEF" w14:textId="064E06DF" w:rsidR="00790425" w:rsidRPr="00DE67A5" w:rsidRDefault="00DE67A5" w:rsidP="00DE67A5">
      <w:pPr>
        <w:pStyle w:val="Bijschrift"/>
        <w:rPr>
          <w:color w:val="000000" w:themeColor="text1"/>
          <w:lang w:val="en-GB"/>
        </w:rPr>
      </w:pPr>
      <w:bookmarkStart w:id="6" w:name="_Toc79957413"/>
      <w:r w:rsidRPr="003E2D0E">
        <w:rPr>
          <w:rStyle w:val="Kop2Char"/>
          <w:i/>
          <w:iCs/>
        </w:rPr>
        <w:t xml:space="preserve">Supplemental Figure </w:t>
      </w:r>
      <w:r w:rsidRPr="003E2D0E">
        <w:rPr>
          <w:rStyle w:val="Kop2Char"/>
          <w:i/>
          <w:iCs/>
        </w:rPr>
        <w:fldChar w:fldCharType="begin"/>
      </w:r>
      <w:r w:rsidRPr="003E2D0E">
        <w:rPr>
          <w:rStyle w:val="Kop2Char"/>
          <w:i/>
          <w:iCs/>
        </w:rPr>
        <w:instrText xml:space="preserve"> SEQ Supplemental_Figure \* ARABIC </w:instrText>
      </w:r>
      <w:r w:rsidRPr="003E2D0E">
        <w:rPr>
          <w:rStyle w:val="Kop2Char"/>
          <w:i/>
          <w:iCs/>
        </w:rPr>
        <w:fldChar w:fldCharType="separate"/>
      </w:r>
      <w:r w:rsidR="007374DF">
        <w:rPr>
          <w:rStyle w:val="Kop2Char"/>
          <w:i/>
          <w:iCs/>
          <w:noProof/>
        </w:rPr>
        <w:t>1</w:t>
      </w:r>
      <w:r w:rsidRPr="003E2D0E">
        <w:rPr>
          <w:rStyle w:val="Kop2Char"/>
          <w:i/>
          <w:iCs/>
        </w:rPr>
        <w:fldChar w:fldCharType="end"/>
      </w:r>
      <w:r w:rsidRPr="003E2D0E">
        <w:rPr>
          <w:rStyle w:val="Kop2Char"/>
          <w:i/>
          <w:iCs/>
        </w:rPr>
        <w:t>. Primary simulation type 1 error results, evaluated under a null of no genetic covariance</w:t>
      </w:r>
      <w:bookmarkEnd w:id="6"/>
      <w:r w:rsidR="00EE1ECA">
        <w:rPr>
          <w:rStyle w:val="Kop2Char"/>
          <w:i/>
          <w:iCs/>
        </w:rPr>
        <w:t xml:space="preserve"> </w:t>
      </w:r>
      <w:r w:rsidR="00EE1ECA" w:rsidRPr="00900619">
        <w:rPr>
          <w:b/>
          <w:bCs/>
          <w:lang w:val="en-GB"/>
        </w:rPr>
        <w:t>(</w:t>
      </w:r>
      <m:oMath>
        <m:r>
          <m:rPr>
            <m:sty m:val="bi"/>
          </m:rPr>
          <w:rPr>
            <w:rFonts w:ascii="Cambria Math" w:hAnsi="Cambria Math"/>
          </w:rPr>
          <m:t>cov</m:t>
        </m:r>
        <m:d>
          <m:dPr>
            <m:ctrlPr>
              <w:rPr>
                <w:rFonts w:ascii="Cambria Math" w:hAnsi="Cambria Math"/>
                <w:b/>
                <w:bCs/>
              </w:rPr>
            </m:ctrlPr>
          </m:dPr>
          <m:e>
            <m:sSub>
              <m:sSubPr>
                <m:ctrlPr>
                  <w:rPr>
                    <w:rFonts w:ascii="Cambria Math" w:hAnsi="Cambria Math"/>
                    <w:b/>
                    <w:bCs/>
                  </w:rPr>
                </m:ctrlPr>
              </m:sSubPr>
              <m:e>
                <m:r>
                  <m:rPr>
                    <m:sty m:val="bi"/>
                  </m:rPr>
                  <w:rPr>
                    <w:rFonts w:ascii="Cambria Math" w:hAnsi="Cambria Math"/>
                  </w:rPr>
                  <m:t>G</m:t>
                </m:r>
              </m:e>
              <m:sub>
                <m:r>
                  <m:rPr>
                    <m:sty m:val="bi"/>
                  </m:rPr>
                  <w:rPr>
                    <w:rFonts w:ascii="Cambria Math" w:hAnsi="Cambria Math"/>
                  </w:rPr>
                  <m:t>E</m:t>
                </m:r>
              </m:sub>
            </m:sSub>
            <m:r>
              <m:rPr>
                <m:sty m:val="bi"/>
              </m:rPr>
              <w:rPr>
                <w:rFonts w:ascii="Cambria Math" w:hAnsi="Cambria Math"/>
                <w:lang w:val="en-GB"/>
              </w:rPr>
              <m:t>,</m:t>
            </m:r>
            <m:sSub>
              <m:sSubPr>
                <m:ctrlPr>
                  <w:rPr>
                    <w:rFonts w:ascii="Cambria Math" w:hAnsi="Cambria Math"/>
                    <w:b/>
                    <w:bCs/>
                  </w:rPr>
                </m:ctrlPr>
              </m:sSubPr>
              <m:e>
                <m:r>
                  <m:rPr>
                    <m:sty m:val="bi"/>
                  </m:rPr>
                  <w:rPr>
                    <w:rFonts w:ascii="Cambria Math" w:hAnsi="Cambria Math"/>
                  </w:rPr>
                  <m:t>G</m:t>
                </m:r>
              </m:e>
              <m:sub>
                <m:r>
                  <m:rPr>
                    <m:sty m:val="bi"/>
                  </m:rPr>
                  <w:rPr>
                    <w:rFonts w:ascii="Cambria Math" w:hAnsi="Cambria Math"/>
                  </w:rPr>
                  <m:t>Y</m:t>
                </m:r>
              </m:sub>
            </m:sSub>
          </m:e>
        </m:d>
        <m:r>
          <m:rPr>
            <m:sty m:val="bi"/>
          </m:rPr>
          <w:rPr>
            <w:rFonts w:ascii="Cambria Math" w:hAnsi="Cambria Math"/>
            <w:lang w:val="en-GB"/>
          </w:rPr>
          <m:t>=</m:t>
        </m:r>
        <m:r>
          <m:rPr>
            <m:sty m:val="bi"/>
          </m:rPr>
          <w:rPr>
            <w:rFonts w:ascii="Cambria Math" w:hAnsi="Cambria Math"/>
          </w:rPr>
          <m:t>0</m:t>
        </m:r>
      </m:oMath>
      <w:r w:rsidR="00EE1ECA" w:rsidRPr="00900619">
        <w:rPr>
          <w:b/>
          <w:bCs/>
          <w:lang w:val="en-GB"/>
        </w:rPr>
        <w:t>)</w:t>
      </w:r>
      <w:r w:rsidRPr="00900619">
        <w:rPr>
          <w:b/>
          <w:bCs/>
          <w:lang w:val="en-GB"/>
        </w:rPr>
        <w:t>.</w:t>
      </w:r>
      <w:r>
        <w:rPr>
          <w:b/>
          <w:bCs/>
          <w:color w:val="000000" w:themeColor="text1"/>
          <w:lang w:val="en-GB"/>
        </w:rPr>
        <w:t xml:space="preserve"> </w:t>
      </w:r>
      <w:r w:rsidR="00563332">
        <w:rPr>
          <w:color w:val="000000" w:themeColor="text1"/>
          <w:lang w:val="en-GB"/>
        </w:rPr>
        <w:t xml:space="preserve">Type 1 error rates were evaluated for a significance threshold of 0.05; </w:t>
      </w:r>
      <w:r w:rsidR="007028F8">
        <w:rPr>
          <w:color w:val="000000" w:themeColor="text1"/>
          <w:lang w:val="en-GB"/>
        </w:rPr>
        <w:t>s</w:t>
      </w:r>
      <w:r>
        <w:rPr>
          <w:color w:val="000000" w:themeColor="text1"/>
          <w:lang w:val="en-GB"/>
        </w:rPr>
        <w:t>ee Figure 2</w:t>
      </w:r>
      <w:r w:rsidR="000100E5">
        <w:rPr>
          <w:color w:val="000000" w:themeColor="text1"/>
          <w:lang w:val="en-GB"/>
        </w:rPr>
        <w:t xml:space="preserve"> and 3</w:t>
      </w:r>
      <w:r>
        <w:rPr>
          <w:color w:val="000000" w:themeColor="text1"/>
          <w:lang w:val="en-GB"/>
        </w:rPr>
        <w:t xml:space="preserve"> and </w:t>
      </w:r>
      <w:r>
        <w:rPr>
          <w:i w:val="0"/>
          <w:iCs w:val="0"/>
          <w:color w:val="000000" w:themeColor="text1"/>
          <w:lang w:val="en-GB"/>
        </w:rPr>
        <w:t>Methods - Primary simulations</w:t>
      </w:r>
      <w:r>
        <w:rPr>
          <w:color w:val="000000" w:themeColor="text1"/>
          <w:lang w:val="en-GB"/>
        </w:rPr>
        <w:t xml:space="preserve"> for details on simulation settings. </w:t>
      </w:r>
      <w:r w:rsidR="008149C2">
        <w:rPr>
          <w:color w:val="000000" w:themeColor="text1"/>
          <w:lang w:val="en-GB"/>
        </w:rPr>
        <w:t>TWAS analysis was performed with either the LAVA-TWAS implementation or with FUSION. For “TWAS (TWAS null)”, simulations were performed under the TWAS null model instead to validate the LAVA-TWAS im</w:t>
      </w:r>
      <w:r w:rsidR="00524D50">
        <w:rPr>
          <w:color w:val="000000" w:themeColor="text1"/>
          <w:lang w:val="en-GB"/>
        </w:rPr>
        <w:t>p</w:t>
      </w:r>
      <w:r w:rsidR="008149C2">
        <w:rPr>
          <w:color w:val="000000" w:themeColor="text1"/>
          <w:lang w:val="en-GB"/>
        </w:rPr>
        <w:t xml:space="preserve">lementation. </w:t>
      </w:r>
      <w:r w:rsidR="00F83ECE">
        <w:rPr>
          <w:color w:val="000000" w:themeColor="text1"/>
          <w:lang w:val="en-GB"/>
        </w:rPr>
        <w:t>Note that</w:t>
      </w:r>
      <w:r w:rsidR="00547357">
        <w:rPr>
          <w:color w:val="000000" w:themeColor="text1"/>
          <w:lang w:val="en-GB"/>
        </w:rPr>
        <w:t>,</w:t>
      </w:r>
      <w:r w:rsidR="00F83ECE">
        <w:rPr>
          <w:color w:val="000000" w:themeColor="text1"/>
          <w:lang w:val="en-GB"/>
        </w:rPr>
        <w:t xml:space="preserve"> for eas</w:t>
      </w:r>
      <w:r w:rsidR="005108F1">
        <w:rPr>
          <w:color w:val="000000" w:themeColor="text1"/>
          <w:lang w:val="en-GB"/>
        </w:rPr>
        <w:t>e</w:t>
      </w:r>
      <w:r w:rsidR="00F83ECE">
        <w:rPr>
          <w:color w:val="000000" w:themeColor="text1"/>
          <w:lang w:val="en-GB"/>
        </w:rPr>
        <w:t xml:space="preserve"> of comparison, y-axes for all four plots are on the same scale.</w:t>
      </w:r>
    </w:p>
    <w:p w14:paraId="0A1A83D9" w14:textId="2392409F" w:rsidR="005108F1" w:rsidRDefault="005108F1">
      <w:pPr>
        <w:rPr>
          <w:rFonts w:eastAsiaTheme="minorEastAsia"/>
          <w:lang w:val="en-GB"/>
        </w:rPr>
      </w:pPr>
      <w:r>
        <w:rPr>
          <w:rFonts w:eastAsiaTheme="minorEastAsia"/>
          <w:lang w:val="en-GB"/>
        </w:rPr>
        <w:br w:type="page"/>
      </w:r>
    </w:p>
    <w:p w14:paraId="6BB4D2F2" w14:textId="2AFBA28A" w:rsidR="005108F1" w:rsidRDefault="00E1466E" w:rsidP="005108F1">
      <w:pPr>
        <w:keepNext/>
      </w:pPr>
      <w:r>
        <w:rPr>
          <w:noProof/>
        </w:rPr>
        <w:lastRenderedPageBreak/>
        <w:drawing>
          <wp:inline distT="0" distB="0" distL="0" distR="0" wp14:anchorId="48D914AF" wp14:editId="41E0A4E6">
            <wp:extent cx="6172200" cy="493803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6965" cy="4941844"/>
                    </a:xfrm>
                    <a:prstGeom prst="rect">
                      <a:avLst/>
                    </a:prstGeom>
                    <a:noFill/>
                    <a:ln>
                      <a:noFill/>
                    </a:ln>
                  </pic:spPr>
                </pic:pic>
              </a:graphicData>
            </a:graphic>
          </wp:inline>
        </w:drawing>
      </w:r>
    </w:p>
    <w:p w14:paraId="07821E10" w14:textId="7C0C4F46" w:rsidR="00BB3E95" w:rsidRDefault="005108F1" w:rsidP="005108F1">
      <w:pPr>
        <w:pStyle w:val="Bijschrift"/>
        <w:rPr>
          <w:color w:val="000000" w:themeColor="text1"/>
          <w:lang w:val="en-GB"/>
        </w:rPr>
      </w:pPr>
      <w:bookmarkStart w:id="7" w:name="_Toc79957414"/>
      <w:r w:rsidRPr="003E2D0E">
        <w:rPr>
          <w:rStyle w:val="Kop2Char"/>
          <w:i/>
          <w:iCs/>
        </w:rPr>
        <w:t xml:space="preserve">Supplemental Figure </w:t>
      </w:r>
      <w:r w:rsidRPr="003E2D0E">
        <w:rPr>
          <w:rStyle w:val="Kop2Char"/>
          <w:i/>
          <w:iCs/>
        </w:rPr>
        <w:fldChar w:fldCharType="begin"/>
      </w:r>
      <w:r w:rsidRPr="003E2D0E">
        <w:rPr>
          <w:rStyle w:val="Kop2Char"/>
          <w:i/>
          <w:iCs/>
        </w:rPr>
        <w:instrText xml:space="preserve"> SEQ Supplemental_Figure \* ARABIC </w:instrText>
      </w:r>
      <w:r w:rsidRPr="003E2D0E">
        <w:rPr>
          <w:rStyle w:val="Kop2Char"/>
          <w:i/>
          <w:iCs/>
        </w:rPr>
        <w:fldChar w:fldCharType="separate"/>
      </w:r>
      <w:r w:rsidR="007374DF">
        <w:rPr>
          <w:rStyle w:val="Kop2Char"/>
          <w:i/>
          <w:iCs/>
          <w:noProof/>
        </w:rPr>
        <w:t>2</w:t>
      </w:r>
      <w:r w:rsidRPr="003E2D0E">
        <w:rPr>
          <w:rStyle w:val="Kop2Char"/>
          <w:i/>
          <w:iCs/>
        </w:rPr>
        <w:fldChar w:fldCharType="end"/>
      </w:r>
      <w:r w:rsidRPr="003E2D0E">
        <w:rPr>
          <w:rStyle w:val="Kop2Char"/>
          <w:i/>
          <w:iCs/>
        </w:rPr>
        <w:t>. Primary simulation type 1 error results for CoM</w:t>
      </w:r>
      <w:r w:rsidR="00245A16">
        <w:rPr>
          <w:rStyle w:val="Kop2Char"/>
          <w:i/>
          <w:iCs/>
        </w:rPr>
        <w:t>M.</w:t>
      </w:r>
      <w:bookmarkEnd w:id="7"/>
      <w:r>
        <w:rPr>
          <w:b/>
          <w:bCs/>
          <w:color w:val="000000" w:themeColor="text1"/>
          <w:lang w:val="en-GB"/>
        </w:rPr>
        <w:t xml:space="preserve"> </w:t>
      </w:r>
      <w:r w:rsidR="00F20368">
        <w:rPr>
          <w:color w:val="000000" w:themeColor="text1"/>
          <w:lang w:val="en-GB"/>
        </w:rPr>
        <w:t>Type 1 error rates were evaluated for a significance threshold of 0.05; s</w:t>
      </w:r>
      <w:r>
        <w:rPr>
          <w:color w:val="000000" w:themeColor="text1"/>
          <w:lang w:val="en-GB"/>
        </w:rPr>
        <w:t>ee Figure 2</w:t>
      </w:r>
      <w:r w:rsidR="00D411DE">
        <w:rPr>
          <w:color w:val="000000" w:themeColor="text1"/>
          <w:lang w:val="en-GB"/>
        </w:rPr>
        <w:t xml:space="preserve"> and 3</w:t>
      </w:r>
      <w:r>
        <w:rPr>
          <w:color w:val="000000" w:themeColor="text1"/>
          <w:lang w:val="en-GB"/>
        </w:rPr>
        <w:t xml:space="preserve"> and </w:t>
      </w:r>
      <w:r>
        <w:rPr>
          <w:i w:val="0"/>
          <w:iCs w:val="0"/>
          <w:color w:val="000000" w:themeColor="text1"/>
          <w:lang w:val="en-GB"/>
        </w:rPr>
        <w:t>Methods - Primary simulations</w:t>
      </w:r>
      <w:r>
        <w:rPr>
          <w:color w:val="000000" w:themeColor="text1"/>
          <w:lang w:val="en-GB"/>
        </w:rPr>
        <w:t xml:space="preserve"> for details on simulation settings. </w:t>
      </w:r>
      <w:r w:rsidR="00E1466E">
        <w:rPr>
          <w:color w:val="000000" w:themeColor="text1"/>
          <w:lang w:val="en-GB"/>
        </w:rPr>
        <w:t xml:space="preserve">Simulations were performed either under the </w:t>
      </w:r>
      <w:r w:rsidR="00AC360D">
        <w:rPr>
          <w:color w:val="000000" w:themeColor="text1"/>
          <w:lang w:val="en-GB"/>
        </w:rPr>
        <w:t>true</w:t>
      </w:r>
      <w:r w:rsidR="00E1466E">
        <w:rPr>
          <w:color w:val="000000" w:themeColor="text1"/>
          <w:lang w:val="en-GB"/>
        </w:rPr>
        <w:t xml:space="preserve"> null model with no genetic covariance (top row</w:t>
      </w:r>
      <w:r w:rsidR="00AC360D">
        <w:rPr>
          <w:color w:val="000000" w:themeColor="text1"/>
          <w:lang w:val="en-GB"/>
        </w:rPr>
        <w:t xml:space="preserve">, </w:t>
      </w:r>
      <m:oMath>
        <m:r>
          <w:rPr>
            <w:rFonts w:ascii="Cambria Math" w:hAnsi="Cambria Math"/>
            <w:color w:val="000000" w:themeColor="text1"/>
            <w:lang w:val="en-GB"/>
          </w:rPr>
          <m:t>cov</m:t>
        </m:r>
        <m:d>
          <m:dPr>
            <m:ctrlPr>
              <w:rPr>
                <w:rFonts w:ascii="Cambria Math" w:hAnsi="Cambria Math"/>
                <w:color w:val="000000" w:themeColor="text1"/>
                <w:lang w:val="en-GB"/>
              </w:rPr>
            </m:ctrlPr>
          </m:dPr>
          <m:e>
            <m:sSub>
              <m:sSubPr>
                <m:ctrlPr>
                  <w:rPr>
                    <w:rFonts w:ascii="Cambria Math" w:hAnsi="Cambria Math"/>
                    <w:color w:val="000000" w:themeColor="text1"/>
                    <w:lang w:val="en-GB"/>
                  </w:rPr>
                </m:ctrlPr>
              </m:sSubPr>
              <m:e>
                <m:r>
                  <w:rPr>
                    <w:rFonts w:ascii="Cambria Math" w:hAnsi="Cambria Math"/>
                    <w:color w:val="000000" w:themeColor="text1"/>
                    <w:lang w:val="en-GB"/>
                  </w:rPr>
                  <m:t>G</m:t>
                </m:r>
              </m:e>
              <m:sub>
                <m:r>
                  <w:rPr>
                    <w:rFonts w:ascii="Cambria Math" w:hAnsi="Cambria Math"/>
                    <w:color w:val="000000" w:themeColor="text1"/>
                    <w:lang w:val="en-GB"/>
                  </w:rPr>
                  <m:t>E</m:t>
                </m:r>
              </m:sub>
            </m:sSub>
            <m:r>
              <w:rPr>
                <w:rFonts w:ascii="Cambria Math" w:hAnsi="Cambria Math"/>
                <w:color w:val="000000" w:themeColor="text1"/>
                <w:lang w:val="en-GB"/>
              </w:rPr>
              <m:t>,</m:t>
            </m:r>
            <m:sSub>
              <m:sSubPr>
                <m:ctrlPr>
                  <w:rPr>
                    <w:rFonts w:ascii="Cambria Math" w:hAnsi="Cambria Math"/>
                    <w:color w:val="000000" w:themeColor="text1"/>
                    <w:lang w:val="en-GB"/>
                  </w:rPr>
                </m:ctrlPr>
              </m:sSubPr>
              <m:e>
                <m:r>
                  <w:rPr>
                    <w:rFonts w:ascii="Cambria Math" w:hAnsi="Cambria Math"/>
                    <w:color w:val="000000" w:themeColor="text1"/>
                    <w:lang w:val="en-GB"/>
                  </w:rPr>
                  <m:t>G</m:t>
                </m:r>
              </m:e>
              <m:sub>
                <m:r>
                  <w:rPr>
                    <w:rFonts w:ascii="Cambria Math" w:hAnsi="Cambria Math"/>
                    <w:color w:val="000000" w:themeColor="text1"/>
                    <w:lang w:val="en-GB"/>
                  </w:rPr>
                  <m:t>Y</m:t>
                </m:r>
              </m:sub>
            </m:sSub>
          </m:e>
        </m:d>
        <m:r>
          <w:rPr>
            <w:rFonts w:ascii="Cambria Math" w:hAnsi="Cambria Math"/>
            <w:color w:val="000000" w:themeColor="text1"/>
            <w:lang w:val="en-GB"/>
          </w:rPr>
          <m:t>=0</m:t>
        </m:r>
      </m:oMath>
      <w:r w:rsidR="00E1466E">
        <w:rPr>
          <w:color w:val="000000" w:themeColor="text1"/>
          <w:lang w:val="en-GB"/>
        </w:rPr>
        <w:t>), or under the null model of regular TWAS (bottom row</w:t>
      </w:r>
      <w:r w:rsidR="00AC360D">
        <w:rPr>
          <w:color w:val="000000" w:themeColor="text1"/>
          <w:lang w:val="en-GB"/>
        </w:rPr>
        <w:t xml:space="preserve">, </w:t>
      </w:r>
      <m:oMath>
        <m:r>
          <w:rPr>
            <w:rFonts w:ascii="Cambria Math" w:hAnsi="Cambria Math"/>
            <w:color w:val="000000" w:themeColor="text1"/>
            <w:lang w:val="en-GB"/>
          </w:rPr>
          <m:t>cov</m:t>
        </m:r>
        <m:d>
          <m:dPr>
            <m:ctrlPr>
              <w:rPr>
                <w:rFonts w:ascii="Cambria Math" w:hAnsi="Cambria Math"/>
                <w:color w:val="000000" w:themeColor="text1"/>
                <w:lang w:val="en-GB"/>
              </w:rPr>
            </m:ctrlPr>
          </m:dPr>
          <m:e>
            <m:sSub>
              <m:sSubPr>
                <m:ctrlPr>
                  <w:rPr>
                    <w:rFonts w:ascii="Cambria Math" w:hAnsi="Cambria Math"/>
                    <w:color w:val="000000" w:themeColor="text1"/>
                    <w:lang w:val="en-GB"/>
                  </w:rPr>
                </m:ctrlPr>
              </m:sSubPr>
              <m:e>
                <m:acc>
                  <m:accPr>
                    <m:ctrlPr>
                      <w:rPr>
                        <w:rFonts w:ascii="Cambria Math" w:hAnsi="Cambria Math"/>
                        <w:color w:val="000000" w:themeColor="text1"/>
                        <w:lang w:val="en-GB"/>
                      </w:rPr>
                    </m:ctrlPr>
                  </m:accPr>
                  <m:e>
                    <m:r>
                      <w:rPr>
                        <w:rFonts w:ascii="Cambria Math" w:hAnsi="Cambria Math"/>
                        <w:color w:val="000000" w:themeColor="text1"/>
                        <w:lang w:val="en-GB"/>
                      </w:rPr>
                      <m:t>G</m:t>
                    </m:r>
                  </m:e>
                </m:acc>
              </m:e>
              <m:sub>
                <m:r>
                  <w:rPr>
                    <w:rFonts w:ascii="Cambria Math" w:hAnsi="Cambria Math"/>
                    <w:color w:val="000000" w:themeColor="text1"/>
                    <w:lang w:val="en-GB"/>
                  </w:rPr>
                  <m:t>E</m:t>
                </m:r>
              </m:sub>
            </m:sSub>
            <m:r>
              <w:rPr>
                <w:rFonts w:ascii="Cambria Math" w:hAnsi="Cambria Math"/>
                <w:color w:val="000000" w:themeColor="text1"/>
                <w:lang w:val="en-GB"/>
              </w:rPr>
              <m:t>,</m:t>
            </m:r>
            <m:sSub>
              <m:sSubPr>
                <m:ctrlPr>
                  <w:rPr>
                    <w:rFonts w:ascii="Cambria Math" w:hAnsi="Cambria Math"/>
                    <w:color w:val="000000" w:themeColor="text1"/>
                    <w:lang w:val="en-GB"/>
                  </w:rPr>
                </m:ctrlPr>
              </m:sSubPr>
              <m:e>
                <m:r>
                  <w:rPr>
                    <w:rFonts w:ascii="Cambria Math" w:hAnsi="Cambria Math"/>
                    <w:color w:val="000000" w:themeColor="text1"/>
                    <w:lang w:val="en-GB"/>
                  </w:rPr>
                  <m:t>G</m:t>
                </m:r>
              </m:e>
              <m:sub>
                <m:r>
                  <w:rPr>
                    <w:rFonts w:ascii="Cambria Math" w:hAnsi="Cambria Math"/>
                    <w:color w:val="000000" w:themeColor="text1"/>
                    <w:lang w:val="en-GB"/>
                  </w:rPr>
                  <m:t>Y</m:t>
                </m:r>
              </m:sub>
            </m:sSub>
          </m:e>
        </m:d>
        <m:r>
          <w:rPr>
            <w:rFonts w:ascii="Cambria Math" w:hAnsi="Cambria Math"/>
            <w:color w:val="000000" w:themeColor="text1"/>
            <w:lang w:val="en-GB"/>
          </w:rPr>
          <m:t>=0</m:t>
        </m:r>
      </m:oMath>
      <w:r w:rsidR="00E1466E">
        <w:rPr>
          <w:color w:val="000000" w:themeColor="text1"/>
          <w:lang w:val="en-GB"/>
        </w:rPr>
        <w:t>)</w:t>
      </w:r>
      <w:r w:rsidR="00BB3E95">
        <w:rPr>
          <w:color w:val="000000" w:themeColor="text1"/>
          <w:lang w:val="en-GB"/>
        </w:rPr>
        <w:t>. Note that for CoMM, only 1,000 SNPs per block were used rather than the 5,000 used for the other simulations (except “TWAS - 1K SNPs in Supplemental Figure 1).</w:t>
      </w:r>
    </w:p>
    <w:p w14:paraId="3CC5EBBA" w14:textId="55EDD384" w:rsidR="00D64A74" w:rsidRPr="005108F1" w:rsidRDefault="00D64A74" w:rsidP="005108F1">
      <w:pPr>
        <w:pStyle w:val="Bijschrift"/>
        <w:rPr>
          <w:rFonts w:eastAsiaTheme="minorEastAsia"/>
          <w:b/>
          <w:bCs/>
          <w:color w:val="000000" w:themeColor="text1"/>
          <w:lang w:val="en-GB"/>
        </w:rPr>
      </w:pPr>
    </w:p>
    <w:p w14:paraId="4D989119" w14:textId="71033941" w:rsidR="00C32235" w:rsidRDefault="00C32235">
      <w:pPr>
        <w:rPr>
          <w:rFonts w:eastAsiaTheme="minorEastAsia"/>
          <w:lang w:val="en-GB"/>
        </w:rPr>
      </w:pPr>
    </w:p>
    <w:p w14:paraId="23B87644" w14:textId="769DC7B8" w:rsidR="00C32235" w:rsidRDefault="00C32235">
      <w:pPr>
        <w:rPr>
          <w:rFonts w:eastAsiaTheme="minorEastAsia"/>
          <w:lang w:val="en-GB"/>
        </w:rPr>
      </w:pPr>
    </w:p>
    <w:p w14:paraId="1E03E6D1" w14:textId="558FF0A3" w:rsidR="009444E0" w:rsidRDefault="009444E0">
      <w:pPr>
        <w:rPr>
          <w:lang w:val="en-GB"/>
        </w:rPr>
      </w:pPr>
      <w:r>
        <w:rPr>
          <w:lang w:val="en-GB"/>
        </w:rPr>
        <w:br w:type="page"/>
      </w:r>
    </w:p>
    <w:p w14:paraId="5A5B269B" w14:textId="77777777" w:rsidR="009444E0" w:rsidRDefault="009444E0" w:rsidP="009444E0">
      <w:pPr>
        <w:keepNext/>
      </w:pPr>
      <w:r>
        <w:rPr>
          <w:noProof/>
        </w:rPr>
        <w:lastRenderedPageBreak/>
        <w:drawing>
          <wp:inline distT="0" distB="0" distL="0" distR="0" wp14:anchorId="1996F86D" wp14:editId="03A3D7D1">
            <wp:extent cx="6305550" cy="31527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474" cy="3154737"/>
                    </a:xfrm>
                    <a:prstGeom prst="rect">
                      <a:avLst/>
                    </a:prstGeom>
                    <a:noFill/>
                    <a:ln>
                      <a:noFill/>
                    </a:ln>
                  </pic:spPr>
                </pic:pic>
              </a:graphicData>
            </a:graphic>
          </wp:inline>
        </w:drawing>
      </w:r>
    </w:p>
    <w:p w14:paraId="0E0F8080" w14:textId="2392BF73" w:rsidR="00C32235" w:rsidRDefault="009444E0" w:rsidP="009444E0">
      <w:pPr>
        <w:pStyle w:val="Bijschrift"/>
        <w:rPr>
          <w:rFonts w:eastAsiaTheme="minorEastAsia"/>
          <w:color w:val="000000" w:themeColor="text1"/>
          <w:lang w:val="en-GB"/>
        </w:rPr>
      </w:pPr>
      <w:bookmarkStart w:id="8" w:name="_Toc79957415"/>
      <w:r w:rsidRPr="003E2D0E">
        <w:rPr>
          <w:rStyle w:val="Kop2Char"/>
          <w:i/>
          <w:iCs/>
        </w:rPr>
        <w:t xml:space="preserve">Supplemental Figure </w:t>
      </w:r>
      <w:r w:rsidRPr="003E2D0E">
        <w:rPr>
          <w:rStyle w:val="Kop2Char"/>
          <w:i/>
          <w:iCs/>
        </w:rPr>
        <w:fldChar w:fldCharType="begin"/>
      </w:r>
      <w:r w:rsidRPr="003E2D0E">
        <w:rPr>
          <w:rStyle w:val="Kop2Char"/>
          <w:i/>
          <w:iCs/>
        </w:rPr>
        <w:instrText xml:space="preserve"> SEQ Supplemental_Figure \* ARABIC </w:instrText>
      </w:r>
      <w:r w:rsidRPr="003E2D0E">
        <w:rPr>
          <w:rStyle w:val="Kop2Char"/>
          <w:i/>
          <w:iCs/>
        </w:rPr>
        <w:fldChar w:fldCharType="separate"/>
      </w:r>
      <w:r w:rsidR="007374DF">
        <w:rPr>
          <w:rStyle w:val="Kop2Char"/>
          <w:i/>
          <w:iCs/>
          <w:noProof/>
        </w:rPr>
        <w:t>3</w:t>
      </w:r>
      <w:r w:rsidRPr="003E2D0E">
        <w:rPr>
          <w:rStyle w:val="Kop2Char"/>
          <w:i/>
          <w:iCs/>
        </w:rPr>
        <w:fldChar w:fldCharType="end"/>
      </w:r>
      <w:r w:rsidRPr="003E2D0E">
        <w:rPr>
          <w:rStyle w:val="Kop2Char"/>
          <w:i/>
          <w:iCs/>
        </w:rPr>
        <w:t>. Results for empirical type 1 error rate simulations for BMI.</w:t>
      </w:r>
      <w:bookmarkEnd w:id="8"/>
      <w:r>
        <w:rPr>
          <w:b/>
          <w:bCs/>
          <w:color w:val="000000" w:themeColor="text1"/>
          <w:lang w:val="en-GB"/>
        </w:rPr>
        <w:t xml:space="preserve"> </w:t>
      </w:r>
      <w:r>
        <w:rPr>
          <w:color w:val="000000" w:themeColor="text1"/>
          <w:lang w:val="en-GB"/>
        </w:rPr>
        <w:t xml:space="preserve">Results are for </w:t>
      </w:r>
      <w:r w:rsidR="006421C8">
        <w:rPr>
          <w:color w:val="000000" w:themeColor="text1"/>
          <w:lang w:val="en-GB"/>
        </w:rPr>
        <w:t xml:space="preserve">a significance threshold of 0.05, </w:t>
      </w:r>
      <w:r>
        <w:rPr>
          <w:rFonts w:eastAsiaTheme="minorEastAsia"/>
          <w:color w:val="000000" w:themeColor="text1"/>
          <w:lang w:val="en-GB"/>
        </w:rPr>
        <w:t xml:space="preserve">for each of the 84,567 gene-tissue pairs that were tested in the bivariate analyses. The type 1 error rate inflation levels found in the simulations are shown as a function of the </w:t>
      </w:r>
      <m:oMath>
        <m:sSubSup>
          <m:sSubSupPr>
            <m:ctrlPr>
              <w:rPr>
                <w:rFonts w:ascii="Cambria Math" w:eastAsiaTheme="minorEastAsia" w:hAnsi="Cambria Math"/>
                <w:color w:val="000000" w:themeColor="text1"/>
                <w:lang w:val="en-GB"/>
              </w:rPr>
            </m:ctrlPr>
          </m:sSubSupPr>
          <m:e>
            <m:r>
              <w:rPr>
                <w:rFonts w:ascii="Cambria Math" w:eastAsiaTheme="minorEastAsia" w:hAnsi="Cambria Math"/>
                <w:color w:val="000000" w:themeColor="text1"/>
                <w:lang w:val="en-GB"/>
              </w:rPr>
              <m:t>h</m:t>
            </m:r>
          </m:e>
          <m:sub>
            <m:r>
              <w:rPr>
                <w:rFonts w:ascii="Cambria Math" w:eastAsiaTheme="minorEastAsia" w:hAnsi="Cambria Math"/>
                <w:color w:val="000000" w:themeColor="text1"/>
                <w:lang w:val="en-GB"/>
              </w:rPr>
              <m:t>E</m:t>
            </m:r>
          </m:sub>
          <m:sup>
            <m:r>
              <w:rPr>
                <w:rFonts w:ascii="Cambria Math" w:eastAsiaTheme="minorEastAsia" w:hAnsi="Cambria Math"/>
                <w:color w:val="000000" w:themeColor="text1"/>
                <w:lang w:val="en-GB"/>
              </w:rPr>
              <m:t>2</m:t>
            </m:r>
          </m:sup>
        </m:sSubSup>
      </m:oMath>
      <w:r>
        <w:rPr>
          <w:rFonts w:eastAsiaTheme="minorEastAsia"/>
          <w:color w:val="000000" w:themeColor="text1"/>
          <w:lang w:val="en-GB"/>
        </w:rPr>
        <w:t xml:space="preserve"> (left) and </w:t>
      </w:r>
      <m:oMath>
        <m:sSubSup>
          <m:sSubSupPr>
            <m:ctrlPr>
              <w:rPr>
                <w:rFonts w:ascii="Cambria Math" w:eastAsiaTheme="minorEastAsia" w:hAnsi="Cambria Math"/>
                <w:color w:val="000000" w:themeColor="text1"/>
                <w:lang w:val="en-GB"/>
              </w:rPr>
            </m:ctrlPr>
          </m:sSubSupPr>
          <m:e>
            <m:r>
              <w:rPr>
                <w:rFonts w:ascii="Cambria Math" w:eastAsiaTheme="minorEastAsia" w:hAnsi="Cambria Math"/>
                <w:color w:val="000000" w:themeColor="text1"/>
                <w:lang w:val="en-GB"/>
              </w:rPr>
              <m:t>h</m:t>
            </m:r>
          </m:e>
          <m:sub>
            <m:r>
              <w:rPr>
                <w:rFonts w:ascii="Cambria Math" w:eastAsiaTheme="minorEastAsia" w:hAnsi="Cambria Math"/>
                <w:color w:val="000000" w:themeColor="text1"/>
                <w:lang w:val="en-GB"/>
              </w:rPr>
              <m:t>Y</m:t>
            </m:r>
          </m:sub>
          <m:sup>
            <m:r>
              <w:rPr>
                <w:rFonts w:ascii="Cambria Math" w:eastAsiaTheme="minorEastAsia" w:hAnsi="Cambria Math"/>
                <w:color w:val="000000" w:themeColor="text1"/>
                <w:lang w:val="en-GB"/>
              </w:rPr>
              <m:t>2</m:t>
            </m:r>
          </m:sup>
        </m:sSubSup>
      </m:oMath>
      <w:r>
        <w:rPr>
          <w:rFonts w:eastAsiaTheme="minorEastAsia"/>
          <w:color w:val="000000" w:themeColor="text1"/>
          <w:lang w:val="en-GB"/>
        </w:rPr>
        <w:t xml:space="preserve"> (right) estimates found in for that gene-tissue pair in the bivariate analyses. For visual clarity, the horizontal axis for the </w:t>
      </w:r>
      <m:oMath>
        <m:sSubSup>
          <m:sSubSupPr>
            <m:ctrlPr>
              <w:rPr>
                <w:rFonts w:ascii="Cambria Math" w:eastAsiaTheme="minorEastAsia" w:hAnsi="Cambria Math"/>
                <w:color w:val="000000" w:themeColor="text1"/>
                <w:lang w:val="en-GB"/>
              </w:rPr>
            </m:ctrlPr>
          </m:sSubSupPr>
          <m:e>
            <m:r>
              <w:rPr>
                <w:rFonts w:ascii="Cambria Math" w:eastAsiaTheme="minorEastAsia" w:hAnsi="Cambria Math"/>
                <w:color w:val="000000" w:themeColor="text1"/>
                <w:lang w:val="en-GB"/>
              </w:rPr>
              <m:t>h</m:t>
            </m:r>
          </m:e>
          <m:sub>
            <m:r>
              <w:rPr>
                <w:rFonts w:ascii="Cambria Math" w:eastAsiaTheme="minorEastAsia" w:hAnsi="Cambria Math"/>
                <w:color w:val="000000" w:themeColor="text1"/>
                <w:lang w:val="en-GB"/>
              </w:rPr>
              <m:t>Y</m:t>
            </m:r>
          </m:sub>
          <m:sup>
            <m:r>
              <w:rPr>
                <w:rFonts w:ascii="Cambria Math" w:eastAsiaTheme="minorEastAsia" w:hAnsi="Cambria Math"/>
                <w:color w:val="000000" w:themeColor="text1"/>
                <w:lang w:val="en-GB"/>
              </w:rPr>
              <m:t>2</m:t>
            </m:r>
          </m:sup>
        </m:sSubSup>
      </m:oMath>
      <w:r>
        <w:rPr>
          <w:rFonts w:eastAsiaTheme="minorEastAsia"/>
          <w:color w:val="000000" w:themeColor="text1"/>
          <w:lang w:val="en-GB"/>
        </w:rPr>
        <w:t xml:space="preserve"> plot has been put on a log scale. </w:t>
      </w:r>
    </w:p>
    <w:p w14:paraId="1CBCC548" w14:textId="10E90C3D" w:rsidR="00621B0C" w:rsidRDefault="00621B0C" w:rsidP="00621B0C">
      <w:pPr>
        <w:rPr>
          <w:lang w:val="en-GB"/>
        </w:rPr>
      </w:pPr>
    </w:p>
    <w:p w14:paraId="578732A9" w14:textId="78AF6791" w:rsidR="00621B0C" w:rsidRDefault="00621B0C">
      <w:pPr>
        <w:rPr>
          <w:lang w:val="en-GB"/>
        </w:rPr>
      </w:pPr>
      <w:r>
        <w:rPr>
          <w:lang w:val="en-GB"/>
        </w:rPr>
        <w:br w:type="page"/>
      </w:r>
    </w:p>
    <w:p w14:paraId="7C250E46" w14:textId="1B346AA3" w:rsidR="00621B0C" w:rsidRDefault="00621B0C" w:rsidP="00621B0C">
      <w:pPr>
        <w:pStyle w:val="Kop1"/>
      </w:pPr>
      <w:bookmarkStart w:id="9" w:name="_Toc79957416"/>
      <w:r>
        <w:lastRenderedPageBreak/>
        <w:t>Supplemental tables</w:t>
      </w:r>
      <w:bookmarkEnd w:id="9"/>
    </w:p>
    <w:p w14:paraId="44EBA158" w14:textId="1DDC99A8" w:rsidR="00621B0C" w:rsidRDefault="00621B0C" w:rsidP="00621B0C">
      <w:pPr>
        <w:rPr>
          <w:lang w:val="en-GB"/>
        </w:rPr>
      </w:pPr>
    </w:p>
    <w:p w14:paraId="32FF962D" w14:textId="77777777" w:rsidR="00A84F39" w:rsidRDefault="00A84F39" w:rsidP="00621B0C">
      <w:pPr>
        <w:rPr>
          <w:lang w:val="en-GB"/>
        </w:rPr>
      </w:pPr>
    </w:p>
    <w:p w14:paraId="13E02F59" w14:textId="156B145D" w:rsidR="00A84F39" w:rsidRPr="00A84F39" w:rsidRDefault="00A84F39" w:rsidP="00A84F39">
      <w:pPr>
        <w:pStyle w:val="Kop2"/>
      </w:pPr>
      <w:bookmarkStart w:id="10" w:name="_Toc79957417"/>
      <w:r w:rsidRPr="00A84F39">
        <w:t xml:space="preserve">Supplemental Table </w:t>
      </w:r>
      <w:r>
        <w:fldChar w:fldCharType="begin"/>
      </w:r>
      <w:r w:rsidRPr="00A84F39">
        <w:instrText xml:space="preserve"> SEQ Supplemental_Table \* ARABIC </w:instrText>
      </w:r>
      <w:r>
        <w:fldChar w:fldCharType="separate"/>
      </w:r>
      <w:r w:rsidR="007374DF">
        <w:rPr>
          <w:noProof/>
        </w:rPr>
        <w:t>1</w:t>
      </w:r>
      <w:r>
        <w:fldChar w:fldCharType="end"/>
      </w:r>
      <w:r w:rsidRPr="00A84F39">
        <w:t>. Comparison of r</w:t>
      </w:r>
      <w:r>
        <w:t>esults for main TWAS analysis with TWAS on gene-tissue pairs with no detectable eQTL signal.</w:t>
      </w:r>
      <w:bookmarkEnd w:id="10"/>
    </w:p>
    <w:tbl>
      <w:tblPr>
        <w:tblStyle w:val="Tabelraster"/>
        <w:tblW w:w="11483" w:type="dxa"/>
        <w:tblInd w:w="-99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999"/>
        <w:gridCol w:w="921"/>
        <w:gridCol w:w="922"/>
        <w:gridCol w:w="921"/>
        <w:gridCol w:w="922"/>
        <w:gridCol w:w="1126"/>
        <w:gridCol w:w="921"/>
        <w:gridCol w:w="922"/>
        <w:gridCol w:w="921"/>
        <w:gridCol w:w="922"/>
      </w:tblGrid>
      <w:tr w:rsidR="001760D2" w:rsidRPr="007374DF" w14:paraId="11B3694E" w14:textId="77777777" w:rsidTr="00600F92">
        <w:tc>
          <w:tcPr>
            <w:tcW w:w="1986" w:type="dxa"/>
          </w:tcPr>
          <w:p w14:paraId="24351E7E" w14:textId="77777777" w:rsidR="001760D2" w:rsidRPr="004C32D2" w:rsidRDefault="001760D2" w:rsidP="00621B0C">
            <w:pPr>
              <w:rPr>
                <w:b/>
                <w:bCs/>
                <w:sz w:val="18"/>
                <w:szCs w:val="18"/>
                <w:lang w:val="en-GB"/>
              </w:rPr>
            </w:pPr>
          </w:p>
        </w:tc>
        <w:tc>
          <w:tcPr>
            <w:tcW w:w="4685" w:type="dxa"/>
            <w:gridSpan w:val="5"/>
            <w:vAlign w:val="center"/>
          </w:tcPr>
          <w:p w14:paraId="1A10E844" w14:textId="0DFF0273" w:rsidR="001760D2" w:rsidRPr="004C32D2" w:rsidRDefault="001760D2" w:rsidP="001760D2">
            <w:pPr>
              <w:jc w:val="center"/>
              <w:rPr>
                <w:b/>
                <w:bCs/>
                <w:sz w:val="18"/>
                <w:szCs w:val="18"/>
                <w:lang w:val="en-GB"/>
              </w:rPr>
            </w:pPr>
            <w:r w:rsidRPr="004C32D2">
              <w:rPr>
                <w:b/>
                <w:bCs/>
                <w:sz w:val="18"/>
                <w:szCs w:val="18"/>
                <w:lang w:val="en-GB"/>
              </w:rPr>
              <w:t xml:space="preserve">Univariate eQTL </w:t>
            </w:r>
            <w:r w:rsidR="004C32D2" w:rsidRPr="004C32D2">
              <w:rPr>
                <w:b/>
                <w:bCs/>
                <w:sz w:val="18"/>
                <w:szCs w:val="18"/>
                <w:lang w:val="en-GB"/>
              </w:rPr>
              <w:t>signal</w:t>
            </w:r>
            <w:r w:rsidR="00973C02">
              <w:rPr>
                <w:b/>
                <w:bCs/>
                <w:sz w:val="18"/>
                <w:szCs w:val="18"/>
                <w:lang w:val="en-GB"/>
              </w:rPr>
              <w:t xml:space="preserve"> (main analysis)</w:t>
            </w:r>
          </w:p>
        </w:tc>
        <w:tc>
          <w:tcPr>
            <w:tcW w:w="4812" w:type="dxa"/>
            <w:gridSpan w:val="5"/>
            <w:vAlign w:val="center"/>
          </w:tcPr>
          <w:p w14:paraId="5F531758" w14:textId="094B1583" w:rsidR="001760D2" w:rsidRPr="004C32D2" w:rsidRDefault="001760D2" w:rsidP="001760D2">
            <w:pPr>
              <w:jc w:val="center"/>
              <w:rPr>
                <w:b/>
                <w:bCs/>
                <w:sz w:val="18"/>
                <w:szCs w:val="18"/>
                <w:lang w:val="en-GB"/>
              </w:rPr>
            </w:pPr>
            <w:r w:rsidRPr="004C32D2">
              <w:rPr>
                <w:b/>
                <w:bCs/>
                <w:sz w:val="18"/>
                <w:szCs w:val="18"/>
                <w:lang w:val="en-GB"/>
              </w:rPr>
              <w:t xml:space="preserve">No univariate eQTL </w:t>
            </w:r>
            <w:r w:rsidR="004C32D2" w:rsidRPr="004C32D2">
              <w:rPr>
                <w:b/>
                <w:bCs/>
                <w:sz w:val="18"/>
                <w:szCs w:val="18"/>
                <w:lang w:val="en-GB"/>
              </w:rPr>
              <w:t>signal</w:t>
            </w:r>
            <w:r w:rsidR="00AB44BF">
              <w:rPr>
                <w:b/>
                <w:bCs/>
                <w:sz w:val="18"/>
                <w:szCs w:val="18"/>
                <w:lang w:val="en-GB"/>
              </w:rPr>
              <w:t xml:space="preserve"> (</w:t>
            </w:r>
            <w:r w:rsidR="00AF114F">
              <w:rPr>
                <w:b/>
                <w:bCs/>
                <w:sz w:val="18"/>
                <w:szCs w:val="18"/>
                <w:lang w:val="en-GB"/>
              </w:rPr>
              <w:t>additional</w:t>
            </w:r>
            <w:r w:rsidR="00AB44BF">
              <w:rPr>
                <w:b/>
                <w:bCs/>
                <w:sz w:val="18"/>
                <w:szCs w:val="18"/>
                <w:lang w:val="en-GB"/>
              </w:rPr>
              <w:t xml:space="preserve"> analysis)</w:t>
            </w:r>
          </w:p>
        </w:tc>
      </w:tr>
      <w:tr w:rsidR="00600F92" w14:paraId="303F63B8" w14:textId="77777777" w:rsidTr="00C13C7B">
        <w:tc>
          <w:tcPr>
            <w:tcW w:w="1986" w:type="dxa"/>
            <w:tcBorders>
              <w:bottom w:val="nil"/>
            </w:tcBorders>
          </w:tcPr>
          <w:p w14:paraId="2ED67D0A" w14:textId="77777777" w:rsidR="00600F92" w:rsidRPr="004C32D2" w:rsidRDefault="00600F92" w:rsidP="00621B0C">
            <w:pPr>
              <w:rPr>
                <w:b/>
                <w:bCs/>
                <w:sz w:val="18"/>
                <w:szCs w:val="18"/>
                <w:lang w:val="en-GB"/>
              </w:rPr>
            </w:pPr>
          </w:p>
        </w:tc>
        <w:tc>
          <w:tcPr>
            <w:tcW w:w="2842" w:type="dxa"/>
            <w:gridSpan w:val="3"/>
            <w:tcBorders>
              <w:bottom w:val="nil"/>
            </w:tcBorders>
            <w:vAlign w:val="bottom"/>
          </w:tcPr>
          <w:p w14:paraId="5989B715" w14:textId="03DC1C8D" w:rsidR="00600F92" w:rsidRPr="004C32D2" w:rsidRDefault="00600F92" w:rsidP="001760D2">
            <w:pPr>
              <w:jc w:val="center"/>
              <w:rPr>
                <w:b/>
                <w:bCs/>
                <w:sz w:val="18"/>
                <w:szCs w:val="18"/>
                <w:lang w:val="en-GB"/>
              </w:rPr>
            </w:pPr>
            <w:r w:rsidRPr="004C32D2">
              <w:rPr>
                <w:b/>
                <w:bCs/>
                <w:sz w:val="18"/>
                <w:szCs w:val="18"/>
                <w:lang w:val="en-GB"/>
              </w:rPr>
              <w:t>Gene-tissue pairs</w:t>
            </w:r>
          </w:p>
        </w:tc>
        <w:tc>
          <w:tcPr>
            <w:tcW w:w="1843" w:type="dxa"/>
            <w:gridSpan w:val="2"/>
            <w:tcBorders>
              <w:bottom w:val="nil"/>
            </w:tcBorders>
            <w:vAlign w:val="center"/>
          </w:tcPr>
          <w:p w14:paraId="5528FB0E" w14:textId="2206EE4F" w:rsidR="00600F92" w:rsidRPr="004C32D2" w:rsidRDefault="00600F92" w:rsidP="001760D2">
            <w:pPr>
              <w:jc w:val="center"/>
              <w:rPr>
                <w:b/>
                <w:bCs/>
                <w:sz w:val="18"/>
                <w:szCs w:val="18"/>
                <w:lang w:val="en-GB"/>
              </w:rPr>
            </w:pPr>
            <w:r w:rsidRPr="004C32D2">
              <w:rPr>
                <w:b/>
                <w:bCs/>
                <w:sz w:val="18"/>
                <w:szCs w:val="18"/>
                <w:lang w:val="en-GB"/>
              </w:rPr>
              <w:t>Genes</w:t>
            </w:r>
          </w:p>
        </w:tc>
        <w:tc>
          <w:tcPr>
            <w:tcW w:w="2969" w:type="dxa"/>
            <w:gridSpan w:val="3"/>
            <w:tcBorders>
              <w:bottom w:val="nil"/>
            </w:tcBorders>
            <w:vAlign w:val="bottom"/>
          </w:tcPr>
          <w:p w14:paraId="3BFB21FC" w14:textId="6CB2076B" w:rsidR="00600F92" w:rsidRPr="004C32D2" w:rsidRDefault="00600F92" w:rsidP="001760D2">
            <w:pPr>
              <w:jc w:val="center"/>
              <w:rPr>
                <w:b/>
                <w:bCs/>
                <w:sz w:val="18"/>
                <w:szCs w:val="18"/>
                <w:lang w:val="en-GB"/>
              </w:rPr>
            </w:pPr>
            <w:r w:rsidRPr="004C32D2">
              <w:rPr>
                <w:b/>
                <w:bCs/>
                <w:sz w:val="18"/>
                <w:szCs w:val="18"/>
                <w:lang w:val="en-GB"/>
              </w:rPr>
              <w:t>Gene-tissue pairs</w:t>
            </w:r>
          </w:p>
        </w:tc>
        <w:tc>
          <w:tcPr>
            <w:tcW w:w="1843" w:type="dxa"/>
            <w:gridSpan w:val="2"/>
            <w:tcBorders>
              <w:bottom w:val="nil"/>
            </w:tcBorders>
            <w:vAlign w:val="center"/>
          </w:tcPr>
          <w:p w14:paraId="1FC3A937" w14:textId="5CEB134B" w:rsidR="00600F92" w:rsidRPr="004C32D2" w:rsidRDefault="00600F92" w:rsidP="001760D2">
            <w:pPr>
              <w:jc w:val="center"/>
              <w:rPr>
                <w:b/>
                <w:bCs/>
                <w:sz w:val="18"/>
                <w:szCs w:val="18"/>
                <w:lang w:val="en-GB"/>
              </w:rPr>
            </w:pPr>
            <w:r w:rsidRPr="004C32D2">
              <w:rPr>
                <w:b/>
                <w:bCs/>
                <w:sz w:val="18"/>
                <w:szCs w:val="18"/>
                <w:lang w:val="en-GB"/>
              </w:rPr>
              <w:t>Genes</w:t>
            </w:r>
          </w:p>
        </w:tc>
      </w:tr>
      <w:tr w:rsidR="00600F92" w14:paraId="326F6D04" w14:textId="77777777" w:rsidTr="00171F99">
        <w:tc>
          <w:tcPr>
            <w:tcW w:w="1986" w:type="dxa"/>
            <w:tcBorders>
              <w:top w:val="nil"/>
              <w:bottom w:val="single" w:sz="4" w:space="0" w:color="auto"/>
            </w:tcBorders>
          </w:tcPr>
          <w:p w14:paraId="01D064FD" w14:textId="675BDD98" w:rsidR="00600F92" w:rsidRPr="004C32D2" w:rsidRDefault="00600F92" w:rsidP="00600F92">
            <w:pPr>
              <w:rPr>
                <w:b/>
                <w:bCs/>
                <w:sz w:val="18"/>
                <w:szCs w:val="18"/>
                <w:lang w:val="en-GB"/>
              </w:rPr>
            </w:pPr>
            <w:r w:rsidRPr="004C32D2">
              <w:rPr>
                <w:b/>
                <w:bCs/>
                <w:sz w:val="18"/>
                <w:szCs w:val="18"/>
                <w:lang w:val="en-GB"/>
              </w:rPr>
              <w:t>Phenotype</w:t>
            </w:r>
          </w:p>
        </w:tc>
        <w:tc>
          <w:tcPr>
            <w:tcW w:w="999" w:type="dxa"/>
            <w:tcBorders>
              <w:top w:val="nil"/>
              <w:bottom w:val="single" w:sz="4" w:space="0" w:color="auto"/>
            </w:tcBorders>
            <w:vAlign w:val="center"/>
          </w:tcPr>
          <w:p w14:paraId="32BEECF7" w14:textId="7ECB31A2" w:rsidR="00600F92" w:rsidRPr="004C32D2" w:rsidRDefault="00600F92" w:rsidP="00600F92">
            <w:pPr>
              <w:jc w:val="center"/>
              <w:rPr>
                <w:b/>
                <w:bCs/>
                <w:sz w:val="18"/>
                <w:szCs w:val="18"/>
                <w:lang w:val="en-GB"/>
              </w:rPr>
            </w:pPr>
            <w:r>
              <w:rPr>
                <w:b/>
                <w:bCs/>
                <w:sz w:val="18"/>
                <w:szCs w:val="18"/>
                <w:lang w:val="en-GB"/>
              </w:rPr>
              <w:t>No. tested</w:t>
            </w:r>
          </w:p>
        </w:tc>
        <w:tc>
          <w:tcPr>
            <w:tcW w:w="921" w:type="dxa"/>
            <w:tcBorders>
              <w:top w:val="nil"/>
              <w:bottom w:val="single" w:sz="4" w:space="0" w:color="auto"/>
            </w:tcBorders>
            <w:vAlign w:val="center"/>
          </w:tcPr>
          <w:p w14:paraId="61959C44" w14:textId="717C4CC1" w:rsidR="00600F92" w:rsidRPr="004C32D2" w:rsidRDefault="00600F92" w:rsidP="00600F92">
            <w:pPr>
              <w:jc w:val="center"/>
              <w:rPr>
                <w:b/>
                <w:bCs/>
                <w:sz w:val="18"/>
                <w:szCs w:val="18"/>
                <w:lang w:val="en-GB"/>
              </w:rPr>
            </w:pPr>
            <w:r w:rsidRPr="004C32D2">
              <w:rPr>
                <w:b/>
                <w:bCs/>
                <w:sz w:val="18"/>
                <w:szCs w:val="18"/>
                <w:lang w:val="en-GB"/>
              </w:rPr>
              <w:t>No. signif</w:t>
            </w:r>
          </w:p>
        </w:tc>
        <w:tc>
          <w:tcPr>
            <w:tcW w:w="922" w:type="dxa"/>
            <w:tcBorders>
              <w:top w:val="nil"/>
              <w:bottom w:val="single" w:sz="4" w:space="0" w:color="auto"/>
            </w:tcBorders>
            <w:vAlign w:val="center"/>
          </w:tcPr>
          <w:p w14:paraId="4398DA0F" w14:textId="48996ADE" w:rsidR="00600F92" w:rsidRPr="004C32D2" w:rsidRDefault="00600F92" w:rsidP="00600F92">
            <w:pPr>
              <w:jc w:val="center"/>
              <w:rPr>
                <w:b/>
                <w:bCs/>
                <w:sz w:val="18"/>
                <w:szCs w:val="18"/>
                <w:lang w:val="en-GB"/>
              </w:rPr>
            </w:pPr>
            <w:r w:rsidRPr="004C32D2">
              <w:rPr>
                <w:b/>
                <w:bCs/>
                <w:sz w:val="18"/>
                <w:szCs w:val="18"/>
                <w:lang w:val="en-GB"/>
              </w:rPr>
              <w:t>% signif.</w:t>
            </w:r>
          </w:p>
        </w:tc>
        <w:tc>
          <w:tcPr>
            <w:tcW w:w="921" w:type="dxa"/>
            <w:tcBorders>
              <w:top w:val="nil"/>
              <w:bottom w:val="single" w:sz="4" w:space="0" w:color="auto"/>
            </w:tcBorders>
            <w:vAlign w:val="center"/>
          </w:tcPr>
          <w:p w14:paraId="59F246DE" w14:textId="294C6BD5" w:rsidR="00600F92" w:rsidRPr="004C32D2" w:rsidRDefault="00600F92" w:rsidP="00600F92">
            <w:pPr>
              <w:jc w:val="center"/>
              <w:rPr>
                <w:b/>
                <w:bCs/>
                <w:sz w:val="18"/>
                <w:szCs w:val="18"/>
                <w:lang w:val="en-GB"/>
              </w:rPr>
            </w:pPr>
            <w:r w:rsidRPr="004C32D2">
              <w:rPr>
                <w:b/>
                <w:bCs/>
                <w:sz w:val="18"/>
                <w:szCs w:val="18"/>
                <w:lang w:val="en-GB"/>
              </w:rPr>
              <w:t>No. signif</w:t>
            </w:r>
          </w:p>
        </w:tc>
        <w:tc>
          <w:tcPr>
            <w:tcW w:w="922" w:type="dxa"/>
            <w:tcBorders>
              <w:top w:val="nil"/>
              <w:bottom w:val="single" w:sz="4" w:space="0" w:color="auto"/>
            </w:tcBorders>
            <w:vAlign w:val="center"/>
          </w:tcPr>
          <w:p w14:paraId="3E958F2F" w14:textId="73D1900F" w:rsidR="00600F92" w:rsidRPr="004C32D2" w:rsidRDefault="00600F92" w:rsidP="00600F92">
            <w:pPr>
              <w:jc w:val="center"/>
              <w:rPr>
                <w:b/>
                <w:bCs/>
                <w:sz w:val="18"/>
                <w:szCs w:val="18"/>
                <w:lang w:val="en-GB"/>
              </w:rPr>
            </w:pPr>
            <w:r w:rsidRPr="004C32D2">
              <w:rPr>
                <w:b/>
                <w:bCs/>
                <w:sz w:val="18"/>
                <w:szCs w:val="18"/>
                <w:lang w:val="en-GB"/>
              </w:rPr>
              <w:t>% signif.</w:t>
            </w:r>
          </w:p>
        </w:tc>
        <w:tc>
          <w:tcPr>
            <w:tcW w:w="1126" w:type="dxa"/>
            <w:tcBorders>
              <w:top w:val="nil"/>
              <w:bottom w:val="single" w:sz="4" w:space="0" w:color="auto"/>
            </w:tcBorders>
            <w:vAlign w:val="bottom"/>
          </w:tcPr>
          <w:p w14:paraId="0AA2E46E" w14:textId="65E010C0" w:rsidR="00600F92" w:rsidRPr="004C32D2" w:rsidRDefault="00600F92" w:rsidP="00600F92">
            <w:pPr>
              <w:jc w:val="center"/>
              <w:rPr>
                <w:b/>
                <w:bCs/>
                <w:sz w:val="18"/>
                <w:szCs w:val="18"/>
                <w:lang w:val="en-GB"/>
              </w:rPr>
            </w:pPr>
            <w:r>
              <w:rPr>
                <w:b/>
                <w:bCs/>
                <w:sz w:val="18"/>
                <w:szCs w:val="18"/>
                <w:lang w:val="en-GB"/>
              </w:rPr>
              <w:t>No. tested</w:t>
            </w:r>
          </w:p>
        </w:tc>
        <w:tc>
          <w:tcPr>
            <w:tcW w:w="921" w:type="dxa"/>
            <w:tcBorders>
              <w:top w:val="nil"/>
              <w:bottom w:val="single" w:sz="4" w:space="0" w:color="auto"/>
            </w:tcBorders>
            <w:vAlign w:val="center"/>
          </w:tcPr>
          <w:p w14:paraId="26220816" w14:textId="281A1E92" w:rsidR="00600F92" w:rsidRPr="004C32D2" w:rsidRDefault="00600F92" w:rsidP="00600F92">
            <w:pPr>
              <w:jc w:val="center"/>
              <w:rPr>
                <w:b/>
                <w:bCs/>
                <w:sz w:val="18"/>
                <w:szCs w:val="18"/>
                <w:lang w:val="en-GB"/>
              </w:rPr>
            </w:pPr>
            <w:r w:rsidRPr="004C32D2">
              <w:rPr>
                <w:b/>
                <w:bCs/>
                <w:sz w:val="18"/>
                <w:szCs w:val="18"/>
                <w:lang w:val="en-GB"/>
              </w:rPr>
              <w:t>No. signif</w:t>
            </w:r>
          </w:p>
        </w:tc>
        <w:tc>
          <w:tcPr>
            <w:tcW w:w="922" w:type="dxa"/>
            <w:tcBorders>
              <w:top w:val="nil"/>
              <w:bottom w:val="single" w:sz="4" w:space="0" w:color="auto"/>
            </w:tcBorders>
            <w:vAlign w:val="center"/>
          </w:tcPr>
          <w:p w14:paraId="029CE958" w14:textId="3F9DDE1C" w:rsidR="00600F92" w:rsidRPr="004C32D2" w:rsidRDefault="00600F92" w:rsidP="00600F92">
            <w:pPr>
              <w:jc w:val="center"/>
              <w:rPr>
                <w:b/>
                <w:bCs/>
                <w:sz w:val="18"/>
                <w:szCs w:val="18"/>
                <w:lang w:val="en-GB"/>
              </w:rPr>
            </w:pPr>
            <w:r w:rsidRPr="004C32D2">
              <w:rPr>
                <w:b/>
                <w:bCs/>
                <w:sz w:val="18"/>
                <w:szCs w:val="18"/>
                <w:lang w:val="en-GB"/>
              </w:rPr>
              <w:t>% signif.</w:t>
            </w:r>
          </w:p>
        </w:tc>
        <w:tc>
          <w:tcPr>
            <w:tcW w:w="921" w:type="dxa"/>
            <w:tcBorders>
              <w:top w:val="nil"/>
              <w:bottom w:val="single" w:sz="4" w:space="0" w:color="auto"/>
            </w:tcBorders>
            <w:vAlign w:val="center"/>
          </w:tcPr>
          <w:p w14:paraId="58B09508" w14:textId="453A6246" w:rsidR="00600F92" w:rsidRPr="004C32D2" w:rsidRDefault="00600F92" w:rsidP="00600F92">
            <w:pPr>
              <w:jc w:val="center"/>
              <w:rPr>
                <w:b/>
                <w:bCs/>
                <w:sz w:val="18"/>
                <w:szCs w:val="18"/>
                <w:lang w:val="en-GB"/>
              </w:rPr>
            </w:pPr>
            <w:r w:rsidRPr="004C32D2">
              <w:rPr>
                <w:b/>
                <w:bCs/>
                <w:sz w:val="18"/>
                <w:szCs w:val="18"/>
                <w:lang w:val="en-GB"/>
              </w:rPr>
              <w:t>No. signif</w:t>
            </w:r>
          </w:p>
        </w:tc>
        <w:tc>
          <w:tcPr>
            <w:tcW w:w="922" w:type="dxa"/>
            <w:tcBorders>
              <w:top w:val="nil"/>
              <w:bottom w:val="single" w:sz="4" w:space="0" w:color="auto"/>
            </w:tcBorders>
            <w:vAlign w:val="center"/>
          </w:tcPr>
          <w:p w14:paraId="0952395D" w14:textId="6BD8FD1B" w:rsidR="00600F92" w:rsidRPr="004C32D2" w:rsidRDefault="00600F92" w:rsidP="00600F92">
            <w:pPr>
              <w:jc w:val="center"/>
              <w:rPr>
                <w:b/>
                <w:bCs/>
                <w:sz w:val="18"/>
                <w:szCs w:val="18"/>
                <w:lang w:val="en-GB"/>
              </w:rPr>
            </w:pPr>
            <w:r w:rsidRPr="004C32D2">
              <w:rPr>
                <w:b/>
                <w:bCs/>
                <w:sz w:val="18"/>
                <w:szCs w:val="18"/>
                <w:lang w:val="en-GB"/>
              </w:rPr>
              <w:t>% signif.</w:t>
            </w:r>
          </w:p>
        </w:tc>
      </w:tr>
      <w:tr w:rsidR="00600F92" w14:paraId="799F1717" w14:textId="77777777" w:rsidTr="00600F92">
        <w:tc>
          <w:tcPr>
            <w:tcW w:w="1986" w:type="dxa"/>
            <w:tcBorders>
              <w:top w:val="single" w:sz="4" w:space="0" w:color="auto"/>
            </w:tcBorders>
          </w:tcPr>
          <w:p w14:paraId="77B6102F" w14:textId="65C9BF34" w:rsidR="00600F92" w:rsidRPr="001760D2" w:rsidRDefault="00600F92" w:rsidP="00600F92">
            <w:pPr>
              <w:rPr>
                <w:sz w:val="18"/>
                <w:szCs w:val="18"/>
                <w:lang w:val="en-GB"/>
              </w:rPr>
            </w:pPr>
            <w:r>
              <w:rPr>
                <w:sz w:val="18"/>
                <w:szCs w:val="18"/>
                <w:lang w:val="en-GB"/>
              </w:rPr>
              <w:t>BMI</w:t>
            </w:r>
          </w:p>
        </w:tc>
        <w:tc>
          <w:tcPr>
            <w:tcW w:w="999" w:type="dxa"/>
            <w:tcBorders>
              <w:top w:val="single" w:sz="4" w:space="0" w:color="auto"/>
            </w:tcBorders>
            <w:vAlign w:val="center"/>
          </w:tcPr>
          <w:p w14:paraId="1E97E432" w14:textId="5778F976" w:rsidR="00600F92" w:rsidRPr="001760D2" w:rsidRDefault="00600F92" w:rsidP="00600F92">
            <w:pPr>
              <w:jc w:val="center"/>
              <w:rPr>
                <w:sz w:val="18"/>
                <w:szCs w:val="18"/>
                <w:lang w:val="en-GB"/>
              </w:rPr>
            </w:pPr>
            <w:r>
              <w:rPr>
                <w:sz w:val="18"/>
                <w:szCs w:val="18"/>
                <w:lang w:val="en-GB"/>
              </w:rPr>
              <w:t>84,567</w:t>
            </w:r>
          </w:p>
        </w:tc>
        <w:tc>
          <w:tcPr>
            <w:tcW w:w="921" w:type="dxa"/>
            <w:tcBorders>
              <w:top w:val="single" w:sz="4" w:space="0" w:color="auto"/>
            </w:tcBorders>
            <w:vAlign w:val="center"/>
          </w:tcPr>
          <w:p w14:paraId="441A153A" w14:textId="452E18AC" w:rsidR="00600F92" w:rsidRPr="001760D2" w:rsidRDefault="00600F92" w:rsidP="00600F92">
            <w:pPr>
              <w:jc w:val="center"/>
              <w:rPr>
                <w:sz w:val="18"/>
                <w:szCs w:val="18"/>
                <w:lang w:val="en-GB"/>
              </w:rPr>
            </w:pPr>
            <w:r>
              <w:rPr>
                <w:sz w:val="18"/>
                <w:szCs w:val="18"/>
                <w:lang w:val="en-GB"/>
              </w:rPr>
              <w:t>1,948</w:t>
            </w:r>
          </w:p>
        </w:tc>
        <w:tc>
          <w:tcPr>
            <w:tcW w:w="922" w:type="dxa"/>
            <w:tcBorders>
              <w:top w:val="single" w:sz="4" w:space="0" w:color="auto"/>
            </w:tcBorders>
            <w:vAlign w:val="center"/>
          </w:tcPr>
          <w:p w14:paraId="37AD1B5A" w14:textId="74825D0E" w:rsidR="00600F92" w:rsidRPr="001760D2" w:rsidRDefault="00600F92" w:rsidP="00600F92">
            <w:pPr>
              <w:jc w:val="center"/>
              <w:rPr>
                <w:sz w:val="18"/>
                <w:szCs w:val="18"/>
                <w:lang w:val="en-GB"/>
              </w:rPr>
            </w:pPr>
            <w:r>
              <w:rPr>
                <w:sz w:val="18"/>
                <w:szCs w:val="18"/>
                <w:lang w:val="en-GB"/>
              </w:rPr>
              <w:t>2.30</w:t>
            </w:r>
          </w:p>
        </w:tc>
        <w:tc>
          <w:tcPr>
            <w:tcW w:w="921" w:type="dxa"/>
            <w:tcBorders>
              <w:top w:val="single" w:sz="4" w:space="0" w:color="auto"/>
            </w:tcBorders>
            <w:vAlign w:val="center"/>
          </w:tcPr>
          <w:p w14:paraId="06FF17E7" w14:textId="476DF827" w:rsidR="00600F92" w:rsidRPr="001760D2" w:rsidRDefault="00600F92" w:rsidP="00600F92">
            <w:pPr>
              <w:jc w:val="center"/>
              <w:rPr>
                <w:sz w:val="18"/>
                <w:szCs w:val="18"/>
                <w:lang w:val="en-GB"/>
              </w:rPr>
            </w:pPr>
            <w:r>
              <w:rPr>
                <w:sz w:val="18"/>
                <w:szCs w:val="18"/>
                <w:lang w:val="en-GB"/>
              </w:rPr>
              <w:t>1,218</w:t>
            </w:r>
          </w:p>
        </w:tc>
        <w:tc>
          <w:tcPr>
            <w:tcW w:w="922" w:type="dxa"/>
            <w:tcBorders>
              <w:top w:val="single" w:sz="4" w:space="0" w:color="auto"/>
            </w:tcBorders>
            <w:vAlign w:val="center"/>
          </w:tcPr>
          <w:p w14:paraId="0344A1FC" w14:textId="04492530" w:rsidR="00600F92" w:rsidRPr="001760D2" w:rsidRDefault="00600F92" w:rsidP="00600F92">
            <w:pPr>
              <w:jc w:val="center"/>
              <w:rPr>
                <w:sz w:val="18"/>
                <w:szCs w:val="18"/>
                <w:lang w:val="en-GB"/>
              </w:rPr>
            </w:pPr>
            <w:r>
              <w:rPr>
                <w:sz w:val="18"/>
                <w:szCs w:val="18"/>
                <w:lang w:val="en-GB"/>
              </w:rPr>
              <w:t>4.90</w:t>
            </w:r>
          </w:p>
        </w:tc>
        <w:tc>
          <w:tcPr>
            <w:tcW w:w="1126" w:type="dxa"/>
            <w:tcBorders>
              <w:top w:val="single" w:sz="4" w:space="0" w:color="auto"/>
            </w:tcBorders>
            <w:vAlign w:val="center"/>
          </w:tcPr>
          <w:p w14:paraId="7B06E256" w14:textId="5DCA2623" w:rsidR="00600F92" w:rsidRPr="001760D2" w:rsidRDefault="00600F92" w:rsidP="00600F92">
            <w:pPr>
              <w:jc w:val="center"/>
              <w:rPr>
                <w:sz w:val="18"/>
                <w:szCs w:val="18"/>
                <w:lang w:val="en-GB"/>
              </w:rPr>
            </w:pPr>
            <w:r>
              <w:rPr>
                <w:sz w:val="18"/>
                <w:szCs w:val="18"/>
                <w:lang w:val="en-GB"/>
              </w:rPr>
              <w:t>95,763</w:t>
            </w:r>
          </w:p>
        </w:tc>
        <w:tc>
          <w:tcPr>
            <w:tcW w:w="921" w:type="dxa"/>
            <w:tcBorders>
              <w:top w:val="single" w:sz="4" w:space="0" w:color="auto"/>
            </w:tcBorders>
            <w:vAlign w:val="center"/>
          </w:tcPr>
          <w:p w14:paraId="5225FA60" w14:textId="5C35C551" w:rsidR="00600F92" w:rsidRPr="001760D2" w:rsidRDefault="00600F92" w:rsidP="00600F92">
            <w:pPr>
              <w:jc w:val="center"/>
              <w:rPr>
                <w:sz w:val="18"/>
                <w:szCs w:val="18"/>
                <w:lang w:val="en-GB"/>
              </w:rPr>
            </w:pPr>
            <w:r>
              <w:rPr>
                <w:sz w:val="18"/>
                <w:szCs w:val="18"/>
                <w:lang w:val="en-GB"/>
              </w:rPr>
              <w:t>1,175</w:t>
            </w:r>
          </w:p>
        </w:tc>
        <w:tc>
          <w:tcPr>
            <w:tcW w:w="922" w:type="dxa"/>
            <w:tcBorders>
              <w:top w:val="single" w:sz="4" w:space="0" w:color="auto"/>
            </w:tcBorders>
            <w:vAlign w:val="center"/>
          </w:tcPr>
          <w:p w14:paraId="16030C78" w14:textId="3E8C5F6A" w:rsidR="00600F92" w:rsidRPr="001760D2" w:rsidRDefault="00600F92" w:rsidP="00600F92">
            <w:pPr>
              <w:jc w:val="center"/>
              <w:rPr>
                <w:sz w:val="18"/>
                <w:szCs w:val="18"/>
                <w:lang w:val="en-GB"/>
              </w:rPr>
            </w:pPr>
            <w:r>
              <w:rPr>
                <w:sz w:val="18"/>
                <w:szCs w:val="18"/>
                <w:lang w:val="en-GB"/>
              </w:rPr>
              <w:t>1.23</w:t>
            </w:r>
          </w:p>
        </w:tc>
        <w:tc>
          <w:tcPr>
            <w:tcW w:w="921" w:type="dxa"/>
            <w:tcBorders>
              <w:top w:val="single" w:sz="4" w:space="0" w:color="auto"/>
            </w:tcBorders>
            <w:vAlign w:val="center"/>
          </w:tcPr>
          <w:p w14:paraId="0E021809" w14:textId="59449A10" w:rsidR="00600F92" w:rsidRPr="001760D2" w:rsidRDefault="00600F92" w:rsidP="00600F92">
            <w:pPr>
              <w:jc w:val="center"/>
              <w:rPr>
                <w:sz w:val="18"/>
                <w:szCs w:val="18"/>
                <w:lang w:val="en-GB"/>
              </w:rPr>
            </w:pPr>
            <w:r>
              <w:rPr>
                <w:sz w:val="18"/>
                <w:szCs w:val="18"/>
                <w:lang w:val="en-GB"/>
              </w:rPr>
              <w:t>922</w:t>
            </w:r>
          </w:p>
        </w:tc>
        <w:tc>
          <w:tcPr>
            <w:tcW w:w="922" w:type="dxa"/>
            <w:tcBorders>
              <w:top w:val="single" w:sz="4" w:space="0" w:color="auto"/>
            </w:tcBorders>
            <w:vAlign w:val="center"/>
          </w:tcPr>
          <w:p w14:paraId="0160CCD7" w14:textId="551D0AE6" w:rsidR="00600F92" w:rsidRPr="001760D2" w:rsidRDefault="00600F92" w:rsidP="00600F92">
            <w:pPr>
              <w:jc w:val="center"/>
              <w:rPr>
                <w:sz w:val="18"/>
                <w:szCs w:val="18"/>
                <w:lang w:val="en-GB"/>
              </w:rPr>
            </w:pPr>
            <w:r>
              <w:rPr>
                <w:sz w:val="18"/>
                <w:szCs w:val="18"/>
                <w:lang w:val="en-GB"/>
              </w:rPr>
              <w:t>3.71</w:t>
            </w:r>
          </w:p>
        </w:tc>
      </w:tr>
      <w:tr w:rsidR="00600F92" w14:paraId="2A74A7F2" w14:textId="77777777" w:rsidTr="00600F92">
        <w:tc>
          <w:tcPr>
            <w:tcW w:w="1986" w:type="dxa"/>
          </w:tcPr>
          <w:p w14:paraId="6745B608" w14:textId="7409C1DB" w:rsidR="00600F92" w:rsidRPr="001760D2" w:rsidRDefault="00600F92" w:rsidP="00600F92">
            <w:pPr>
              <w:rPr>
                <w:sz w:val="18"/>
                <w:szCs w:val="18"/>
                <w:lang w:val="en-GB"/>
              </w:rPr>
            </w:pPr>
            <w:r>
              <w:rPr>
                <w:sz w:val="18"/>
                <w:szCs w:val="18"/>
                <w:lang w:val="en-GB"/>
              </w:rPr>
              <w:t>Blood pressure</w:t>
            </w:r>
          </w:p>
        </w:tc>
        <w:tc>
          <w:tcPr>
            <w:tcW w:w="999" w:type="dxa"/>
            <w:vAlign w:val="center"/>
          </w:tcPr>
          <w:p w14:paraId="78652CD7" w14:textId="3EFF3325" w:rsidR="00600F92" w:rsidRPr="001760D2" w:rsidRDefault="00600F92" w:rsidP="00600F92">
            <w:pPr>
              <w:jc w:val="center"/>
              <w:rPr>
                <w:sz w:val="18"/>
                <w:szCs w:val="18"/>
                <w:lang w:val="en-GB"/>
              </w:rPr>
            </w:pPr>
            <w:r>
              <w:rPr>
                <w:sz w:val="18"/>
                <w:szCs w:val="18"/>
                <w:lang w:val="en-GB"/>
              </w:rPr>
              <w:t>54,622</w:t>
            </w:r>
          </w:p>
        </w:tc>
        <w:tc>
          <w:tcPr>
            <w:tcW w:w="921" w:type="dxa"/>
            <w:vAlign w:val="center"/>
          </w:tcPr>
          <w:p w14:paraId="5C762F70" w14:textId="156053A3" w:rsidR="00600F92" w:rsidRPr="001760D2" w:rsidRDefault="00600F92" w:rsidP="00600F92">
            <w:pPr>
              <w:jc w:val="center"/>
              <w:rPr>
                <w:sz w:val="18"/>
                <w:szCs w:val="18"/>
                <w:lang w:val="en-GB"/>
              </w:rPr>
            </w:pPr>
            <w:r>
              <w:rPr>
                <w:sz w:val="18"/>
                <w:szCs w:val="18"/>
                <w:lang w:val="en-GB"/>
              </w:rPr>
              <w:t>687</w:t>
            </w:r>
          </w:p>
        </w:tc>
        <w:tc>
          <w:tcPr>
            <w:tcW w:w="922" w:type="dxa"/>
            <w:vAlign w:val="center"/>
          </w:tcPr>
          <w:p w14:paraId="3D06B4ED" w14:textId="4DC7BD69" w:rsidR="00600F92" w:rsidRPr="001760D2" w:rsidRDefault="00600F92" w:rsidP="00600F92">
            <w:pPr>
              <w:jc w:val="center"/>
              <w:rPr>
                <w:sz w:val="18"/>
                <w:szCs w:val="18"/>
                <w:lang w:val="en-GB"/>
              </w:rPr>
            </w:pPr>
            <w:r>
              <w:rPr>
                <w:sz w:val="18"/>
                <w:szCs w:val="18"/>
                <w:lang w:val="en-GB"/>
              </w:rPr>
              <w:t>1.26</w:t>
            </w:r>
          </w:p>
        </w:tc>
        <w:tc>
          <w:tcPr>
            <w:tcW w:w="921" w:type="dxa"/>
            <w:vAlign w:val="center"/>
          </w:tcPr>
          <w:p w14:paraId="4557CEC0" w14:textId="402E62C7" w:rsidR="00600F92" w:rsidRPr="001760D2" w:rsidRDefault="00600F92" w:rsidP="00600F92">
            <w:pPr>
              <w:jc w:val="center"/>
              <w:rPr>
                <w:sz w:val="18"/>
                <w:szCs w:val="18"/>
                <w:lang w:val="en-GB"/>
              </w:rPr>
            </w:pPr>
            <w:r>
              <w:rPr>
                <w:sz w:val="18"/>
                <w:szCs w:val="18"/>
                <w:lang w:val="en-GB"/>
              </w:rPr>
              <w:t>477</w:t>
            </w:r>
          </w:p>
        </w:tc>
        <w:tc>
          <w:tcPr>
            <w:tcW w:w="922" w:type="dxa"/>
            <w:vAlign w:val="center"/>
          </w:tcPr>
          <w:p w14:paraId="54A36FBE" w14:textId="0E10A3DA" w:rsidR="00600F92" w:rsidRPr="001760D2" w:rsidRDefault="00600F92" w:rsidP="00600F92">
            <w:pPr>
              <w:jc w:val="center"/>
              <w:rPr>
                <w:sz w:val="18"/>
                <w:szCs w:val="18"/>
                <w:lang w:val="en-GB"/>
              </w:rPr>
            </w:pPr>
            <w:r>
              <w:rPr>
                <w:sz w:val="18"/>
                <w:szCs w:val="18"/>
                <w:lang w:val="en-GB"/>
              </w:rPr>
              <w:t>1.92</w:t>
            </w:r>
          </w:p>
        </w:tc>
        <w:tc>
          <w:tcPr>
            <w:tcW w:w="1126" w:type="dxa"/>
            <w:vAlign w:val="center"/>
          </w:tcPr>
          <w:p w14:paraId="1D02BD9E" w14:textId="2741B60E" w:rsidR="00600F92" w:rsidRPr="001760D2" w:rsidRDefault="00600F92" w:rsidP="00600F92">
            <w:pPr>
              <w:jc w:val="center"/>
              <w:rPr>
                <w:sz w:val="18"/>
                <w:szCs w:val="18"/>
                <w:lang w:val="en-GB"/>
              </w:rPr>
            </w:pPr>
            <w:r>
              <w:rPr>
                <w:sz w:val="18"/>
                <w:szCs w:val="18"/>
                <w:lang w:val="en-GB"/>
              </w:rPr>
              <w:t>37,475</w:t>
            </w:r>
          </w:p>
        </w:tc>
        <w:tc>
          <w:tcPr>
            <w:tcW w:w="921" w:type="dxa"/>
            <w:vAlign w:val="center"/>
          </w:tcPr>
          <w:p w14:paraId="0D3117F7" w14:textId="441C0CD3" w:rsidR="00600F92" w:rsidRPr="001760D2" w:rsidRDefault="00600F92" w:rsidP="00600F92">
            <w:pPr>
              <w:jc w:val="center"/>
              <w:rPr>
                <w:sz w:val="18"/>
                <w:szCs w:val="18"/>
                <w:lang w:val="en-GB"/>
              </w:rPr>
            </w:pPr>
            <w:r>
              <w:rPr>
                <w:sz w:val="18"/>
                <w:szCs w:val="18"/>
                <w:lang w:val="en-GB"/>
              </w:rPr>
              <w:t>188</w:t>
            </w:r>
          </w:p>
        </w:tc>
        <w:tc>
          <w:tcPr>
            <w:tcW w:w="922" w:type="dxa"/>
            <w:vAlign w:val="center"/>
          </w:tcPr>
          <w:p w14:paraId="2F710FBC" w14:textId="39711AFF" w:rsidR="00600F92" w:rsidRPr="001760D2" w:rsidRDefault="00600F92" w:rsidP="00600F92">
            <w:pPr>
              <w:jc w:val="center"/>
              <w:rPr>
                <w:sz w:val="18"/>
                <w:szCs w:val="18"/>
                <w:lang w:val="en-GB"/>
              </w:rPr>
            </w:pPr>
            <w:r>
              <w:rPr>
                <w:sz w:val="18"/>
                <w:szCs w:val="18"/>
                <w:lang w:val="en-GB"/>
              </w:rPr>
              <w:t>0.50</w:t>
            </w:r>
          </w:p>
        </w:tc>
        <w:tc>
          <w:tcPr>
            <w:tcW w:w="921" w:type="dxa"/>
            <w:vAlign w:val="center"/>
          </w:tcPr>
          <w:p w14:paraId="1F757132" w14:textId="0D56D5AD" w:rsidR="00600F92" w:rsidRPr="001760D2" w:rsidRDefault="00600F92" w:rsidP="00600F92">
            <w:pPr>
              <w:jc w:val="center"/>
              <w:rPr>
                <w:sz w:val="18"/>
                <w:szCs w:val="18"/>
                <w:lang w:val="en-GB"/>
              </w:rPr>
            </w:pPr>
            <w:r>
              <w:rPr>
                <w:sz w:val="18"/>
                <w:szCs w:val="18"/>
                <w:lang w:val="en-GB"/>
              </w:rPr>
              <w:t>170</w:t>
            </w:r>
          </w:p>
        </w:tc>
        <w:tc>
          <w:tcPr>
            <w:tcW w:w="922" w:type="dxa"/>
            <w:vAlign w:val="center"/>
          </w:tcPr>
          <w:p w14:paraId="77845318" w14:textId="3477B181" w:rsidR="00600F92" w:rsidRPr="001760D2" w:rsidRDefault="00600F92" w:rsidP="00600F92">
            <w:pPr>
              <w:jc w:val="center"/>
              <w:rPr>
                <w:sz w:val="18"/>
                <w:szCs w:val="18"/>
                <w:lang w:val="en-GB"/>
              </w:rPr>
            </w:pPr>
            <w:r>
              <w:rPr>
                <w:sz w:val="18"/>
                <w:szCs w:val="18"/>
                <w:lang w:val="en-GB"/>
              </w:rPr>
              <w:t>0.68</w:t>
            </w:r>
          </w:p>
        </w:tc>
      </w:tr>
      <w:tr w:rsidR="00600F92" w14:paraId="6F6D77AC" w14:textId="77777777" w:rsidTr="00600F92">
        <w:tc>
          <w:tcPr>
            <w:tcW w:w="1986" w:type="dxa"/>
          </w:tcPr>
          <w:p w14:paraId="585BBBDD" w14:textId="55583A45" w:rsidR="00600F92" w:rsidRPr="001760D2" w:rsidRDefault="00600F92" w:rsidP="00600F92">
            <w:pPr>
              <w:rPr>
                <w:sz w:val="18"/>
                <w:szCs w:val="18"/>
                <w:lang w:val="en-GB"/>
              </w:rPr>
            </w:pPr>
            <w:r>
              <w:rPr>
                <w:sz w:val="18"/>
                <w:szCs w:val="18"/>
                <w:lang w:val="en-GB"/>
              </w:rPr>
              <w:t>Diabetes</w:t>
            </w:r>
          </w:p>
        </w:tc>
        <w:tc>
          <w:tcPr>
            <w:tcW w:w="999" w:type="dxa"/>
            <w:vAlign w:val="center"/>
          </w:tcPr>
          <w:p w14:paraId="5242FC07" w14:textId="5AE35F1B" w:rsidR="00600F92" w:rsidRPr="001760D2" w:rsidRDefault="00600F92" w:rsidP="00600F92">
            <w:pPr>
              <w:jc w:val="center"/>
              <w:rPr>
                <w:sz w:val="18"/>
                <w:szCs w:val="18"/>
                <w:lang w:val="en-GB"/>
              </w:rPr>
            </w:pPr>
            <w:r>
              <w:rPr>
                <w:sz w:val="18"/>
                <w:szCs w:val="18"/>
                <w:lang w:val="en-GB"/>
              </w:rPr>
              <w:t>18,967</w:t>
            </w:r>
          </w:p>
        </w:tc>
        <w:tc>
          <w:tcPr>
            <w:tcW w:w="921" w:type="dxa"/>
            <w:vAlign w:val="center"/>
          </w:tcPr>
          <w:p w14:paraId="6ECB8436" w14:textId="0DF7EE15" w:rsidR="00600F92" w:rsidRPr="001760D2" w:rsidRDefault="00600F92" w:rsidP="00600F92">
            <w:pPr>
              <w:jc w:val="center"/>
              <w:rPr>
                <w:sz w:val="18"/>
                <w:szCs w:val="18"/>
                <w:lang w:val="en-GB"/>
              </w:rPr>
            </w:pPr>
            <w:r>
              <w:rPr>
                <w:sz w:val="18"/>
                <w:szCs w:val="18"/>
                <w:lang w:val="en-GB"/>
              </w:rPr>
              <w:t>290</w:t>
            </w:r>
          </w:p>
        </w:tc>
        <w:tc>
          <w:tcPr>
            <w:tcW w:w="922" w:type="dxa"/>
            <w:vAlign w:val="center"/>
          </w:tcPr>
          <w:p w14:paraId="109C0C7F" w14:textId="5F03C97F" w:rsidR="00600F92" w:rsidRPr="001760D2" w:rsidRDefault="00600F92" w:rsidP="00600F92">
            <w:pPr>
              <w:jc w:val="center"/>
              <w:rPr>
                <w:sz w:val="18"/>
                <w:szCs w:val="18"/>
                <w:lang w:val="en-GB"/>
              </w:rPr>
            </w:pPr>
            <w:r>
              <w:rPr>
                <w:sz w:val="18"/>
                <w:szCs w:val="18"/>
                <w:lang w:val="en-GB"/>
              </w:rPr>
              <w:t>1.53</w:t>
            </w:r>
          </w:p>
        </w:tc>
        <w:tc>
          <w:tcPr>
            <w:tcW w:w="921" w:type="dxa"/>
            <w:vAlign w:val="center"/>
          </w:tcPr>
          <w:p w14:paraId="4D9827CC" w14:textId="0E9ECA15" w:rsidR="00600F92" w:rsidRPr="001760D2" w:rsidRDefault="00600F92" w:rsidP="00600F92">
            <w:pPr>
              <w:jc w:val="center"/>
              <w:rPr>
                <w:sz w:val="18"/>
                <w:szCs w:val="18"/>
                <w:lang w:val="en-GB"/>
              </w:rPr>
            </w:pPr>
            <w:r>
              <w:rPr>
                <w:sz w:val="18"/>
                <w:szCs w:val="18"/>
                <w:lang w:val="en-GB"/>
              </w:rPr>
              <w:t>189</w:t>
            </w:r>
          </w:p>
        </w:tc>
        <w:tc>
          <w:tcPr>
            <w:tcW w:w="922" w:type="dxa"/>
            <w:vAlign w:val="center"/>
          </w:tcPr>
          <w:p w14:paraId="613B97C5" w14:textId="33FA21F3" w:rsidR="00600F92" w:rsidRPr="001760D2" w:rsidRDefault="00600F92" w:rsidP="00600F92">
            <w:pPr>
              <w:jc w:val="center"/>
              <w:rPr>
                <w:sz w:val="18"/>
                <w:szCs w:val="18"/>
                <w:lang w:val="en-GB"/>
              </w:rPr>
            </w:pPr>
            <w:r>
              <w:rPr>
                <w:sz w:val="18"/>
                <w:szCs w:val="18"/>
                <w:lang w:val="en-GB"/>
              </w:rPr>
              <w:t>0.76</w:t>
            </w:r>
          </w:p>
        </w:tc>
        <w:tc>
          <w:tcPr>
            <w:tcW w:w="1126" w:type="dxa"/>
            <w:vAlign w:val="center"/>
          </w:tcPr>
          <w:p w14:paraId="463A5887" w14:textId="63C77977" w:rsidR="00600F92" w:rsidRPr="001760D2" w:rsidRDefault="00600F92" w:rsidP="00600F92">
            <w:pPr>
              <w:jc w:val="center"/>
              <w:rPr>
                <w:sz w:val="18"/>
                <w:szCs w:val="18"/>
                <w:lang w:val="en-GB"/>
              </w:rPr>
            </w:pPr>
            <w:r>
              <w:rPr>
                <w:sz w:val="18"/>
                <w:szCs w:val="18"/>
                <w:lang w:val="en-GB"/>
              </w:rPr>
              <w:t>7,551</w:t>
            </w:r>
          </w:p>
        </w:tc>
        <w:tc>
          <w:tcPr>
            <w:tcW w:w="921" w:type="dxa"/>
            <w:vAlign w:val="center"/>
          </w:tcPr>
          <w:p w14:paraId="47630577" w14:textId="6B241E87" w:rsidR="00600F92" w:rsidRPr="001760D2" w:rsidRDefault="00600F92" w:rsidP="00600F92">
            <w:pPr>
              <w:jc w:val="center"/>
              <w:rPr>
                <w:sz w:val="18"/>
                <w:szCs w:val="18"/>
                <w:lang w:val="en-GB"/>
              </w:rPr>
            </w:pPr>
            <w:r>
              <w:rPr>
                <w:sz w:val="18"/>
                <w:szCs w:val="18"/>
                <w:lang w:val="en-GB"/>
              </w:rPr>
              <w:t>137</w:t>
            </w:r>
          </w:p>
        </w:tc>
        <w:tc>
          <w:tcPr>
            <w:tcW w:w="922" w:type="dxa"/>
            <w:vAlign w:val="center"/>
          </w:tcPr>
          <w:p w14:paraId="3CD57894" w14:textId="10DF3A77" w:rsidR="00600F92" w:rsidRPr="001760D2" w:rsidRDefault="00600F92" w:rsidP="00600F92">
            <w:pPr>
              <w:jc w:val="center"/>
              <w:rPr>
                <w:sz w:val="18"/>
                <w:szCs w:val="18"/>
                <w:lang w:val="en-GB"/>
              </w:rPr>
            </w:pPr>
            <w:r>
              <w:rPr>
                <w:sz w:val="18"/>
                <w:szCs w:val="18"/>
                <w:lang w:val="en-GB"/>
              </w:rPr>
              <w:t>1.81</w:t>
            </w:r>
          </w:p>
        </w:tc>
        <w:tc>
          <w:tcPr>
            <w:tcW w:w="921" w:type="dxa"/>
            <w:vAlign w:val="center"/>
          </w:tcPr>
          <w:p w14:paraId="647F9124" w14:textId="4FCB0BD5" w:rsidR="00600F92" w:rsidRPr="001760D2" w:rsidRDefault="00600F92" w:rsidP="00600F92">
            <w:pPr>
              <w:jc w:val="center"/>
              <w:rPr>
                <w:sz w:val="18"/>
                <w:szCs w:val="18"/>
                <w:lang w:val="en-GB"/>
              </w:rPr>
            </w:pPr>
            <w:r>
              <w:rPr>
                <w:sz w:val="18"/>
                <w:szCs w:val="18"/>
                <w:lang w:val="en-GB"/>
              </w:rPr>
              <w:t>98</w:t>
            </w:r>
          </w:p>
        </w:tc>
        <w:tc>
          <w:tcPr>
            <w:tcW w:w="922" w:type="dxa"/>
            <w:vAlign w:val="center"/>
          </w:tcPr>
          <w:p w14:paraId="0CF007F2" w14:textId="61F64BF4" w:rsidR="00600F92" w:rsidRPr="001760D2" w:rsidRDefault="00600F92" w:rsidP="00600F92">
            <w:pPr>
              <w:jc w:val="center"/>
              <w:rPr>
                <w:sz w:val="18"/>
                <w:szCs w:val="18"/>
                <w:lang w:val="en-GB"/>
              </w:rPr>
            </w:pPr>
            <w:r>
              <w:rPr>
                <w:sz w:val="18"/>
                <w:szCs w:val="18"/>
                <w:lang w:val="en-GB"/>
              </w:rPr>
              <w:t>0.39</w:t>
            </w:r>
          </w:p>
        </w:tc>
      </w:tr>
      <w:tr w:rsidR="00600F92" w14:paraId="3D85FC56" w14:textId="77777777" w:rsidTr="00600F92">
        <w:tc>
          <w:tcPr>
            <w:tcW w:w="1986" w:type="dxa"/>
          </w:tcPr>
          <w:p w14:paraId="5594FA7E" w14:textId="58679E92" w:rsidR="00600F92" w:rsidRPr="001760D2" w:rsidRDefault="00600F92" w:rsidP="00600F92">
            <w:pPr>
              <w:rPr>
                <w:sz w:val="18"/>
                <w:szCs w:val="18"/>
                <w:lang w:val="en-GB"/>
              </w:rPr>
            </w:pPr>
            <w:r>
              <w:rPr>
                <w:sz w:val="18"/>
                <w:szCs w:val="18"/>
                <w:lang w:val="en-GB"/>
              </w:rPr>
              <w:t>Educational attainment</w:t>
            </w:r>
          </w:p>
        </w:tc>
        <w:tc>
          <w:tcPr>
            <w:tcW w:w="999" w:type="dxa"/>
            <w:vAlign w:val="center"/>
          </w:tcPr>
          <w:p w14:paraId="4F5A9B19" w14:textId="0A011DA8" w:rsidR="00600F92" w:rsidRPr="001760D2" w:rsidRDefault="00600F92" w:rsidP="00600F92">
            <w:pPr>
              <w:jc w:val="center"/>
              <w:rPr>
                <w:sz w:val="18"/>
                <w:szCs w:val="18"/>
                <w:lang w:val="en-GB"/>
              </w:rPr>
            </w:pPr>
            <w:r>
              <w:rPr>
                <w:sz w:val="18"/>
                <w:szCs w:val="18"/>
                <w:lang w:val="en-GB"/>
              </w:rPr>
              <w:t>45,160</w:t>
            </w:r>
          </w:p>
        </w:tc>
        <w:tc>
          <w:tcPr>
            <w:tcW w:w="921" w:type="dxa"/>
            <w:vAlign w:val="center"/>
          </w:tcPr>
          <w:p w14:paraId="61FCFA6D" w14:textId="6779D140" w:rsidR="00600F92" w:rsidRPr="001760D2" w:rsidRDefault="00600F92" w:rsidP="00600F92">
            <w:pPr>
              <w:jc w:val="center"/>
              <w:rPr>
                <w:sz w:val="18"/>
                <w:szCs w:val="18"/>
                <w:lang w:val="en-GB"/>
              </w:rPr>
            </w:pPr>
            <w:r>
              <w:rPr>
                <w:sz w:val="18"/>
                <w:szCs w:val="18"/>
                <w:lang w:val="en-GB"/>
              </w:rPr>
              <w:t>746</w:t>
            </w:r>
          </w:p>
        </w:tc>
        <w:tc>
          <w:tcPr>
            <w:tcW w:w="922" w:type="dxa"/>
            <w:vAlign w:val="center"/>
          </w:tcPr>
          <w:p w14:paraId="41201A77" w14:textId="66876C27" w:rsidR="00600F92" w:rsidRPr="001760D2" w:rsidRDefault="00600F92" w:rsidP="00600F92">
            <w:pPr>
              <w:jc w:val="center"/>
              <w:rPr>
                <w:sz w:val="18"/>
                <w:szCs w:val="18"/>
                <w:lang w:val="en-GB"/>
              </w:rPr>
            </w:pPr>
            <w:r>
              <w:rPr>
                <w:sz w:val="18"/>
                <w:szCs w:val="18"/>
                <w:lang w:val="en-GB"/>
              </w:rPr>
              <w:t>1.65</w:t>
            </w:r>
          </w:p>
        </w:tc>
        <w:tc>
          <w:tcPr>
            <w:tcW w:w="921" w:type="dxa"/>
            <w:vAlign w:val="center"/>
          </w:tcPr>
          <w:p w14:paraId="07A40C2B" w14:textId="475368E3" w:rsidR="00600F92" w:rsidRPr="001760D2" w:rsidRDefault="00600F92" w:rsidP="00600F92">
            <w:pPr>
              <w:jc w:val="center"/>
              <w:rPr>
                <w:sz w:val="18"/>
                <w:szCs w:val="18"/>
                <w:lang w:val="en-GB"/>
              </w:rPr>
            </w:pPr>
            <w:r>
              <w:rPr>
                <w:sz w:val="18"/>
                <w:szCs w:val="18"/>
                <w:lang w:val="en-GB"/>
              </w:rPr>
              <w:t>441</w:t>
            </w:r>
          </w:p>
        </w:tc>
        <w:tc>
          <w:tcPr>
            <w:tcW w:w="922" w:type="dxa"/>
            <w:vAlign w:val="center"/>
          </w:tcPr>
          <w:p w14:paraId="3B73854B" w14:textId="1ED0338F" w:rsidR="00600F92" w:rsidRPr="001760D2" w:rsidRDefault="00600F92" w:rsidP="00600F92">
            <w:pPr>
              <w:jc w:val="center"/>
              <w:rPr>
                <w:sz w:val="18"/>
                <w:szCs w:val="18"/>
                <w:lang w:val="en-GB"/>
              </w:rPr>
            </w:pPr>
            <w:r>
              <w:rPr>
                <w:sz w:val="18"/>
                <w:szCs w:val="18"/>
                <w:lang w:val="en-GB"/>
              </w:rPr>
              <w:t>1.78</w:t>
            </w:r>
          </w:p>
        </w:tc>
        <w:tc>
          <w:tcPr>
            <w:tcW w:w="1126" w:type="dxa"/>
            <w:vAlign w:val="center"/>
          </w:tcPr>
          <w:p w14:paraId="59CD6683" w14:textId="7D9357BB" w:rsidR="00600F92" w:rsidRPr="001760D2" w:rsidRDefault="00600F92" w:rsidP="00600F92">
            <w:pPr>
              <w:jc w:val="center"/>
              <w:rPr>
                <w:sz w:val="18"/>
                <w:szCs w:val="18"/>
                <w:lang w:val="en-GB"/>
              </w:rPr>
            </w:pPr>
            <w:r>
              <w:rPr>
                <w:sz w:val="18"/>
                <w:szCs w:val="18"/>
                <w:lang w:val="en-GB"/>
              </w:rPr>
              <w:t>45,094</w:t>
            </w:r>
          </w:p>
        </w:tc>
        <w:tc>
          <w:tcPr>
            <w:tcW w:w="921" w:type="dxa"/>
            <w:vAlign w:val="center"/>
          </w:tcPr>
          <w:p w14:paraId="37E28861" w14:textId="558BB2B5" w:rsidR="00600F92" w:rsidRPr="001760D2" w:rsidRDefault="00600F92" w:rsidP="00600F92">
            <w:pPr>
              <w:jc w:val="center"/>
              <w:rPr>
                <w:sz w:val="18"/>
                <w:szCs w:val="18"/>
                <w:lang w:val="en-GB"/>
              </w:rPr>
            </w:pPr>
            <w:r>
              <w:rPr>
                <w:sz w:val="18"/>
                <w:szCs w:val="18"/>
                <w:lang w:val="en-GB"/>
              </w:rPr>
              <w:t>375</w:t>
            </w:r>
          </w:p>
        </w:tc>
        <w:tc>
          <w:tcPr>
            <w:tcW w:w="922" w:type="dxa"/>
            <w:vAlign w:val="center"/>
          </w:tcPr>
          <w:p w14:paraId="0896D472" w14:textId="0355E8C8" w:rsidR="00600F92" w:rsidRPr="001760D2" w:rsidRDefault="00600F92" w:rsidP="00600F92">
            <w:pPr>
              <w:jc w:val="center"/>
              <w:rPr>
                <w:sz w:val="18"/>
                <w:szCs w:val="18"/>
                <w:lang w:val="en-GB"/>
              </w:rPr>
            </w:pPr>
            <w:r>
              <w:rPr>
                <w:sz w:val="18"/>
                <w:szCs w:val="18"/>
                <w:lang w:val="en-GB"/>
              </w:rPr>
              <w:t>0.83</w:t>
            </w:r>
          </w:p>
        </w:tc>
        <w:tc>
          <w:tcPr>
            <w:tcW w:w="921" w:type="dxa"/>
            <w:vAlign w:val="center"/>
          </w:tcPr>
          <w:p w14:paraId="1D60DFC6" w14:textId="724E4897" w:rsidR="00600F92" w:rsidRPr="001760D2" w:rsidRDefault="00600F92" w:rsidP="00600F92">
            <w:pPr>
              <w:jc w:val="center"/>
              <w:rPr>
                <w:sz w:val="18"/>
                <w:szCs w:val="18"/>
                <w:lang w:val="en-GB"/>
              </w:rPr>
            </w:pPr>
            <w:r>
              <w:rPr>
                <w:sz w:val="18"/>
                <w:szCs w:val="18"/>
                <w:lang w:val="en-GB"/>
              </w:rPr>
              <w:t>293</w:t>
            </w:r>
          </w:p>
        </w:tc>
        <w:tc>
          <w:tcPr>
            <w:tcW w:w="922" w:type="dxa"/>
            <w:vAlign w:val="center"/>
          </w:tcPr>
          <w:p w14:paraId="287577E9" w14:textId="0082B8DC" w:rsidR="00600F92" w:rsidRPr="001760D2" w:rsidRDefault="00600F92" w:rsidP="00600F92">
            <w:pPr>
              <w:jc w:val="center"/>
              <w:rPr>
                <w:sz w:val="18"/>
                <w:szCs w:val="18"/>
                <w:lang w:val="en-GB"/>
              </w:rPr>
            </w:pPr>
            <w:r>
              <w:rPr>
                <w:sz w:val="18"/>
                <w:szCs w:val="18"/>
                <w:lang w:val="en-GB"/>
              </w:rPr>
              <w:t>1.18</w:t>
            </w:r>
          </w:p>
        </w:tc>
      </w:tr>
      <w:tr w:rsidR="00600F92" w14:paraId="2221DFFE" w14:textId="77777777" w:rsidTr="00600F92">
        <w:tc>
          <w:tcPr>
            <w:tcW w:w="1986" w:type="dxa"/>
          </w:tcPr>
          <w:p w14:paraId="582E4F26" w14:textId="2D70BAD2" w:rsidR="00600F92" w:rsidRPr="001760D2" w:rsidRDefault="00600F92" w:rsidP="00600F92">
            <w:pPr>
              <w:rPr>
                <w:sz w:val="18"/>
                <w:szCs w:val="18"/>
                <w:lang w:val="en-GB"/>
              </w:rPr>
            </w:pPr>
            <w:r>
              <w:rPr>
                <w:sz w:val="18"/>
                <w:szCs w:val="18"/>
                <w:lang w:val="en-GB"/>
              </w:rPr>
              <w:t>Schizophrenia</w:t>
            </w:r>
          </w:p>
        </w:tc>
        <w:tc>
          <w:tcPr>
            <w:tcW w:w="999" w:type="dxa"/>
            <w:vAlign w:val="center"/>
          </w:tcPr>
          <w:p w14:paraId="039F51D4" w14:textId="72535471" w:rsidR="00600F92" w:rsidRPr="001760D2" w:rsidRDefault="00600F92" w:rsidP="00600F92">
            <w:pPr>
              <w:jc w:val="center"/>
              <w:rPr>
                <w:sz w:val="18"/>
                <w:szCs w:val="18"/>
                <w:lang w:val="en-GB"/>
              </w:rPr>
            </w:pPr>
            <w:r>
              <w:rPr>
                <w:sz w:val="18"/>
                <w:szCs w:val="18"/>
                <w:lang w:val="en-GB"/>
              </w:rPr>
              <w:t>61,137</w:t>
            </w:r>
          </w:p>
        </w:tc>
        <w:tc>
          <w:tcPr>
            <w:tcW w:w="921" w:type="dxa"/>
            <w:vAlign w:val="center"/>
          </w:tcPr>
          <w:p w14:paraId="1212F082" w14:textId="58422485" w:rsidR="00600F92" w:rsidRPr="001760D2" w:rsidRDefault="00600F92" w:rsidP="00600F92">
            <w:pPr>
              <w:jc w:val="center"/>
              <w:rPr>
                <w:sz w:val="18"/>
                <w:szCs w:val="18"/>
                <w:lang w:val="en-GB"/>
              </w:rPr>
            </w:pPr>
            <w:r>
              <w:rPr>
                <w:sz w:val="18"/>
                <w:szCs w:val="18"/>
                <w:lang w:val="en-GB"/>
              </w:rPr>
              <w:t>576</w:t>
            </w:r>
          </w:p>
        </w:tc>
        <w:tc>
          <w:tcPr>
            <w:tcW w:w="922" w:type="dxa"/>
            <w:vAlign w:val="center"/>
          </w:tcPr>
          <w:p w14:paraId="7BA1716E" w14:textId="511C6879" w:rsidR="00600F92" w:rsidRPr="001760D2" w:rsidRDefault="00600F92" w:rsidP="00600F92">
            <w:pPr>
              <w:jc w:val="center"/>
              <w:rPr>
                <w:sz w:val="18"/>
                <w:szCs w:val="18"/>
                <w:lang w:val="en-GB"/>
              </w:rPr>
            </w:pPr>
            <w:r>
              <w:rPr>
                <w:sz w:val="18"/>
                <w:szCs w:val="18"/>
                <w:lang w:val="en-GB"/>
              </w:rPr>
              <w:t>0.94</w:t>
            </w:r>
          </w:p>
        </w:tc>
        <w:tc>
          <w:tcPr>
            <w:tcW w:w="921" w:type="dxa"/>
            <w:vAlign w:val="center"/>
          </w:tcPr>
          <w:p w14:paraId="7B8990BA" w14:textId="4DD2C5A5" w:rsidR="00600F92" w:rsidRPr="001760D2" w:rsidRDefault="00600F92" w:rsidP="00600F92">
            <w:pPr>
              <w:jc w:val="center"/>
              <w:rPr>
                <w:sz w:val="18"/>
                <w:szCs w:val="18"/>
                <w:lang w:val="en-GB"/>
              </w:rPr>
            </w:pPr>
            <w:r>
              <w:rPr>
                <w:sz w:val="18"/>
                <w:szCs w:val="18"/>
                <w:lang w:val="en-GB"/>
              </w:rPr>
              <w:t>406</w:t>
            </w:r>
          </w:p>
        </w:tc>
        <w:tc>
          <w:tcPr>
            <w:tcW w:w="922" w:type="dxa"/>
            <w:vAlign w:val="center"/>
          </w:tcPr>
          <w:p w14:paraId="678234DE" w14:textId="3CA21D8D" w:rsidR="00600F92" w:rsidRPr="001760D2" w:rsidRDefault="00600F92" w:rsidP="00600F92">
            <w:pPr>
              <w:jc w:val="center"/>
              <w:rPr>
                <w:sz w:val="18"/>
                <w:szCs w:val="18"/>
                <w:lang w:val="en-GB"/>
              </w:rPr>
            </w:pPr>
            <w:r>
              <w:rPr>
                <w:sz w:val="18"/>
                <w:szCs w:val="18"/>
                <w:lang w:val="en-GB"/>
              </w:rPr>
              <w:t>1.63</w:t>
            </w:r>
          </w:p>
        </w:tc>
        <w:tc>
          <w:tcPr>
            <w:tcW w:w="1126" w:type="dxa"/>
            <w:vAlign w:val="center"/>
          </w:tcPr>
          <w:p w14:paraId="093307E3" w14:textId="715514B8" w:rsidR="00600F92" w:rsidRPr="001760D2" w:rsidRDefault="00600F92" w:rsidP="00600F92">
            <w:pPr>
              <w:jc w:val="center"/>
              <w:rPr>
                <w:sz w:val="18"/>
                <w:szCs w:val="18"/>
                <w:lang w:val="en-GB"/>
              </w:rPr>
            </w:pPr>
            <w:r>
              <w:rPr>
                <w:sz w:val="18"/>
                <w:szCs w:val="18"/>
                <w:lang w:val="en-GB"/>
              </w:rPr>
              <w:t>43,028</w:t>
            </w:r>
          </w:p>
        </w:tc>
        <w:tc>
          <w:tcPr>
            <w:tcW w:w="921" w:type="dxa"/>
            <w:vAlign w:val="center"/>
          </w:tcPr>
          <w:p w14:paraId="05C23DC6" w14:textId="36A773AD" w:rsidR="00600F92" w:rsidRPr="001760D2" w:rsidRDefault="00600F92" w:rsidP="00600F92">
            <w:pPr>
              <w:jc w:val="center"/>
              <w:rPr>
                <w:sz w:val="18"/>
                <w:szCs w:val="18"/>
                <w:lang w:val="en-GB"/>
              </w:rPr>
            </w:pPr>
            <w:r>
              <w:rPr>
                <w:sz w:val="18"/>
                <w:szCs w:val="18"/>
                <w:lang w:val="en-GB"/>
              </w:rPr>
              <w:t>232</w:t>
            </w:r>
          </w:p>
        </w:tc>
        <w:tc>
          <w:tcPr>
            <w:tcW w:w="922" w:type="dxa"/>
            <w:vAlign w:val="center"/>
          </w:tcPr>
          <w:p w14:paraId="07C89226" w14:textId="0E0A613F" w:rsidR="00600F92" w:rsidRPr="001760D2" w:rsidRDefault="00600F92" w:rsidP="00600F92">
            <w:pPr>
              <w:jc w:val="center"/>
              <w:rPr>
                <w:sz w:val="18"/>
                <w:szCs w:val="18"/>
                <w:lang w:val="en-GB"/>
              </w:rPr>
            </w:pPr>
            <w:r>
              <w:rPr>
                <w:sz w:val="18"/>
                <w:szCs w:val="18"/>
                <w:lang w:val="en-GB"/>
              </w:rPr>
              <w:t>0.54</w:t>
            </w:r>
          </w:p>
        </w:tc>
        <w:tc>
          <w:tcPr>
            <w:tcW w:w="921" w:type="dxa"/>
            <w:vAlign w:val="center"/>
          </w:tcPr>
          <w:p w14:paraId="349B7EA4" w14:textId="4907AC8E" w:rsidR="00600F92" w:rsidRPr="001760D2" w:rsidRDefault="00600F92" w:rsidP="00600F92">
            <w:pPr>
              <w:jc w:val="center"/>
              <w:rPr>
                <w:sz w:val="18"/>
                <w:szCs w:val="18"/>
                <w:lang w:val="en-GB"/>
              </w:rPr>
            </w:pPr>
            <w:r>
              <w:rPr>
                <w:sz w:val="18"/>
                <w:szCs w:val="18"/>
                <w:lang w:val="en-GB"/>
              </w:rPr>
              <w:t>212</w:t>
            </w:r>
          </w:p>
        </w:tc>
        <w:tc>
          <w:tcPr>
            <w:tcW w:w="922" w:type="dxa"/>
            <w:vAlign w:val="center"/>
          </w:tcPr>
          <w:p w14:paraId="4C563451" w14:textId="5AADA450" w:rsidR="00600F92" w:rsidRPr="001760D2" w:rsidRDefault="00600F92" w:rsidP="00600F92">
            <w:pPr>
              <w:jc w:val="center"/>
              <w:rPr>
                <w:sz w:val="18"/>
                <w:szCs w:val="18"/>
                <w:lang w:val="en-GB"/>
              </w:rPr>
            </w:pPr>
            <w:r>
              <w:rPr>
                <w:sz w:val="18"/>
                <w:szCs w:val="18"/>
                <w:lang w:val="en-GB"/>
              </w:rPr>
              <w:t>0.85</w:t>
            </w:r>
          </w:p>
        </w:tc>
      </w:tr>
    </w:tbl>
    <w:p w14:paraId="000F84D2" w14:textId="259EE5A5" w:rsidR="00621B0C" w:rsidRPr="00A84F39" w:rsidRDefault="00A84F39" w:rsidP="00621B0C">
      <w:pPr>
        <w:rPr>
          <w:sz w:val="16"/>
          <w:szCs w:val="16"/>
          <w:lang w:val="en-GB"/>
        </w:rPr>
      </w:pPr>
      <w:r>
        <w:rPr>
          <w:sz w:val="16"/>
          <w:szCs w:val="16"/>
          <w:lang w:val="en-GB"/>
        </w:rPr>
        <w:t xml:space="preserve">Inclusion in either category was based on univariate joint association p-values (see </w:t>
      </w:r>
      <w:r w:rsidRPr="00556376">
        <w:rPr>
          <w:i/>
          <w:iCs/>
          <w:sz w:val="16"/>
          <w:szCs w:val="16"/>
          <w:lang w:val="en-GB"/>
        </w:rPr>
        <w:t>Methods</w:t>
      </w:r>
      <w:r w:rsidR="00556376" w:rsidRPr="00556376">
        <w:rPr>
          <w:i/>
          <w:iCs/>
          <w:sz w:val="16"/>
          <w:szCs w:val="16"/>
          <w:lang w:val="en-GB"/>
        </w:rPr>
        <w:t xml:space="preserve"> -</w:t>
      </w:r>
      <w:r w:rsidR="00556376" w:rsidRPr="00556376">
        <w:rPr>
          <w:i/>
          <w:iCs/>
          <w:lang w:val="en-GB"/>
        </w:rPr>
        <w:t xml:space="preserve"> </w:t>
      </w:r>
      <w:r w:rsidR="00556376" w:rsidRPr="00556376">
        <w:rPr>
          <w:i/>
          <w:iCs/>
          <w:sz w:val="16"/>
          <w:szCs w:val="16"/>
          <w:lang w:val="en-GB"/>
        </w:rPr>
        <w:t>Local genetic correlation</w:t>
      </w:r>
      <w:r>
        <w:rPr>
          <w:sz w:val="16"/>
          <w:szCs w:val="16"/>
          <w:lang w:val="en-GB"/>
        </w:rPr>
        <w:t>).</w:t>
      </w:r>
      <w:r w:rsidR="00313C52">
        <w:rPr>
          <w:sz w:val="16"/>
          <w:szCs w:val="16"/>
          <w:lang w:val="en-GB"/>
        </w:rPr>
        <w:t xml:space="preserve"> For the main TWAS analysis</w:t>
      </w:r>
      <w:r w:rsidR="00973C02">
        <w:rPr>
          <w:sz w:val="16"/>
          <w:szCs w:val="16"/>
          <w:lang w:val="en-GB"/>
        </w:rPr>
        <w:t xml:space="preserve">, presence of genetic association with expression was defined as having a univariate p-value below </w:t>
      </w:r>
      <m:oMath>
        <m:r>
          <w:rPr>
            <w:rFonts w:ascii="Cambria Math" w:hAnsi="Cambria Math"/>
            <w:sz w:val="16"/>
            <w:szCs w:val="16"/>
            <w:lang w:val="en-GB"/>
          </w:rPr>
          <m:t>0.05/24,836</m:t>
        </m:r>
      </m:oMath>
      <w:r w:rsidR="00973C02">
        <w:rPr>
          <w:rFonts w:eastAsiaTheme="minorEastAsia"/>
          <w:sz w:val="16"/>
          <w:szCs w:val="16"/>
          <w:lang w:val="en-GB"/>
        </w:rPr>
        <w:t>; for the additional analysis, absence of eQTL signal was defined as having a</w:t>
      </w:r>
      <w:r w:rsidR="00F3754A">
        <w:rPr>
          <w:rFonts w:eastAsiaTheme="minorEastAsia"/>
          <w:sz w:val="16"/>
          <w:szCs w:val="16"/>
          <w:lang w:val="en-GB"/>
        </w:rPr>
        <w:t xml:space="preserve"> </w:t>
      </w:r>
      <w:r w:rsidR="00973C02">
        <w:rPr>
          <w:rFonts w:eastAsiaTheme="minorEastAsia"/>
          <w:sz w:val="16"/>
          <w:szCs w:val="16"/>
          <w:lang w:val="en-GB"/>
        </w:rPr>
        <w:t xml:space="preserve">univariate p-value above 0.05. </w:t>
      </w:r>
      <w:r>
        <w:rPr>
          <w:rFonts w:eastAsiaTheme="minorEastAsia"/>
          <w:sz w:val="16"/>
          <w:szCs w:val="16"/>
          <w:lang w:val="en-GB"/>
        </w:rPr>
        <w:t>Significance</w:t>
      </w:r>
      <w:r w:rsidR="00973C02">
        <w:rPr>
          <w:rFonts w:eastAsiaTheme="minorEastAsia"/>
          <w:sz w:val="16"/>
          <w:szCs w:val="16"/>
          <w:lang w:val="en-GB"/>
        </w:rPr>
        <w:t xml:space="preserve"> for the TWAS</w:t>
      </w:r>
      <w:r>
        <w:rPr>
          <w:rFonts w:eastAsiaTheme="minorEastAsia"/>
          <w:sz w:val="16"/>
          <w:szCs w:val="16"/>
          <w:lang w:val="en-GB"/>
        </w:rPr>
        <w:t xml:space="preserve"> in both </w:t>
      </w:r>
      <w:r w:rsidR="00973C02">
        <w:rPr>
          <w:rFonts w:eastAsiaTheme="minorEastAsia"/>
          <w:sz w:val="16"/>
          <w:szCs w:val="16"/>
          <w:lang w:val="en-GB"/>
        </w:rPr>
        <w:t>analyses</w:t>
      </w:r>
      <w:r>
        <w:rPr>
          <w:rFonts w:eastAsiaTheme="minorEastAsia"/>
          <w:sz w:val="16"/>
          <w:szCs w:val="16"/>
          <w:lang w:val="en-GB"/>
        </w:rPr>
        <w:t xml:space="preserve"> was determined using </w:t>
      </w:r>
      <w:r w:rsidR="0034454B">
        <w:rPr>
          <w:sz w:val="16"/>
          <w:szCs w:val="16"/>
          <w:lang w:val="en-GB"/>
        </w:rPr>
        <w:t xml:space="preserve">a significance threshold of </w:t>
      </w:r>
      <m:oMath>
        <m:r>
          <w:rPr>
            <w:rFonts w:ascii="Cambria Math" w:hAnsi="Cambria Math"/>
            <w:sz w:val="16"/>
            <w:szCs w:val="16"/>
            <w:lang w:val="en-GB"/>
          </w:rPr>
          <m:t>0.05/</m:t>
        </m:r>
        <m:sSub>
          <m:sSubPr>
            <m:ctrlPr>
              <w:rPr>
                <w:rFonts w:ascii="Cambria Math" w:hAnsi="Cambria Math"/>
                <w:i/>
                <w:sz w:val="16"/>
                <w:szCs w:val="16"/>
                <w:lang w:val="en-GB"/>
              </w:rPr>
            </m:ctrlPr>
          </m:sSubPr>
          <m:e>
            <m:r>
              <w:rPr>
                <w:rFonts w:ascii="Cambria Math" w:hAnsi="Cambria Math"/>
                <w:sz w:val="16"/>
                <w:szCs w:val="16"/>
                <w:lang w:val="en-GB"/>
              </w:rPr>
              <m:t>M</m:t>
            </m:r>
          </m:e>
          <m:sub>
            <m:r>
              <w:rPr>
                <w:rFonts w:ascii="Cambria Math" w:hAnsi="Cambria Math"/>
                <w:sz w:val="16"/>
                <w:szCs w:val="16"/>
                <w:lang w:val="en-GB"/>
              </w:rPr>
              <m:t>p</m:t>
            </m:r>
          </m:sub>
        </m:sSub>
      </m:oMath>
      <w:r w:rsidR="0034454B">
        <w:rPr>
          <w:rFonts w:eastAsiaTheme="minorEastAsia"/>
          <w:sz w:val="16"/>
          <w:szCs w:val="16"/>
          <w:lang w:val="en-GB"/>
        </w:rPr>
        <w:t xml:space="preserve"> for each phenotype </w:t>
      </w:r>
      <m:oMath>
        <m:r>
          <w:rPr>
            <w:rFonts w:ascii="Cambria Math" w:eastAsiaTheme="minorEastAsia" w:hAnsi="Cambria Math"/>
            <w:sz w:val="16"/>
            <w:szCs w:val="16"/>
            <w:lang w:val="en-GB"/>
          </w:rPr>
          <m:t>p</m:t>
        </m:r>
      </m:oMath>
      <w:r w:rsidR="0034454B">
        <w:rPr>
          <w:rFonts w:eastAsiaTheme="minorEastAsia"/>
          <w:sz w:val="16"/>
          <w:szCs w:val="16"/>
          <w:lang w:val="en-GB"/>
        </w:rPr>
        <w:t xml:space="preserve">, where </w:t>
      </w:r>
      <m:oMath>
        <m:sSub>
          <m:sSubPr>
            <m:ctrlPr>
              <w:rPr>
                <w:rFonts w:ascii="Cambria Math" w:eastAsiaTheme="minorEastAsia" w:hAnsi="Cambria Math"/>
                <w:i/>
                <w:sz w:val="16"/>
                <w:szCs w:val="16"/>
                <w:lang w:val="en-GB"/>
              </w:rPr>
            </m:ctrlPr>
          </m:sSubPr>
          <m:e>
            <m:r>
              <w:rPr>
                <w:rFonts w:ascii="Cambria Math" w:eastAsiaTheme="minorEastAsia" w:hAnsi="Cambria Math"/>
                <w:sz w:val="16"/>
                <w:szCs w:val="16"/>
                <w:lang w:val="en-GB"/>
              </w:rPr>
              <m:t>M</m:t>
            </m:r>
          </m:e>
          <m:sub>
            <m:r>
              <w:rPr>
                <w:rFonts w:ascii="Cambria Math" w:eastAsiaTheme="minorEastAsia" w:hAnsi="Cambria Math"/>
                <w:sz w:val="16"/>
                <w:szCs w:val="16"/>
                <w:lang w:val="en-GB"/>
              </w:rPr>
              <m:t>p</m:t>
            </m:r>
          </m:sub>
        </m:sSub>
      </m:oMath>
      <w:r w:rsidR="0034454B">
        <w:rPr>
          <w:rFonts w:eastAsiaTheme="minorEastAsia"/>
          <w:sz w:val="16"/>
          <w:szCs w:val="16"/>
          <w:lang w:val="en-GB"/>
        </w:rPr>
        <w:t xml:space="preserve"> is the sum of the two ‘</w:t>
      </w:r>
      <w:r w:rsidR="00723F96">
        <w:rPr>
          <w:rFonts w:eastAsiaTheme="minorEastAsia"/>
          <w:sz w:val="16"/>
          <w:szCs w:val="16"/>
          <w:lang w:val="en-GB"/>
        </w:rPr>
        <w:t>no.</w:t>
      </w:r>
      <w:r w:rsidR="0034454B">
        <w:rPr>
          <w:rFonts w:eastAsiaTheme="minorEastAsia"/>
          <w:sz w:val="16"/>
          <w:szCs w:val="16"/>
          <w:lang w:val="en-GB"/>
        </w:rPr>
        <w:t xml:space="preserve"> tested’ columns.</w:t>
      </w:r>
      <w:r>
        <w:rPr>
          <w:rFonts w:eastAsiaTheme="minorEastAsia"/>
          <w:sz w:val="16"/>
          <w:szCs w:val="16"/>
          <w:lang w:val="en-GB"/>
        </w:rPr>
        <w:t xml:space="preserve">. </w:t>
      </w:r>
      <w:r w:rsidR="007B751D">
        <w:rPr>
          <w:rFonts w:eastAsiaTheme="minorEastAsia"/>
          <w:sz w:val="16"/>
          <w:szCs w:val="16"/>
          <w:lang w:val="en-GB"/>
        </w:rPr>
        <w:t>A gene was counted as significant if at least one tissue had a sign</w:t>
      </w:r>
      <w:r w:rsidR="00B008B1">
        <w:rPr>
          <w:rFonts w:eastAsiaTheme="minorEastAsia"/>
          <w:sz w:val="16"/>
          <w:szCs w:val="16"/>
          <w:lang w:val="en-GB"/>
        </w:rPr>
        <w:t>i</w:t>
      </w:r>
      <w:r w:rsidR="007B751D">
        <w:rPr>
          <w:rFonts w:eastAsiaTheme="minorEastAsia"/>
          <w:sz w:val="16"/>
          <w:szCs w:val="16"/>
          <w:lang w:val="en-GB"/>
        </w:rPr>
        <w:t xml:space="preserve">ficant TWAS association for that gene. </w:t>
      </w:r>
    </w:p>
    <w:p w14:paraId="1E311DC2" w14:textId="2AF09EF8" w:rsidR="00A84F39" w:rsidRDefault="00A84F39" w:rsidP="00621B0C">
      <w:pPr>
        <w:rPr>
          <w:lang w:val="en-GB"/>
        </w:rPr>
      </w:pPr>
    </w:p>
    <w:p w14:paraId="6C0F4CDC" w14:textId="3F75AB9A" w:rsidR="00C67873" w:rsidRDefault="00C67873" w:rsidP="00621B0C">
      <w:pPr>
        <w:rPr>
          <w:lang w:val="en-GB"/>
        </w:rPr>
      </w:pPr>
    </w:p>
    <w:p w14:paraId="2044FB67" w14:textId="77777777" w:rsidR="006C0432" w:rsidRDefault="006C0432" w:rsidP="00621B0C">
      <w:pPr>
        <w:rPr>
          <w:lang w:val="en-GB"/>
        </w:rPr>
      </w:pPr>
    </w:p>
    <w:p w14:paraId="4B070519" w14:textId="675B7B27" w:rsidR="00A84F39" w:rsidRDefault="00A84F39" w:rsidP="00621B0C">
      <w:pPr>
        <w:rPr>
          <w:lang w:val="en-GB"/>
        </w:rPr>
      </w:pPr>
    </w:p>
    <w:p w14:paraId="4A030D0F" w14:textId="0B0FA9C3" w:rsidR="006C0432" w:rsidRDefault="006C0432" w:rsidP="0000523A">
      <w:pPr>
        <w:pStyle w:val="Kop2"/>
      </w:pPr>
      <w:bookmarkStart w:id="11" w:name="_Toc79957418"/>
      <w:r>
        <w:t xml:space="preserve">Supplemental </w:t>
      </w:r>
      <w:r w:rsidRPr="00363CA8">
        <w:t xml:space="preserve">Table </w:t>
      </w:r>
      <w:r>
        <w:t>2</w:t>
      </w:r>
      <w:r w:rsidRPr="00363CA8">
        <w:t>. Estimated</w:t>
      </w:r>
      <w:r>
        <w:t xml:space="preserve"> type 1</w:t>
      </w:r>
      <w:r w:rsidRPr="00363CA8">
        <w:t xml:space="preserve"> error rate i</w:t>
      </w:r>
      <w:r>
        <w:t>nflation for gene ENSG</w:t>
      </w:r>
      <w:r w:rsidRPr="00363CA8">
        <w:t>00000277639</w:t>
      </w:r>
      <w:r>
        <w:t xml:space="preserve"> in analysis of BMI</w:t>
      </w:r>
      <w:bookmarkEnd w:id="11"/>
    </w:p>
    <w:tbl>
      <w:tblPr>
        <w:tblStyle w:val="Tabelraster"/>
        <w:tblW w:w="10064" w:type="dxa"/>
        <w:tblInd w:w="-45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276"/>
        <w:gridCol w:w="1276"/>
        <w:gridCol w:w="1354"/>
        <w:gridCol w:w="1275"/>
        <w:gridCol w:w="1276"/>
        <w:gridCol w:w="992"/>
        <w:gridCol w:w="909"/>
      </w:tblGrid>
      <w:tr w:rsidR="006C0432" w14:paraId="7AF1E223" w14:textId="77777777" w:rsidTr="00E457C3">
        <w:tc>
          <w:tcPr>
            <w:tcW w:w="1706" w:type="dxa"/>
            <w:vMerge w:val="restart"/>
            <w:tcBorders>
              <w:top w:val="single" w:sz="12" w:space="0" w:color="auto"/>
              <w:bottom w:val="nil"/>
            </w:tcBorders>
            <w:vAlign w:val="bottom"/>
          </w:tcPr>
          <w:p w14:paraId="1BF96BBF" w14:textId="77777777" w:rsidR="006C0432" w:rsidRPr="00EB16EC" w:rsidRDefault="006C0432" w:rsidP="00E457C3">
            <w:pPr>
              <w:jc w:val="left"/>
              <w:rPr>
                <w:b/>
                <w:bCs/>
                <w:sz w:val="18"/>
                <w:szCs w:val="18"/>
                <w:lang w:val="en-GB"/>
              </w:rPr>
            </w:pPr>
            <w:r w:rsidRPr="00EB16EC">
              <w:rPr>
                <w:b/>
                <w:bCs/>
                <w:sz w:val="18"/>
                <w:szCs w:val="18"/>
                <w:lang w:val="en-GB"/>
              </w:rPr>
              <w:t>Tissue</w:t>
            </w:r>
          </w:p>
        </w:tc>
        <w:tc>
          <w:tcPr>
            <w:tcW w:w="3906" w:type="dxa"/>
            <w:gridSpan w:val="3"/>
            <w:tcBorders>
              <w:top w:val="single" w:sz="12" w:space="0" w:color="auto"/>
              <w:bottom w:val="nil"/>
            </w:tcBorders>
            <w:vAlign w:val="center"/>
          </w:tcPr>
          <w:p w14:paraId="4AA747F7" w14:textId="77777777" w:rsidR="006C0432" w:rsidRPr="00EB16EC" w:rsidRDefault="006C0432" w:rsidP="00E457C3">
            <w:pPr>
              <w:jc w:val="center"/>
              <w:rPr>
                <w:b/>
                <w:bCs/>
                <w:sz w:val="18"/>
                <w:szCs w:val="18"/>
                <w:lang w:val="en-GB"/>
              </w:rPr>
            </w:pPr>
            <w:r w:rsidRPr="00EB16EC">
              <w:rPr>
                <w:b/>
                <w:bCs/>
                <w:sz w:val="18"/>
                <w:szCs w:val="18"/>
                <w:lang w:val="en-GB"/>
              </w:rPr>
              <w:t>Local genetic correlation analysis</w:t>
            </w:r>
          </w:p>
        </w:tc>
        <w:tc>
          <w:tcPr>
            <w:tcW w:w="4452" w:type="dxa"/>
            <w:gridSpan w:val="4"/>
            <w:tcBorders>
              <w:top w:val="single" w:sz="12" w:space="0" w:color="auto"/>
              <w:bottom w:val="nil"/>
            </w:tcBorders>
          </w:tcPr>
          <w:p w14:paraId="0E80B6CF" w14:textId="77777777" w:rsidR="006C0432" w:rsidRPr="00EB16EC" w:rsidRDefault="006C0432" w:rsidP="00E457C3">
            <w:pPr>
              <w:jc w:val="center"/>
              <w:rPr>
                <w:b/>
                <w:bCs/>
                <w:sz w:val="18"/>
                <w:szCs w:val="18"/>
                <w:lang w:val="en-GB"/>
              </w:rPr>
            </w:pPr>
            <w:r w:rsidRPr="00EB16EC">
              <w:rPr>
                <w:b/>
                <w:bCs/>
                <w:sz w:val="18"/>
                <w:szCs w:val="18"/>
                <w:lang w:val="en-GB"/>
              </w:rPr>
              <w:t>TWAS analysis</w:t>
            </w:r>
          </w:p>
        </w:tc>
      </w:tr>
      <w:tr w:rsidR="006C0432" w14:paraId="4746C0CF" w14:textId="77777777" w:rsidTr="00E457C3">
        <w:tc>
          <w:tcPr>
            <w:tcW w:w="1706" w:type="dxa"/>
            <w:vMerge/>
            <w:tcBorders>
              <w:top w:val="nil"/>
              <w:bottom w:val="single" w:sz="4" w:space="0" w:color="auto"/>
            </w:tcBorders>
          </w:tcPr>
          <w:p w14:paraId="2C7D48BC" w14:textId="77777777" w:rsidR="006C0432" w:rsidRPr="00EB16EC" w:rsidRDefault="006C0432" w:rsidP="00E457C3">
            <w:pPr>
              <w:rPr>
                <w:b/>
                <w:bCs/>
                <w:sz w:val="18"/>
                <w:szCs w:val="18"/>
                <w:lang w:val="en-GB"/>
              </w:rPr>
            </w:pPr>
          </w:p>
        </w:tc>
        <w:tc>
          <w:tcPr>
            <w:tcW w:w="1276" w:type="dxa"/>
            <w:tcBorders>
              <w:top w:val="nil"/>
              <w:bottom w:val="single" w:sz="4" w:space="0" w:color="auto"/>
            </w:tcBorders>
            <w:vAlign w:val="center"/>
          </w:tcPr>
          <w:p w14:paraId="5D5C1D0D" w14:textId="77777777" w:rsidR="006C0432" w:rsidRPr="00EB16EC" w:rsidRDefault="006C0432" w:rsidP="00E457C3">
            <w:pPr>
              <w:jc w:val="center"/>
              <w:rPr>
                <w:b/>
                <w:bCs/>
                <w:sz w:val="18"/>
                <w:szCs w:val="18"/>
                <w:lang w:val="en-GB"/>
              </w:rPr>
            </w:pPr>
            <w:r w:rsidRPr="00EB16EC">
              <w:rPr>
                <w:b/>
                <w:bCs/>
                <w:sz w:val="18"/>
                <w:szCs w:val="18"/>
                <w:lang w:val="en-GB"/>
              </w:rPr>
              <w:t>P-value</w:t>
            </w:r>
          </w:p>
        </w:tc>
        <w:tc>
          <w:tcPr>
            <w:tcW w:w="1276" w:type="dxa"/>
            <w:tcBorders>
              <w:top w:val="nil"/>
              <w:bottom w:val="single" w:sz="4" w:space="0" w:color="auto"/>
            </w:tcBorders>
            <w:vAlign w:val="center"/>
          </w:tcPr>
          <w:p w14:paraId="31D363E0" w14:textId="77777777" w:rsidR="006C0432" w:rsidRPr="00EB16EC" w:rsidRDefault="006C0432" w:rsidP="00E457C3">
            <w:pPr>
              <w:jc w:val="center"/>
              <w:rPr>
                <w:b/>
                <w:bCs/>
                <w:sz w:val="18"/>
                <w:szCs w:val="18"/>
                <w:lang w:val="en-GB"/>
              </w:rPr>
            </w:pPr>
            <w:r w:rsidRPr="00EB16EC">
              <w:rPr>
                <w:b/>
                <w:bCs/>
                <w:sz w:val="18"/>
                <w:szCs w:val="18"/>
                <w:lang w:val="en-GB"/>
              </w:rPr>
              <w:t>Estimate</w:t>
            </w:r>
            <w:r>
              <w:rPr>
                <w:b/>
                <w:bCs/>
                <w:sz w:val="18"/>
                <w:szCs w:val="18"/>
                <w:lang w:val="en-GB"/>
              </w:rPr>
              <w:t xml:space="preserve"> (</w:t>
            </w:r>
            <m:oMath>
              <m:sSub>
                <m:sSubPr>
                  <m:ctrlPr>
                    <w:rPr>
                      <w:rFonts w:ascii="Cambria Math" w:hAnsi="Cambria Math"/>
                      <w:b/>
                      <w:bCs/>
                      <w:i/>
                      <w:sz w:val="18"/>
                      <w:szCs w:val="18"/>
                      <w:lang w:val="en-GB"/>
                    </w:rPr>
                  </m:ctrlPr>
                </m:sSubPr>
                <m:e>
                  <m:r>
                    <m:rPr>
                      <m:sty m:val="bi"/>
                    </m:rPr>
                    <w:rPr>
                      <w:rFonts w:ascii="Cambria Math" w:hAnsi="Cambria Math"/>
                      <w:sz w:val="18"/>
                      <w:szCs w:val="18"/>
                      <w:lang w:val="en-GB"/>
                    </w:rPr>
                    <m:t>r</m:t>
                  </m:r>
                </m:e>
                <m:sub>
                  <m:r>
                    <m:rPr>
                      <m:sty m:val="bi"/>
                    </m:rPr>
                    <w:rPr>
                      <w:rFonts w:ascii="Cambria Math" w:hAnsi="Cambria Math"/>
                      <w:sz w:val="18"/>
                      <w:szCs w:val="18"/>
                      <w:lang w:val="en-GB"/>
                    </w:rPr>
                    <m:t>G</m:t>
                  </m:r>
                </m:sub>
              </m:sSub>
            </m:oMath>
            <w:r>
              <w:rPr>
                <w:rFonts w:eastAsiaTheme="minorEastAsia"/>
                <w:b/>
                <w:bCs/>
                <w:sz w:val="18"/>
                <w:szCs w:val="18"/>
                <w:lang w:val="en-GB"/>
              </w:rPr>
              <w:t>)</w:t>
            </w:r>
          </w:p>
        </w:tc>
        <w:tc>
          <w:tcPr>
            <w:tcW w:w="1354" w:type="dxa"/>
            <w:tcBorders>
              <w:top w:val="nil"/>
              <w:bottom w:val="single" w:sz="4" w:space="0" w:color="auto"/>
            </w:tcBorders>
            <w:vAlign w:val="center"/>
          </w:tcPr>
          <w:p w14:paraId="15AB4E49" w14:textId="77777777" w:rsidR="006C0432" w:rsidRPr="00EB16EC" w:rsidRDefault="006C0432" w:rsidP="00E457C3">
            <w:pPr>
              <w:jc w:val="center"/>
              <w:rPr>
                <w:b/>
                <w:bCs/>
                <w:sz w:val="18"/>
                <w:szCs w:val="18"/>
                <w:lang w:val="en-GB"/>
              </w:rPr>
            </w:pPr>
            <w:r w:rsidRPr="00EB16EC">
              <w:rPr>
                <w:b/>
                <w:bCs/>
                <w:sz w:val="18"/>
                <w:szCs w:val="18"/>
                <w:lang w:val="en-GB"/>
              </w:rPr>
              <w:t>Expl. Var</w:t>
            </w:r>
            <w:r>
              <w:rPr>
                <w:b/>
                <w:bCs/>
                <w:sz w:val="18"/>
                <w:szCs w:val="18"/>
                <w:lang w:val="en-GB"/>
              </w:rPr>
              <w:t>.</w:t>
            </w:r>
            <w:r>
              <w:rPr>
                <w:b/>
                <w:bCs/>
                <w:sz w:val="18"/>
                <w:szCs w:val="18"/>
                <w:vertAlign w:val="superscript"/>
                <w:lang w:val="en-GB"/>
              </w:rPr>
              <w:t>a</w:t>
            </w:r>
            <w:r w:rsidRPr="00EB16EC">
              <w:rPr>
                <w:b/>
                <w:bCs/>
                <w:sz w:val="18"/>
                <w:szCs w:val="18"/>
                <w:lang w:val="en-GB"/>
              </w:rPr>
              <w:t xml:space="preserve"> (%)</w:t>
            </w:r>
          </w:p>
        </w:tc>
        <w:tc>
          <w:tcPr>
            <w:tcW w:w="1275" w:type="dxa"/>
            <w:tcBorders>
              <w:top w:val="nil"/>
              <w:bottom w:val="single" w:sz="4" w:space="0" w:color="auto"/>
            </w:tcBorders>
            <w:vAlign w:val="center"/>
          </w:tcPr>
          <w:p w14:paraId="67E70C0D" w14:textId="77777777" w:rsidR="006C0432" w:rsidRPr="00EB16EC" w:rsidRDefault="006C0432" w:rsidP="00E457C3">
            <w:pPr>
              <w:jc w:val="center"/>
              <w:rPr>
                <w:b/>
                <w:bCs/>
                <w:sz w:val="18"/>
                <w:szCs w:val="18"/>
                <w:lang w:val="en-GB"/>
              </w:rPr>
            </w:pPr>
            <w:r w:rsidRPr="00EB16EC">
              <w:rPr>
                <w:b/>
                <w:bCs/>
                <w:sz w:val="18"/>
                <w:szCs w:val="18"/>
                <w:lang w:val="en-GB"/>
              </w:rPr>
              <w:t>P-value</w:t>
            </w:r>
          </w:p>
        </w:tc>
        <w:tc>
          <w:tcPr>
            <w:tcW w:w="1276" w:type="dxa"/>
            <w:tcBorders>
              <w:top w:val="nil"/>
              <w:bottom w:val="single" w:sz="4" w:space="0" w:color="auto"/>
            </w:tcBorders>
          </w:tcPr>
          <w:p w14:paraId="25C63E25" w14:textId="77777777" w:rsidR="006C0432" w:rsidRPr="00EB16EC" w:rsidRDefault="006C0432" w:rsidP="00E457C3">
            <w:pPr>
              <w:jc w:val="center"/>
              <w:rPr>
                <w:b/>
                <w:bCs/>
                <w:sz w:val="18"/>
                <w:szCs w:val="18"/>
                <w:lang w:val="en-GB"/>
              </w:rPr>
            </w:pPr>
            <w:r w:rsidRPr="00EB16EC">
              <w:rPr>
                <w:b/>
                <w:bCs/>
                <w:sz w:val="18"/>
                <w:szCs w:val="18"/>
                <w:lang w:val="en-GB"/>
              </w:rPr>
              <w:t>Expl. Var</w:t>
            </w:r>
            <w:r>
              <w:rPr>
                <w:b/>
                <w:bCs/>
                <w:sz w:val="18"/>
                <w:szCs w:val="18"/>
                <w:lang w:val="en-GB"/>
              </w:rPr>
              <w:t>.</w:t>
            </w:r>
            <w:r w:rsidRPr="008334C3">
              <w:rPr>
                <w:b/>
                <w:bCs/>
                <w:sz w:val="18"/>
                <w:szCs w:val="18"/>
                <w:vertAlign w:val="superscript"/>
                <w:lang w:val="en-GB"/>
              </w:rPr>
              <w:t>b</w:t>
            </w:r>
            <w:r w:rsidRPr="00EB16EC">
              <w:rPr>
                <w:b/>
                <w:bCs/>
                <w:sz w:val="18"/>
                <w:szCs w:val="18"/>
                <w:lang w:val="en-GB"/>
              </w:rPr>
              <w:t xml:space="preserve"> (%)</w:t>
            </w:r>
          </w:p>
        </w:tc>
        <w:tc>
          <w:tcPr>
            <w:tcW w:w="992" w:type="dxa"/>
            <w:tcBorders>
              <w:top w:val="nil"/>
              <w:bottom w:val="single" w:sz="4" w:space="0" w:color="auto"/>
            </w:tcBorders>
            <w:vAlign w:val="center"/>
          </w:tcPr>
          <w:p w14:paraId="414AC8BD" w14:textId="77777777" w:rsidR="006C0432" w:rsidRPr="00EB16EC" w:rsidRDefault="006C0432" w:rsidP="00E457C3">
            <w:pPr>
              <w:jc w:val="center"/>
              <w:rPr>
                <w:b/>
                <w:bCs/>
                <w:sz w:val="18"/>
                <w:szCs w:val="18"/>
                <w:lang w:val="en-GB"/>
              </w:rPr>
            </w:pPr>
            <w:r w:rsidRPr="00EB16EC">
              <w:rPr>
                <w:b/>
                <w:bCs/>
                <w:sz w:val="18"/>
                <w:szCs w:val="18"/>
                <w:lang w:val="en-GB"/>
              </w:rPr>
              <w:t>Error rate</w:t>
            </w:r>
          </w:p>
        </w:tc>
        <w:tc>
          <w:tcPr>
            <w:tcW w:w="909" w:type="dxa"/>
            <w:tcBorders>
              <w:top w:val="nil"/>
              <w:bottom w:val="single" w:sz="4" w:space="0" w:color="auto"/>
            </w:tcBorders>
            <w:vAlign w:val="center"/>
          </w:tcPr>
          <w:p w14:paraId="6D03D672" w14:textId="77777777" w:rsidR="006C0432" w:rsidRPr="00EB16EC" w:rsidRDefault="006C0432" w:rsidP="00E457C3">
            <w:pPr>
              <w:jc w:val="center"/>
              <w:rPr>
                <w:b/>
                <w:bCs/>
                <w:sz w:val="18"/>
                <w:szCs w:val="18"/>
                <w:lang w:val="en-GB"/>
              </w:rPr>
            </w:pPr>
            <w:r>
              <w:rPr>
                <w:b/>
                <w:bCs/>
                <w:sz w:val="18"/>
                <w:szCs w:val="18"/>
                <w:lang w:val="en-GB"/>
              </w:rPr>
              <w:t>I</w:t>
            </w:r>
            <w:r w:rsidRPr="00EB16EC">
              <w:rPr>
                <w:b/>
                <w:bCs/>
                <w:sz w:val="18"/>
                <w:szCs w:val="18"/>
                <w:lang w:val="en-GB"/>
              </w:rPr>
              <w:t>nflation</w:t>
            </w:r>
          </w:p>
        </w:tc>
      </w:tr>
      <w:tr w:rsidR="006C0432" w14:paraId="72402E2E" w14:textId="77777777" w:rsidTr="00E457C3">
        <w:tc>
          <w:tcPr>
            <w:tcW w:w="1706" w:type="dxa"/>
            <w:tcBorders>
              <w:top w:val="single" w:sz="4" w:space="0" w:color="auto"/>
            </w:tcBorders>
          </w:tcPr>
          <w:p w14:paraId="005FA689" w14:textId="77777777" w:rsidR="006C0432" w:rsidRPr="0040555B" w:rsidRDefault="006C0432" w:rsidP="00E457C3">
            <w:pPr>
              <w:rPr>
                <w:sz w:val="18"/>
                <w:szCs w:val="18"/>
                <w:lang w:val="en-GB"/>
              </w:rPr>
            </w:pPr>
            <w:r>
              <w:rPr>
                <w:sz w:val="18"/>
                <w:szCs w:val="18"/>
                <w:lang w:val="en-GB"/>
              </w:rPr>
              <w:t>Artery (tibial)</w:t>
            </w:r>
          </w:p>
        </w:tc>
        <w:tc>
          <w:tcPr>
            <w:tcW w:w="1276" w:type="dxa"/>
            <w:tcBorders>
              <w:top w:val="single" w:sz="4" w:space="0" w:color="auto"/>
            </w:tcBorders>
            <w:vAlign w:val="center"/>
          </w:tcPr>
          <w:p w14:paraId="7084875F"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0.0375</m:t>
                </m:r>
              </m:oMath>
            </m:oMathPara>
          </w:p>
        </w:tc>
        <w:tc>
          <w:tcPr>
            <w:tcW w:w="1276" w:type="dxa"/>
            <w:tcBorders>
              <w:top w:val="single" w:sz="4" w:space="0" w:color="auto"/>
            </w:tcBorders>
            <w:vAlign w:val="center"/>
          </w:tcPr>
          <w:p w14:paraId="274A2ACC" w14:textId="77777777" w:rsidR="006C0432" w:rsidRPr="0040555B" w:rsidRDefault="006C0432" w:rsidP="00E457C3">
            <w:pPr>
              <w:jc w:val="center"/>
              <w:rPr>
                <w:sz w:val="18"/>
                <w:szCs w:val="18"/>
                <w:lang w:val="en-GB"/>
              </w:rPr>
            </w:pPr>
            <w:r>
              <w:rPr>
                <w:sz w:val="18"/>
                <w:szCs w:val="18"/>
                <w:lang w:val="en-GB"/>
              </w:rPr>
              <w:t>-0.087</w:t>
            </w:r>
          </w:p>
        </w:tc>
        <w:tc>
          <w:tcPr>
            <w:tcW w:w="1354" w:type="dxa"/>
            <w:tcBorders>
              <w:top w:val="single" w:sz="4" w:space="0" w:color="auto"/>
            </w:tcBorders>
            <w:vAlign w:val="center"/>
          </w:tcPr>
          <w:p w14:paraId="63588988" w14:textId="77777777" w:rsidR="006C0432" w:rsidRPr="0040555B" w:rsidRDefault="006C0432" w:rsidP="00E457C3">
            <w:pPr>
              <w:jc w:val="center"/>
              <w:rPr>
                <w:sz w:val="18"/>
                <w:szCs w:val="18"/>
                <w:lang w:val="en-GB"/>
              </w:rPr>
            </w:pPr>
            <w:r>
              <w:rPr>
                <w:sz w:val="18"/>
                <w:szCs w:val="18"/>
                <w:lang w:val="en-GB"/>
              </w:rPr>
              <w:t>0.76</w:t>
            </w:r>
          </w:p>
        </w:tc>
        <w:tc>
          <w:tcPr>
            <w:tcW w:w="1275" w:type="dxa"/>
            <w:tcBorders>
              <w:top w:val="single" w:sz="4" w:space="0" w:color="auto"/>
            </w:tcBorders>
            <w:vAlign w:val="center"/>
          </w:tcPr>
          <w:p w14:paraId="56A113CD"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7.45×</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-5</m:t>
                    </m:r>
                  </m:sup>
                </m:sSup>
              </m:oMath>
            </m:oMathPara>
          </w:p>
        </w:tc>
        <w:tc>
          <w:tcPr>
            <w:tcW w:w="1276" w:type="dxa"/>
            <w:tcBorders>
              <w:top w:val="single" w:sz="4" w:space="0" w:color="auto"/>
            </w:tcBorders>
          </w:tcPr>
          <w:p w14:paraId="7C8180CD" w14:textId="77777777" w:rsidR="006C0432" w:rsidRDefault="006C0432" w:rsidP="00E457C3">
            <w:pPr>
              <w:jc w:val="center"/>
              <w:rPr>
                <w:sz w:val="18"/>
                <w:szCs w:val="18"/>
                <w:lang w:val="en-GB"/>
              </w:rPr>
            </w:pPr>
            <w:r>
              <w:rPr>
                <w:sz w:val="18"/>
                <w:szCs w:val="18"/>
                <w:lang w:val="en-GB"/>
              </w:rPr>
              <w:t>0.0028</w:t>
            </w:r>
          </w:p>
        </w:tc>
        <w:tc>
          <w:tcPr>
            <w:tcW w:w="992" w:type="dxa"/>
            <w:tcBorders>
              <w:top w:val="single" w:sz="4" w:space="0" w:color="auto"/>
            </w:tcBorders>
            <w:vAlign w:val="center"/>
          </w:tcPr>
          <w:p w14:paraId="0F3736CE" w14:textId="77777777" w:rsidR="006C0432" w:rsidRPr="0040555B" w:rsidRDefault="006C0432" w:rsidP="00E457C3">
            <w:pPr>
              <w:jc w:val="center"/>
              <w:rPr>
                <w:sz w:val="18"/>
                <w:szCs w:val="18"/>
                <w:lang w:val="en-GB"/>
              </w:rPr>
            </w:pPr>
            <w:r>
              <w:rPr>
                <w:sz w:val="18"/>
                <w:szCs w:val="18"/>
                <w:lang w:val="en-GB"/>
              </w:rPr>
              <w:t>0.0092</w:t>
            </w:r>
          </w:p>
        </w:tc>
        <w:tc>
          <w:tcPr>
            <w:tcW w:w="909" w:type="dxa"/>
            <w:tcBorders>
              <w:top w:val="single" w:sz="4" w:space="0" w:color="auto"/>
            </w:tcBorders>
            <w:vAlign w:val="center"/>
          </w:tcPr>
          <w:p w14:paraId="543E39E7" w14:textId="77777777" w:rsidR="006C0432" w:rsidRPr="0040555B" w:rsidRDefault="006C0432" w:rsidP="00E457C3">
            <w:pPr>
              <w:jc w:val="center"/>
              <w:rPr>
                <w:sz w:val="18"/>
                <w:szCs w:val="18"/>
                <w:lang w:val="en-GB"/>
              </w:rPr>
            </w:pPr>
            <w:r>
              <w:rPr>
                <w:sz w:val="18"/>
                <w:szCs w:val="18"/>
                <w:lang w:val="en-GB"/>
              </w:rPr>
              <w:t>15615</w:t>
            </w:r>
          </w:p>
        </w:tc>
      </w:tr>
      <w:tr w:rsidR="006C0432" w14:paraId="3CE0F099" w14:textId="77777777" w:rsidTr="00E457C3">
        <w:tc>
          <w:tcPr>
            <w:tcW w:w="1706" w:type="dxa"/>
          </w:tcPr>
          <w:p w14:paraId="23387DB1" w14:textId="77777777" w:rsidR="006C0432" w:rsidRPr="0040555B" w:rsidRDefault="006C0432" w:rsidP="00E457C3">
            <w:pPr>
              <w:rPr>
                <w:sz w:val="18"/>
                <w:szCs w:val="18"/>
                <w:lang w:val="en-GB"/>
              </w:rPr>
            </w:pPr>
            <w:r>
              <w:rPr>
                <w:sz w:val="18"/>
                <w:szCs w:val="18"/>
                <w:lang w:val="en-GB"/>
              </w:rPr>
              <w:t>Esophagus (mucosa)</w:t>
            </w:r>
          </w:p>
        </w:tc>
        <w:tc>
          <w:tcPr>
            <w:tcW w:w="1276" w:type="dxa"/>
            <w:vAlign w:val="center"/>
          </w:tcPr>
          <w:p w14:paraId="493AC731"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0.530</m:t>
                </m:r>
              </m:oMath>
            </m:oMathPara>
          </w:p>
        </w:tc>
        <w:tc>
          <w:tcPr>
            <w:tcW w:w="1276" w:type="dxa"/>
            <w:vAlign w:val="center"/>
          </w:tcPr>
          <w:p w14:paraId="6EF87F1C" w14:textId="77777777" w:rsidR="006C0432" w:rsidRPr="0040555B" w:rsidRDefault="006C0432" w:rsidP="00E457C3">
            <w:pPr>
              <w:jc w:val="center"/>
              <w:rPr>
                <w:sz w:val="18"/>
                <w:szCs w:val="18"/>
                <w:lang w:val="en-GB"/>
              </w:rPr>
            </w:pPr>
            <w:r>
              <w:rPr>
                <w:sz w:val="18"/>
                <w:szCs w:val="18"/>
                <w:lang w:val="en-GB"/>
              </w:rPr>
              <w:t>0.025</w:t>
            </w:r>
          </w:p>
        </w:tc>
        <w:tc>
          <w:tcPr>
            <w:tcW w:w="1354" w:type="dxa"/>
            <w:vAlign w:val="center"/>
          </w:tcPr>
          <w:p w14:paraId="4E314CFB" w14:textId="77777777" w:rsidR="006C0432" w:rsidRPr="0040555B" w:rsidRDefault="006C0432" w:rsidP="00E457C3">
            <w:pPr>
              <w:jc w:val="center"/>
              <w:rPr>
                <w:sz w:val="18"/>
                <w:szCs w:val="18"/>
                <w:lang w:val="en-GB"/>
              </w:rPr>
            </w:pPr>
            <w:r>
              <w:rPr>
                <w:sz w:val="18"/>
                <w:szCs w:val="18"/>
                <w:lang w:val="en-GB"/>
              </w:rPr>
              <w:t>0.06</w:t>
            </w:r>
          </w:p>
        </w:tc>
        <w:tc>
          <w:tcPr>
            <w:tcW w:w="1275" w:type="dxa"/>
            <w:vAlign w:val="center"/>
          </w:tcPr>
          <w:p w14:paraId="5463241B"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0.273</m:t>
                </m:r>
              </m:oMath>
            </m:oMathPara>
          </w:p>
        </w:tc>
        <w:tc>
          <w:tcPr>
            <w:tcW w:w="1276" w:type="dxa"/>
          </w:tcPr>
          <w:p w14:paraId="7A6D015D" w14:textId="77777777" w:rsidR="006C0432" w:rsidRDefault="006C0432" w:rsidP="00E457C3">
            <w:pPr>
              <w:jc w:val="center"/>
              <w:rPr>
                <w:sz w:val="18"/>
                <w:szCs w:val="18"/>
                <w:lang w:val="en-GB"/>
              </w:rPr>
            </w:pPr>
            <w:r>
              <w:rPr>
                <w:sz w:val="18"/>
                <w:szCs w:val="18"/>
                <w:lang w:val="en-GB"/>
              </w:rPr>
              <w:t>0.0002</w:t>
            </w:r>
          </w:p>
        </w:tc>
        <w:tc>
          <w:tcPr>
            <w:tcW w:w="992" w:type="dxa"/>
            <w:vAlign w:val="center"/>
          </w:tcPr>
          <w:p w14:paraId="42DA39A8" w14:textId="77777777" w:rsidR="006C0432" w:rsidRPr="0040555B" w:rsidRDefault="006C0432" w:rsidP="00E457C3">
            <w:pPr>
              <w:jc w:val="center"/>
              <w:rPr>
                <w:sz w:val="18"/>
                <w:szCs w:val="18"/>
                <w:lang w:val="en-GB"/>
              </w:rPr>
            </w:pPr>
            <w:r>
              <w:rPr>
                <w:sz w:val="18"/>
                <w:szCs w:val="18"/>
                <w:lang w:val="en-GB"/>
              </w:rPr>
              <w:t>0.0041</w:t>
            </w:r>
          </w:p>
        </w:tc>
        <w:tc>
          <w:tcPr>
            <w:tcW w:w="909" w:type="dxa"/>
            <w:vAlign w:val="center"/>
          </w:tcPr>
          <w:p w14:paraId="48E2B906" w14:textId="77777777" w:rsidR="006C0432" w:rsidRPr="0040555B" w:rsidRDefault="006C0432" w:rsidP="00E457C3">
            <w:pPr>
              <w:jc w:val="center"/>
              <w:rPr>
                <w:sz w:val="18"/>
                <w:szCs w:val="18"/>
                <w:lang w:val="en-GB"/>
              </w:rPr>
            </w:pPr>
            <w:r>
              <w:rPr>
                <w:sz w:val="18"/>
                <w:szCs w:val="18"/>
                <w:lang w:val="en-GB"/>
              </w:rPr>
              <w:t>6898</w:t>
            </w:r>
          </w:p>
        </w:tc>
      </w:tr>
      <w:tr w:rsidR="006C0432" w14:paraId="1DBFD012" w14:textId="77777777" w:rsidTr="00E457C3">
        <w:tc>
          <w:tcPr>
            <w:tcW w:w="1706" w:type="dxa"/>
          </w:tcPr>
          <w:p w14:paraId="1C7AFA1F" w14:textId="77777777" w:rsidR="006C0432" w:rsidRPr="0040555B" w:rsidRDefault="006C0432" w:rsidP="00E457C3">
            <w:pPr>
              <w:rPr>
                <w:sz w:val="18"/>
                <w:szCs w:val="18"/>
                <w:lang w:val="en-GB"/>
              </w:rPr>
            </w:pPr>
            <w:r>
              <w:rPr>
                <w:sz w:val="18"/>
                <w:szCs w:val="18"/>
                <w:lang w:val="en-GB"/>
              </w:rPr>
              <w:t>Muscle (skeletal)</w:t>
            </w:r>
          </w:p>
        </w:tc>
        <w:tc>
          <w:tcPr>
            <w:tcW w:w="1276" w:type="dxa"/>
            <w:vAlign w:val="center"/>
          </w:tcPr>
          <w:p w14:paraId="34DA3740"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0.925</m:t>
                </m:r>
              </m:oMath>
            </m:oMathPara>
          </w:p>
        </w:tc>
        <w:tc>
          <w:tcPr>
            <w:tcW w:w="1276" w:type="dxa"/>
            <w:vAlign w:val="center"/>
          </w:tcPr>
          <w:p w14:paraId="328670BC" w14:textId="77777777" w:rsidR="006C0432" w:rsidRPr="0040555B" w:rsidRDefault="006C0432" w:rsidP="00E457C3">
            <w:pPr>
              <w:jc w:val="center"/>
              <w:rPr>
                <w:sz w:val="18"/>
                <w:szCs w:val="18"/>
                <w:lang w:val="en-GB"/>
              </w:rPr>
            </w:pPr>
            <w:r>
              <w:rPr>
                <w:sz w:val="18"/>
                <w:szCs w:val="18"/>
                <w:lang w:val="en-GB"/>
              </w:rPr>
              <w:t>0.005</w:t>
            </w:r>
          </w:p>
        </w:tc>
        <w:tc>
          <w:tcPr>
            <w:tcW w:w="1354" w:type="dxa"/>
            <w:vAlign w:val="center"/>
          </w:tcPr>
          <w:p w14:paraId="6A9FB802" w14:textId="77777777" w:rsidR="006C0432" w:rsidRPr="0040555B" w:rsidRDefault="006C0432" w:rsidP="00E457C3">
            <w:pPr>
              <w:jc w:val="center"/>
              <w:rPr>
                <w:sz w:val="18"/>
                <w:szCs w:val="18"/>
                <w:lang w:val="en-GB"/>
              </w:rPr>
            </w:pPr>
            <w:r>
              <w:rPr>
                <w:sz w:val="18"/>
                <w:szCs w:val="18"/>
                <w:lang w:val="en-GB"/>
              </w:rPr>
              <w:t>0.00</w:t>
            </w:r>
          </w:p>
        </w:tc>
        <w:tc>
          <w:tcPr>
            <w:tcW w:w="1275" w:type="dxa"/>
            <w:vAlign w:val="center"/>
          </w:tcPr>
          <w:p w14:paraId="0C630B28"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0.832</m:t>
                </m:r>
              </m:oMath>
            </m:oMathPara>
          </w:p>
        </w:tc>
        <w:tc>
          <w:tcPr>
            <w:tcW w:w="1276" w:type="dxa"/>
          </w:tcPr>
          <w:p w14:paraId="4EAFBC9F" w14:textId="77777777" w:rsidR="006C0432" w:rsidRDefault="006C0432" w:rsidP="00E457C3">
            <w:pPr>
              <w:jc w:val="center"/>
              <w:rPr>
                <w:sz w:val="18"/>
                <w:szCs w:val="18"/>
                <w:lang w:val="en-GB"/>
              </w:rPr>
            </w:pPr>
            <w:r>
              <w:rPr>
                <w:sz w:val="18"/>
                <w:szCs w:val="18"/>
                <w:lang w:val="en-GB"/>
              </w:rPr>
              <w:t>0.0000</w:t>
            </w:r>
          </w:p>
        </w:tc>
        <w:tc>
          <w:tcPr>
            <w:tcW w:w="992" w:type="dxa"/>
            <w:vAlign w:val="center"/>
          </w:tcPr>
          <w:p w14:paraId="46E3F75A" w14:textId="77777777" w:rsidR="006C0432" w:rsidRPr="0040555B" w:rsidRDefault="006C0432" w:rsidP="00E457C3">
            <w:pPr>
              <w:jc w:val="center"/>
              <w:rPr>
                <w:sz w:val="18"/>
                <w:szCs w:val="18"/>
                <w:lang w:val="en-GB"/>
              </w:rPr>
            </w:pPr>
            <w:r>
              <w:rPr>
                <w:sz w:val="18"/>
                <w:szCs w:val="18"/>
                <w:lang w:val="en-GB"/>
              </w:rPr>
              <w:t>0.0271</w:t>
            </w:r>
          </w:p>
        </w:tc>
        <w:tc>
          <w:tcPr>
            <w:tcW w:w="909" w:type="dxa"/>
            <w:vAlign w:val="center"/>
          </w:tcPr>
          <w:p w14:paraId="32951E80" w14:textId="77777777" w:rsidR="006C0432" w:rsidRPr="0040555B" w:rsidRDefault="006C0432" w:rsidP="00E457C3">
            <w:pPr>
              <w:jc w:val="center"/>
              <w:rPr>
                <w:sz w:val="18"/>
                <w:szCs w:val="18"/>
                <w:lang w:val="en-GB"/>
              </w:rPr>
            </w:pPr>
            <w:r>
              <w:rPr>
                <w:sz w:val="18"/>
                <w:szCs w:val="18"/>
                <w:lang w:val="en-GB"/>
              </w:rPr>
              <w:t>45898</w:t>
            </w:r>
          </w:p>
        </w:tc>
      </w:tr>
      <w:tr w:rsidR="006C0432" w14:paraId="7177AD16" w14:textId="77777777" w:rsidTr="00E457C3">
        <w:tc>
          <w:tcPr>
            <w:tcW w:w="1706" w:type="dxa"/>
          </w:tcPr>
          <w:p w14:paraId="629E0586" w14:textId="77777777" w:rsidR="006C0432" w:rsidRPr="0040555B" w:rsidRDefault="006C0432" w:rsidP="00E457C3">
            <w:pPr>
              <w:rPr>
                <w:sz w:val="18"/>
                <w:szCs w:val="18"/>
                <w:lang w:val="en-GB"/>
              </w:rPr>
            </w:pPr>
            <w:r>
              <w:rPr>
                <w:sz w:val="18"/>
                <w:szCs w:val="18"/>
                <w:lang w:val="en-GB"/>
              </w:rPr>
              <w:t>Skin (lower leg)</w:t>
            </w:r>
          </w:p>
        </w:tc>
        <w:tc>
          <w:tcPr>
            <w:tcW w:w="1276" w:type="dxa"/>
            <w:vAlign w:val="center"/>
          </w:tcPr>
          <w:p w14:paraId="6346CE5A"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3.50×</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-4</m:t>
                    </m:r>
                  </m:sup>
                </m:sSup>
              </m:oMath>
            </m:oMathPara>
          </w:p>
        </w:tc>
        <w:tc>
          <w:tcPr>
            <w:tcW w:w="1276" w:type="dxa"/>
            <w:vAlign w:val="center"/>
          </w:tcPr>
          <w:p w14:paraId="2E674962" w14:textId="77777777" w:rsidR="006C0432" w:rsidRPr="0040555B" w:rsidRDefault="006C0432" w:rsidP="00E457C3">
            <w:pPr>
              <w:jc w:val="center"/>
              <w:rPr>
                <w:sz w:val="18"/>
                <w:szCs w:val="18"/>
                <w:lang w:val="en-GB"/>
              </w:rPr>
            </w:pPr>
            <w:r>
              <w:rPr>
                <w:sz w:val="18"/>
                <w:szCs w:val="18"/>
                <w:lang w:val="en-GB"/>
              </w:rPr>
              <w:t>0.142</w:t>
            </w:r>
          </w:p>
        </w:tc>
        <w:tc>
          <w:tcPr>
            <w:tcW w:w="1354" w:type="dxa"/>
            <w:vAlign w:val="center"/>
          </w:tcPr>
          <w:p w14:paraId="4B7703A7" w14:textId="77777777" w:rsidR="006C0432" w:rsidRPr="0040555B" w:rsidRDefault="006C0432" w:rsidP="00E457C3">
            <w:pPr>
              <w:jc w:val="center"/>
              <w:rPr>
                <w:sz w:val="18"/>
                <w:szCs w:val="18"/>
                <w:lang w:val="en-GB"/>
              </w:rPr>
            </w:pPr>
            <w:r>
              <w:rPr>
                <w:sz w:val="18"/>
                <w:szCs w:val="18"/>
                <w:lang w:val="en-GB"/>
              </w:rPr>
              <w:t>2.00</w:t>
            </w:r>
          </w:p>
        </w:tc>
        <w:tc>
          <w:tcPr>
            <w:tcW w:w="1275" w:type="dxa"/>
            <w:vAlign w:val="center"/>
          </w:tcPr>
          <w:p w14:paraId="2FD3E959"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2.46×</m:t>
                </m:r>
                <m:sSup>
                  <m:sSupPr>
                    <m:ctrlPr>
                      <w:rPr>
                        <w:rFonts w:ascii="Cambria Math" w:hAnsi="Cambria Math"/>
                        <w:i/>
                        <w:sz w:val="18"/>
                        <w:szCs w:val="18"/>
                        <w:lang w:val="en-GB"/>
                      </w:rPr>
                    </m:ctrlPr>
                  </m:sSupPr>
                  <m:e>
                    <m:r>
                      <w:rPr>
                        <w:rFonts w:ascii="Cambria Math" w:hAnsi="Cambria Math"/>
                        <w:sz w:val="18"/>
                        <w:szCs w:val="18"/>
                        <w:lang w:val="en-GB"/>
                      </w:rPr>
                      <m:t>10</m:t>
                    </m:r>
                  </m:e>
                  <m:sup>
                    <m:r>
                      <w:rPr>
                        <w:rFonts w:ascii="Cambria Math" w:hAnsi="Cambria Math"/>
                        <w:sz w:val="18"/>
                        <w:szCs w:val="18"/>
                        <w:lang w:val="en-GB"/>
                      </w:rPr>
                      <m:t>-11</m:t>
                    </m:r>
                  </m:sup>
                </m:sSup>
              </m:oMath>
            </m:oMathPara>
          </w:p>
        </w:tc>
        <w:tc>
          <w:tcPr>
            <w:tcW w:w="1276" w:type="dxa"/>
          </w:tcPr>
          <w:p w14:paraId="6FABC057" w14:textId="77777777" w:rsidR="006C0432" w:rsidRDefault="006C0432" w:rsidP="00E457C3">
            <w:pPr>
              <w:jc w:val="center"/>
              <w:rPr>
                <w:sz w:val="18"/>
                <w:szCs w:val="18"/>
                <w:lang w:val="en-GB"/>
              </w:rPr>
            </w:pPr>
            <w:r>
              <w:rPr>
                <w:sz w:val="18"/>
                <w:szCs w:val="18"/>
                <w:lang w:val="en-GB"/>
              </w:rPr>
              <w:t>0.0078</w:t>
            </w:r>
          </w:p>
        </w:tc>
        <w:tc>
          <w:tcPr>
            <w:tcW w:w="992" w:type="dxa"/>
            <w:vAlign w:val="center"/>
          </w:tcPr>
          <w:p w14:paraId="2AFEAE9C" w14:textId="77777777" w:rsidR="006C0432" w:rsidRPr="0040555B" w:rsidRDefault="006C0432" w:rsidP="00E457C3">
            <w:pPr>
              <w:jc w:val="center"/>
              <w:rPr>
                <w:sz w:val="18"/>
                <w:szCs w:val="18"/>
                <w:lang w:val="en-GB"/>
              </w:rPr>
            </w:pPr>
            <w:r>
              <w:rPr>
                <w:sz w:val="18"/>
                <w:szCs w:val="18"/>
                <w:lang w:val="en-GB"/>
              </w:rPr>
              <w:t>0.0066</w:t>
            </w:r>
          </w:p>
        </w:tc>
        <w:tc>
          <w:tcPr>
            <w:tcW w:w="909" w:type="dxa"/>
            <w:vAlign w:val="center"/>
          </w:tcPr>
          <w:p w14:paraId="077D6AD2" w14:textId="77777777" w:rsidR="006C0432" w:rsidRPr="0040555B" w:rsidRDefault="006C0432" w:rsidP="00E457C3">
            <w:pPr>
              <w:jc w:val="center"/>
              <w:rPr>
                <w:sz w:val="18"/>
                <w:szCs w:val="18"/>
                <w:lang w:val="en-GB"/>
              </w:rPr>
            </w:pPr>
            <w:r>
              <w:rPr>
                <w:sz w:val="18"/>
                <w:szCs w:val="18"/>
                <w:lang w:val="en-GB"/>
              </w:rPr>
              <w:t>11205</w:t>
            </w:r>
          </w:p>
        </w:tc>
      </w:tr>
      <w:tr w:rsidR="006C0432" w14:paraId="1B7C0A07" w14:textId="77777777" w:rsidTr="00E457C3">
        <w:tc>
          <w:tcPr>
            <w:tcW w:w="1706" w:type="dxa"/>
          </w:tcPr>
          <w:p w14:paraId="17382B0B" w14:textId="77777777" w:rsidR="006C0432" w:rsidRPr="0040555B" w:rsidRDefault="006C0432" w:rsidP="00E457C3">
            <w:pPr>
              <w:rPr>
                <w:sz w:val="18"/>
                <w:szCs w:val="18"/>
                <w:lang w:val="en-GB"/>
              </w:rPr>
            </w:pPr>
            <w:r>
              <w:rPr>
                <w:sz w:val="18"/>
                <w:szCs w:val="18"/>
                <w:lang w:val="en-GB"/>
              </w:rPr>
              <w:t>Thyroid</w:t>
            </w:r>
          </w:p>
        </w:tc>
        <w:tc>
          <w:tcPr>
            <w:tcW w:w="1276" w:type="dxa"/>
            <w:vAlign w:val="center"/>
          </w:tcPr>
          <w:p w14:paraId="60D7F6D2" w14:textId="77777777" w:rsidR="006C0432" w:rsidRPr="0040555B" w:rsidRDefault="006C0432" w:rsidP="00E457C3">
            <w:pPr>
              <w:jc w:val="center"/>
              <w:rPr>
                <w:sz w:val="18"/>
                <w:szCs w:val="18"/>
                <w:lang w:val="en-GB"/>
              </w:rPr>
            </w:pPr>
            <m:oMathPara>
              <m:oMath>
                <m:r>
                  <w:rPr>
                    <w:rFonts w:ascii="Cambria Math" w:hAnsi="Cambria Math"/>
                    <w:sz w:val="18"/>
                    <w:szCs w:val="18"/>
                    <w:lang w:val="en-GB"/>
                  </w:rPr>
                  <m:t>0.419</m:t>
                </m:r>
              </m:oMath>
            </m:oMathPara>
          </w:p>
        </w:tc>
        <w:tc>
          <w:tcPr>
            <w:tcW w:w="1276" w:type="dxa"/>
            <w:vAlign w:val="center"/>
          </w:tcPr>
          <w:p w14:paraId="5824CE79" w14:textId="77777777" w:rsidR="006C0432" w:rsidRPr="0040555B" w:rsidRDefault="006C0432" w:rsidP="00E457C3">
            <w:pPr>
              <w:jc w:val="center"/>
              <w:rPr>
                <w:sz w:val="18"/>
                <w:szCs w:val="18"/>
                <w:lang w:val="en-GB"/>
              </w:rPr>
            </w:pPr>
            <w:r>
              <w:rPr>
                <w:sz w:val="18"/>
                <w:szCs w:val="18"/>
                <w:lang w:val="en-GB"/>
              </w:rPr>
              <w:t>-0.030</w:t>
            </w:r>
          </w:p>
        </w:tc>
        <w:tc>
          <w:tcPr>
            <w:tcW w:w="1354" w:type="dxa"/>
            <w:vAlign w:val="center"/>
          </w:tcPr>
          <w:p w14:paraId="1711DF49" w14:textId="77777777" w:rsidR="006C0432" w:rsidRPr="0040555B" w:rsidRDefault="006C0432" w:rsidP="00E457C3">
            <w:pPr>
              <w:jc w:val="center"/>
              <w:rPr>
                <w:sz w:val="18"/>
                <w:szCs w:val="18"/>
                <w:lang w:val="en-GB"/>
              </w:rPr>
            </w:pPr>
            <w:r>
              <w:rPr>
                <w:sz w:val="18"/>
                <w:szCs w:val="18"/>
                <w:lang w:val="en-GB"/>
              </w:rPr>
              <w:t>0.09</w:t>
            </w:r>
          </w:p>
        </w:tc>
        <w:tc>
          <w:tcPr>
            <w:tcW w:w="1275" w:type="dxa"/>
            <w:vAlign w:val="center"/>
          </w:tcPr>
          <w:p w14:paraId="23AFB981" w14:textId="77777777" w:rsidR="006C0432" w:rsidRPr="0040555B" w:rsidRDefault="006C0432" w:rsidP="00E457C3">
            <w:pPr>
              <w:jc w:val="center"/>
              <w:rPr>
                <w:sz w:val="18"/>
                <w:szCs w:val="18"/>
                <w:lang w:val="en-GB"/>
              </w:rPr>
            </w:pPr>
            <w:r>
              <w:rPr>
                <w:sz w:val="18"/>
                <w:szCs w:val="18"/>
                <w:lang w:val="en-GB"/>
              </w:rPr>
              <w:t>0.152</w:t>
            </w:r>
          </w:p>
        </w:tc>
        <w:tc>
          <w:tcPr>
            <w:tcW w:w="1276" w:type="dxa"/>
          </w:tcPr>
          <w:p w14:paraId="276C565E" w14:textId="77777777" w:rsidR="006C0432" w:rsidRDefault="006C0432" w:rsidP="00E457C3">
            <w:pPr>
              <w:jc w:val="center"/>
              <w:rPr>
                <w:sz w:val="18"/>
                <w:szCs w:val="18"/>
                <w:lang w:val="en-GB"/>
              </w:rPr>
            </w:pPr>
            <w:r>
              <w:rPr>
                <w:sz w:val="18"/>
                <w:szCs w:val="18"/>
                <w:lang w:val="en-GB"/>
              </w:rPr>
              <w:t>0.0004</w:t>
            </w:r>
          </w:p>
        </w:tc>
        <w:tc>
          <w:tcPr>
            <w:tcW w:w="992" w:type="dxa"/>
            <w:vAlign w:val="center"/>
          </w:tcPr>
          <w:p w14:paraId="023A1916" w14:textId="77777777" w:rsidR="006C0432" w:rsidRPr="0040555B" w:rsidRDefault="006C0432" w:rsidP="00E457C3">
            <w:pPr>
              <w:jc w:val="center"/>
              <w:rPr>
                <w:sz w:val="18"/>
                <w:szCs w:val="18"/>
                <w:lang w:val="en-GB"/>
              </w:rPr>
            </w:pPr>
            <w:r>
              <w:rPr>
                <w:sz w:val="18"/>
                <w:szCs w:val="18"/>
                <w:lang w:val="en-GB"/>
              </w:rPr>
              <w:t>0.0047</w:t>
            </w:r>
          </w:p>
        </w:tc>
        <w:tc>
          <w:tcPr>
            <w:tcW w:w="909" w:type="dxa"/>
            <w:vAlign w:val="center"/>
          </w:tcPr>
          <w:p w14:paraId="09E118AB" w14:textId="77777777" w:rsidR="006C0432" w:rsidRPr="0040555B" w:rsidRDefault="006C0432" w:rsidP="00E457C3">
            <w:pPr>
              <w:jc w:val="center"/>
              <w:rPr>
                <w:sz w:val="18"/>
                <w:szCs w:val="18"/>
                <w:lang w:val="en-GB"/>
              </w:rPr>
            </w:pPr>
            <w:r>
              <w:rPr>
                <w:sz w:val="18"/>
                <w:szCs w:val="18"/>
                <w:lang w:val="en-GB"/>
              </w:rPr>
              <w:t>7945</w:t>
            </w:r>
          </w:p>
        </w:tc>
      </w:tr>
    </w:tbl>
    <w:p w14:paraId="009977F8" w14:textId="77777777" w:rsidR="006C0432" w:rsidRDefault="006C0432" w:rsidP="006C0432">
      <w:pPr>
        <w:rPr>
          <w:rFonts w:eastAsiaTheme="minorEastAsia"/>
          <w:sz w:val="16"/>
          <w:szCs w:val="16"/>
          <w:lang w:val="en-GB"/>
        </w:rPr>
      </w:pPr>
      <w:r>
        <w:rPr>
          <w:sz w:val="16"/>
          <w:szCs w:val="16"/>
          <w:lang w:val="en-GB"/>
        </w:rPr>
        <w:t xml:space="preserve">The significance threshold and expected error rate per analysis for BMI is </w:t>
      </w:r>
      <m:oMath>
        <m:r>
          <w:rPr>
            <w:rFonts w:ascii="Cambria Math" w:hAnsi="Cambria Math"/>
            <w:sz w:val="16"/>
            <w:szCs w:val="16"/>
            <w:lang w:val="en-GB"/>
          </w:rPr>
          <m:t>5.91×</m:t>
        </m:r>
        <m:sSup>
          <m:sSupPr>
            <m:ctrlPr>
              <w:rPr>
                <w:rFonts w:ascii="Cambria Math" w:hAnsi="Cambria Math"/>
                <w:i/>
                <w:sz w:val="16"/>
                <w:szCs w:val="16"/>
                <w:lang w:val="en-GB"/>
              </w:rPr>
            </m:ctrlPr>
          </m:sSupPr>
          <m:e>
            <m:r>
              <w:rPr>
                <w:rFonts w:ascii="Cambria Math" w:hAnsi="Cambria Math"/>
                <w:sz w:val="16"/>
                <w:szCs w:val="16"/>
                <w:lang w:val="en-GB"/>
              </w:rPr>
              <m:t>10</m:t>
            </m:r>
          </m:e>
          <m:sup>
            <m:r>
              <w:rPr>
                <w:rFonts w:ascii="Cambria Math" w:hAnsi="Cambria Math"/>
                <w:sz w:val="16"/>
                <w:szCs w:val="16"/>
                <w:lang w:val="en-GB"/>
              </w:rPr>
              <m:t>-7</m:t>
            </m:r>
          </m:sup>
        </m:sSup>
      </m:oMath>
      <w:r>
        <w:rPr>
          <w:rFonts w:eastAsiaTheme="minorEastAsia"/>
          <w:sz w:val="16"/>
          <w:szCs w:val="16"/>
          <w:lang w:val="en-GB"/>
        </w:rPr>
        <w:t xml:space="preserve">, error rate inflation is computed as the observed error rate divided by this significance threshold. </w:t>
      </w:r>
    </w:p>
    <w:p w14:paraId="1A9C09A0" w14:textId="77777777" w:rsidR="006C0432" w:rsidRPr="00BB1EB7" w:rsidRDefault="006C0432" w:rsidP="006C0432">
      <w:pPr>
        <w:rPr>
          <w:rFonts w:eastAsiaTheme="minorEastAsia"/>
          <w:i/>
          <w:sz w:val="16"/>
          <w:szCs w:val="16"/>
          <w:lang w:val="en-GB"/>
        </w:rPr>
      </w:pPr>
      <w:r w:rsidRPr="008334C3">
        <w:rPr>
          <w:rFonts w:eastAsiaTheme="minorEastAsia"/>
          <w:sz w:val="16"/>
          <w:szCs w:val="16"/>
          <w:vertAlign w:val="superscript"/>
          <w:lang w:val="en-GB"/>
        </w:rPr>
        <w:t>a</w:t>
      </w:r>
      <w:r>
        <w:rPr>
          <w:rFonts w:eastAsiaTheme="minorEastAsia"/>
          <w:sz w:val="16"/>
          <w:szCs w:val="16"/>
          <w:lang w:val="en-GB"/>
        </w:rPr>
        <w:t xml:space="preserve"> This reflects the percentage of the local genetic variance of BMI that can be accounted for by the (genetic component of) the gene expression, computed as </w:t>
      </w:r>
      <m:oMath>
        <m:r>
          <w:rPr>
            <w:rFonts w:ascii="Cambria Math" w:eastAsiaTheme="minorEastAsia" w:hAnsi="Cambria Math"/>
            <w:sz w:val="16"/>
            <w:szCs w:val="16"/>
            <w:lang w:val="en-GB"/>
          </w:rPr>
          <m:t>100×</m:t>
        </m:r>
        <m:sSubSup>
          <m:sSubSupPr>
            <m:ctrlPr>
              <w:rPr>
                <w:rFonts w:ascii="Cambria Math" w:eastAsiaTheme="minorEastAsia" w:hAnsi="Cambria Math"/>
                <w:i/>
                <w:sz w:val="16"/>
                <w:szCs w:val="16"/>
                <w:lang w:val="en-GB"/>
              </w:rPr>
            </m:ctrlPr>
          </m:sSubSupPr>
          <m:e>
            <m:r>
              <w:rPr>
                <w:rFonts w:ascii="Cambria Math" w:eastAsiaTheme="minorEastAsia" w:hAnsi="Cambria Math"/>
                <w:sz w:val="16"/>
                <w:szCs w:val="16"/>
                <w:lang w:val="en-GB"/>
              </w:rPr>
              <m:t>r</m:t>
            </m:r>
          </m:e>
          <m:sub>
            <m:r>
              <w:rPr>
                <w:rFonts w:ascii="Cambria Math" w:eastAsiaTheme="minorEastAsia" w:hAnsi="Cambria Math"/>
                <w:sz w:val="16"/>
                <w:szCs w:val="16"/>
                <w:lang w:val="en-GB"/>
              </w:rPr>
              <m:t>G</m:t>
            </m:r>
          </m:sub>
          <m:sup>
            <m:r>
              <w:rPr>
                <w:rFonts w:ascii="Cambria Math" w:eastAsiaTheme="minorEastAsia" w:hAnsi="Cambria Math"/>
                <w:sz w:val="16"/>
                <w:szCs w:val="16"/>
                <w:lang w:val="en-GB"/>
              </w:rPr>
              <m:t>2</m:t>
            </m:r>
          </m:sup>
        </m:sSubSup>
      </m:oMath>
      <w:r>
        <w:rPr>
          <w:rFonts w:eastAsiaTheme="minorEastAsia"/>
          <w:sz w:val="16"/>
          <w:szCs w:val="16"/>
          <w:lang w:val="en-GB"/>
        </w:rPr>
        <w:t xml:space="preserve"> (ie. the proportion of </w:t>
      </w:r>
      <m:oMath>
        <m:r>
          <m:rPr>
            <m:sty m:val="p"/>
          </m:rPr>
          <w:rPr>
            <w:rFonts w:ascii="Cambria Math" w:eastAsiaTheme="minorEastAsia" w:hAnsi="Cambria Math"/>
            <w:sz w:val="16"/>
            <w:szCs w:val="16"/>
            <w:lang w:val="en-GB"/>
          </w:rPr>
          <m:t>var</m:t>
        </m:r>
        <m:d>
          <m:dPr>
            <m:ctrlPr>
              <w:rPr>
                <w:rFonts w:ascii="Cambria Math" w:eastAsiaTheme="minorEastAsia" w:hAnsi="Cambria Math"/>
                <w:i/>
                <w:sz w:val="16"/>
                <w:szCs w:val="16"/>
                <w:lang w:val="en-GB"/>
              </w:rPr>
            </m:ctrlPr>
          </m:dPr>
          <m:e>
            <m:sSub>
              <m:sSubPr>
                <m:ctrlPr>
                  <w:rPr>
                    <w:rFonts w:ascii="Cambria Math" w:eastAsiaTheme="minorEastAsia" w:hAnsi="Cambria Math"/>
                    <w:i/>
                    <w:sz w:val="16"/>
                    <w:szCs w:val="16"/>
                    <w:lang w:val="en-GB"/>
                  </w:rPr>
                </m:ctrlPr>
              </m:sSubPr>
              <m:e>
                <m:r>
                  <w:rPr>
                    <w:rFonts w:ascii="Cambria Math" w:eastAsiaTheme="minorEastAsia" w:hAnsi="Cambria Math"/>
                    <w:sz w:val="16"/>
                    <w:szCs w:val="16"/>
                    <w:lang w:val="en-GB"/>
                  </w:rPr>
                  <m:t>G</m:t>
                </m:r>
              </m:e>
              <m:sub>
                <m:r>
                  <w:rPr>
                    <w:rFonts w:ascii="Cambria Math" w:eastAsiaTheme="minorEastAsia" w:hAnsi="Cambria Math"/>
                    <w:sz w:val="16"/>
                    <w:szCs w:val="16"/>
                    <w:lang w:val="en-GB"/>
                  </w:rPr>
                  <m:t>Y</m:t>
                </m:r>
              </m:sub>
            </m:sSub>
          </m:e>
        </m:d>
      </m:oMath>
      <w:r>
        <w:rPr>
          <w:rFonts w:eastAsiaTheme="minorEastAsia"/>
          <w:sz w:val="16"/>
          <w:szCs w:val="16"/>
          <w:lang w:val="en-GB"/>
        </w:rPr>
        <w:t xml:space="preserve"> that can be explained by </w:t>
      </w:r>
      <m:oMath>
        <m:sSub>
          <m:sSubPr>
            <m:ctrlPr>
              <w:rPr>
                <w:rFonts w:ascii="Cambria Math" w:eastAsiaTheme="minorEastAsia" w:hAnsi="Cambria Math"/>
                <w:i/>
                <w:sz w:val="16"/>
                <w:szCs w:val="16"/>
                <w:lang w:val="en-GB"/>
              </w:rPr>
            </m:ctrlPr>
          </m:sSubPr>
          <m:e>
            <m:r>
              <w:rPr>
                <w:rFonts w:ascii="Cambria Math" w:eastAsiaTheme="minorEastAsia" w:hAnsi="Cambria Math"/>
                <w:sz w:val="16"/>
                <w:szCs w:val="16"/>
                <w:lang w:val="en-GB"/>
              </w:rPr>
              <m:t>G</m:t>
            </m:r>
          </m:e>
          <m:sub>
            <m:r>
              <w:rPr>
                <w:rFonts w:ascii="Cambria Math" w:eastAsiaTheme="minorEastAsia" w:hAnsi="Cambria Math"/>
                <w:sz w:val="16"/>
                <w:szCs w:val="16"/>
                <w:lang w:val="en-GB"/>
              </w:rPr>
              <m:t>E</m:t>
            </m:r>
          </m:sub>
        </m:sSub>
      </m:oMath>
      <w:r>
        <w:rPr>
          <w:rFonts w:eastAsiaTheme="minorEastAsia"/>
          <w:sz w:val="16"/>
          <w:szCs w:val="16"/>
          <w:lang w:val="en-GB"/>
        </w:rPr>
        <w:t>)</w:t>
      </w:r>
    </w:p>
    <w:p w14:paraId="6F29F483" w14:textId="77777777" w:rsidR="006C0432" w:rsidRDefault="006C0432" w:rsidP="006C0432">
      <w:pPr>
        <w:rPr>
          <w:rFonts w:eastAsiaTheme="minorEastAsia"/>
          <w:sz w:val="16"/>
          <w:szCs w:val="16"/>
          <w:lang w:val="en-GB"/>
        </w:rPr>
      </w:pPr>
      <w:r w:rsidRPr="008334C3">
        <w:rPr>
          <w:rFonts w:eastAsiaTheme="minorEastAsia"/>
          <w:sz w:val="16"/>
          <w:szCs w:val="16"/>
          <w:vertAlign w:val="superscript"/>
          <w:lang w:val="en-GB"/>
        </w:rPr>
        <w:t>b</w:t>
      </w:r>
      <w:r>
        <w:rPr>
          <w:rFonts w:eastAsiaTheme="minorEastAsia"/>
          <w:sz w:val="16"/>
          <w:szCs w:val="16"/>
          <w:lang w:val="en-GB"/>
        </w:rPr>
        <w:t xml:space="preserve"> This reflects the percentage of the total phenotypic variance of BMI (ie. </w:t>
      </w:r>
      <m:oMath>
        <m:r>
          <m:rPr>
            <m:sty m:val="p"/>
          </m:rPr>
          <w:rPr>
            <w:rFonts w:ascii="Cambria Math" w:eastAsiaTheme="minorEastAsia" w:hAnsi="Cambria Math"/>
            <w:sz w:val="16"/>
            <w:szCs w:val="16"/>
            <w:lang w:val="en-GB"/>
          </w:rPr>
          <m:t>var</m:t>
        </m:r>
        <m:d>
          <m:dPr>
            <m:ctrlPr>
              <w:rPr>
                <w:rFonts w:ascii="Cambria Math" w:eastAsiaTheme="minorEastAsia" w:hAnsi="Cambria Math"/>
                <w:iCs/>
                <w:sz w:val="16"/>
                <w:szCs w:val="16"/>
                <w:lang w:val="en-GB"/>
              </w:rPr>
            </m:ctrlPr>
          </m:dPr>
          <m:e>
            <m:r>
              <w:rPr>
                <w:rFonts w:ascii="Cambria Math" w:eastAsiaTheme="minorEastAsia" w:hAnsi="Cambria Math"/>
                <w:sz w:val="16"/>
                <w:szCs w:val="16"/>
                <w:lang w:val="en-GB"/>
              </w:rPr>
              <m:t>Y</m:t>
            </m:r>
            <m:ctrlPr>
              <w:rPr>
                <w:rFonts w:ascii="Cambria Math" w:eastAsiaTheme="minorEastAsia" w:hAnsi="Cambria Math"/>
                <w:i/>
                <w:sz w:val="16"/>
                <w:szCs w:val="16"/>
                <w:lang w:val="en-GB"/>
              </w:rPr>
            </m:ctrlPr>
          </m:e>
        </m:d>
      </m:oMath>
      <w:r>
        <w:rPr>
          <w:rFonts w:eastAsiaTheme="minorEastAsia"/>
          <w:sz w:val="16"/>
          <w:szCs w:val="16"/>
          <w:lang w:val="en-GB"/>
        </w:rPr>
        <w:t xml:space="preserve">) that can be accounted for by the estimated expression </w:t>
      </w:r>
      <m:oMath>
        <m:sSub>
          <m:sSubPr>
            <m:ctrlPr>
              <w:rPr>
                <w:rFonts w:ascii="Cambria Math" w:eastAsiaTheme="minorEastAsia" w:hAnsi="Cambria Math"/>
                <w:i/>
                <w:sz w:val="16"/>
                <w:szCs w:val="16"/>
                <w:lang w:val="en-GB"/>
              </w:rPr>
            </m:ctrlPr>
          </m:sSubPr>
          <m:e>
            <m:acc>
              <m:accPr>
                <m:ctrlPr>
                  <w:rPr>
                    <w:rFonts w:ascii="Cambria Math" w:eastAsiaTheme="minorEastAsia" w:hAnsi="Cambria Math"/>
                    <w:i/>
                    <w:sz w:val="16"/>
                    <w:szCs w:val="16"/>
                    <w:lang w:val="en-GB"/>
                  </w:rPr>
                </m:ctrlPr>
              </m:accPr>
              <m:e>
                <m:r>
                  <w:rPr>
                    <w:rFonts w:ascii="Cambria Math" w:eastAsiaTheme="minorEastAsia" w:hAnsi="Cambria Math"/>
                    <w:sz w:val="16"/>
                    <w:szCs w:val="16"/>
                    <w:lang w:val="en-GB"/>
                  </w:rPr>
                  <m:t>G</m:t>
                </m:r>
              </m:e>
            </m:acc>
          </m:e>
          <m:sub>
            <m:r>
              <w:rPr>
                <w:rFonts w:ascii="Cambria Math" w:eastAsiaTheme="minorEastAsia" w:hAnsi="Cambria Math"/>
                <w:sz w:val="16"/>
                <w:szCs w:val="16"/>
                <w:lang w:val="en-GB"/>
              </w:rPr>
              <m:t>E</m:t>
            </m:r>
          </m:sub>
        </m:sSub>
      </m:oMath>
    </w:p>
    <w:p w14:paraId="3B934636" w14:textId="77777777" w:rsidR="006C0432" w:rsidRDefault="006C0432" w:rsidP="00621B0C">
      <w:pPr>
        <w:rPr>
          <w:lang w:val="en-GB"/>
        </w:rPr>
      </w:pPr>
    </w:p>
    <w:p w14:paraId="1C7F85BF" w14:textId="6AC09ED3" w:rsidR="005A480F" w:rsidRDefault="005A480F">
      <w:pPr>
        <w:rPr>
          <w:lang w:val="en-GB"/>
        </w:rPr>
      </w:pPr>
    </w:p>
    <w:p w14:paraId="7A9A0740" w14:textId="02151319" w:rsidR="009B6243" w:rsidRDefault="009B6243">
      <w:pPr>
        <w:rPr>
          <w:lang w:val="en-GB"/>
        </w:rPr>
      </w:pPr>
    </w:p>
    <w:p w14:paraId="7D8A4878" w14:textId="3D0B321C" w:rsidR="009B6243" w:rsidRDefault="009B6243">
      <w:pPr>
        <w:rPr>
          <w:lang w:val="en-GB"/>
        </w:rPr>
      </w:pPr>
    </w:p>
    <w:p w14:paraId="6F278BA2" w14:textId="77777777" w:rsidR="009B6243" w:rsidRDefault="009B6243">
      <w:pPr>
        <w:rPr>
          <w:lang w:val="en-GB"/>
        </w:rPr>
      </w:pPr>
    </w:p>
    <w:p w14:paraId="10010452" w14:textId="121F1527" w:rsidR="009B6243" w:rsidRDefault="009B6243" w:rsidP="009B6243">
      <w:pPr>
        <w:pStyle w:val="Kop2"/>
      </w:pPr>
      <w:bookmarkStart w:id="12" w:name="_Toc79957419"/>
      <w:r>
        <w:t xml:space="preserve">Supplemental Table </w:t>
      </w:r>
      <w:r w:rsidR="006C0432">
        <w:t>3</w:t>
      </w:r>
      <w:r>
        <w:t>. Level of association and effect size in local genetic correlation analysis.</w:t>
      </w:r>
      <w:bookmarkEnd w:id="12"/>
    </w:p>
    <w:tbl>
      <w:tblPr>
        <w:tblStyle w:val="Tabelraster"/>
        <w:tblW w:w="11300" w:type="dxa"/>
        <w:tblInd w:w="-85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999"/>
        <w:gridCol w:w="992"/>
        <w:gridCol w:w="991"/>
        <w:gridCol w:w="992"/>
        <w:gridCol w:w="992"/>
        <w:gridCol w:w="889"/>
        <w:gridCol w:w="648"/>
        <w:gridCol w:w="648"/>
        <w:gridCol w:w="812"/>
        <w:gridCol w:w="648"/>
        <w:gridCol w:w="707"/>
      </w:tblGrid>
      <w:tr w:rsidR="00E223FA" w14:paraId="58C4AFE4" w14:textId="77777777" w:rsidTr="008E4A4D">
        <w:tc>
          <w:tcPr>
            <w:tcW w:w="1982" w:type="dxa"/>
            <w:vMerge w:val="restart"/>
            <w:tcBorders>
              <w:top w:val="single" w:sz="12" w:space="0" w:color="auto"/>
              <w:bottom w:val="nil"/>
              <w:right w:val="nil"/>
            </w:tcBorders>
            <w:vAlign w:val="bottom"/>
          </w:tcPr>
          <w:p w14:paraId="2844D3E3" w14:textId="77777777" w:rsidR="00E223FA" w:rsidRPr="009F117B" w:rsidRDefault="00E223FA" w:rsidP="005F6ED9">
            <w:pPr>
              <w:jc w:val="left"/>
              <w:rPr>
                <w:b/>
                <w:bCs/>
                <w:sz w:val="18"/>
                <w:szCs w:val="18"/>
                <w:lang w:val="en-GB"/>
              </w:rPr>
            </w:pPr>
            <w:r w:rsidRPr="009F117B">
              <w:rPr>
                <w:b/>
                <w:bCs/>
                <w:sz w:val="18"/>
                <w:szCs w:val="18"/>
                <w:lang w:val="en-GB"/>
              </w:rPr>
              <w:t>Phenotype</w:t>
            </w:r>
          </w:p>
        </w:tc>
        <w:tc>
          <w:tcPr>
            <w:tcW w:w="1991" w:type="dxa"/>
            <w:gridSpan w:val="2"/>
            <w:tcBorders>
              <w:top w:val="single" w:sz="12" w:space="0" w:color="auto"/>
              <w:left w:val="nil"/>
              <w:bottom w:val="nil"/>
              <w:right w:val="nil"/>
            </w:tcBorders>
            <w:vAlign w:val="center"/>
          </w:tcPr>
          <w:p w14:paraId="21D18FFE" w14:textId="09834152" w:rsidR="00E223FA" w:rsidRPr="009F117B" w:rsidRDefault="00E223FA" w:rsidP="00E223FA">
            <w:pPr>
              <w:jc w:val="center"/>
              <w:rPr>
                <w:b/>
                <w:bCs/>
                <w:sz w:val="18"/>
                <w:szCs w:val="18"/>
                <w:lang w:val="en-GB"/>
              </w:rPr>
            </w:pPr>
            <w:r>
              <w:rPr>
                <w:b/>
                <w:bCs/>
                <w:sz w:val="18"/>
                <w:szCs w:val="18"/>
                <w:lang w:val="en-GB"/>
              </w:rPr>
              <w:t>Signif. genes</w:t>
            </w:r>
          </w:p>
        </w:tc>
        <w:tc>
          <w:tcPr>
            <w:tcW w:w="1983" w:type="dxa"/>
            <w:gridSpan w:val="2"/>
            <w:tcBorders>
              <w:top w:val="single" w:sz="12" w:space="0" w:color="auto"/>
              <w:left w:val="nil"/>
              <w:bottom w:val="nil"/>
            </w:tcBorders>
            <w:vAlign w:val="center"/>
          </w:tcPr>
          <w:p w14:paraId="4F800FE7" w14:textId="747138D7" w:rsidR="00E223FA" w:rsidRPr="009F117B" w:rsidRDefault="00E223FA" w:rsidP="00E223FA">
            <w:pPr>
              <w:jc w:val="center"/>
              <w:rPr>
                <w:b/>
                <w:bCs/>
                <w:sz w:val="18"/>
                <w:szCs w:val="18"/>
                <w:lang w:val="en-GB"/>
              </w:rPr>
            </w:pPr>
            <w:r>
              <w:rPr>
                <w:b/>
                <w:bCs/>
                <w:sz w:val="18"/>
                <w:szCs w:val="18"/>
                <w:lang w:val="en-GB"/>
              </w:rPr>
              <w:t>% of univariate</w:t>
            </w:r>
          </w:p>
        </w:tc>
        <w:tc>
          <w:tcPr>
            <w:tcW w:w="992" w:type="dxa"/>
            <w:vMerge w:val="restart"/>
            <w:tcBorders>
              <w:top w:val="single" w:sz="12" w:space="0" w:color="auto"/>
              <w:bottom w:val="nil"/>
            </w:tcBorders>
            <w:vAlign w:val="bottom"/>
          </w:tcPr>
          <w:p w14:paraId="73816588" w14:textId="2A0B5C81" w:rsidR="00E223FA" w:rsidRPr="009F117B" w:rsidRDefault="00E223FA" w:rsidP="005F6ED9">
            <w:pPr>
              <w:jc w:val="center"/>
              <w:rPr>
                <w:b/>
                <w:bCs/>
                <w:sz w:val="18"/>
                <w:szCs w:val="18"/>
                <w:lang w:val="en-GB"/>
              </w:rPr>
            </w:pPr>
            <w:r w:rsidRPr="009F117B">
              <w:rPr>
                <w:b/>
                <w:bCs/>
                <w:sz w:val="18"/>
                <w:szCs w:val="18"/>
                <w:lang w:val="en-GB"/>
              </w:rPr>
              <w:t>Mean</w:t>
            </w:r>
            <w:r>
              <w:rPr>
                <w:b/>
                <w:bCs/>
                <w:sz w:val="18"/>
                <w:szCs w:val="18"/>
                <w:lang w:val="en-GB"/>
              </w:rPr>
              <w:t xml:space="preserve"> </w:t>
            </w:r>
            <m:oMath>
              <m:sSubSup>
                <m:sSubSupPr>
                  <m:ctrlPr>
                    <w:rPr>
                      <w:rFonts w:ascii="Cambria Math" w:hAnsi="Cambria Math"/>
                      <w:b/>
                      <w:bCs/>
                      <w:i/>
                      <w:sz w:val="18"/>
                      <w:szCs w:val="18"/>
                      <w:lang w:val="en-GB"/>
                    </w:rPr>
                  </m:ctrlPr>
                </m:sSubSupPr>
                <m:e>
                  <m:r>
                    <m:rPr>
                      <m:sty m:val="bi"/>
                    </m:rPr>
                    <w:rPr>
                      <w:rFonts w:ascii="Cambria Math" w:hAnsi="Cambria Math"/>
                      <w:sz w:val="18"/>
                      <w:szCs w:val="18"/>
                      <w:lang w:val="en-GB"/>
                    </w:rPr>
                    <m:t>r</m:t>
                  </m:r>
                </m:e>
                <m:sub>
                  <m:r>
                    <m:rPr>
                      <m:sty m:val="bi"/>
                    </m:rPr>
                    <w:rPr>
                      <w:rFonts w:ascii="Cambria Math" w:hAnsi="Cambria Math"/>
                      <w:sz w:val="18"/>
                      <w:szCs w:val="18"/>
                      <w:lang w:val="en-GB"/>
                    </w:rPr>
                    <m:t>G</m:t>
                  </m:r>
                </m:sub>
                <m:sup>
                  <m:r>
                    <m:rPr>
                      <m:sty m:val="bi"/>
                    </m:rPr>
                    <w:rPr>
                      <w:rFonts w:ascii="Cambria Math" w:hAnsi="Cambria Math"/>
                      <w:sz w:val="18"/>
                      <w:szCs w:val="18"/>
                      <w:lang w:val="en-GB"/>
                    </w:rPr>
                    <m:t>2</m:t>
                  </m:r>
                </m:sup>
              </m:sSubSup>
            </m:oMath>
          </w:p>
        </w:tc>
        <w:tc>
          <w:tcPr>
            <w:tcW w:w="889" w:type="dxa"/>
            <w:vMerge w:val="restart"/>
            <w:tcBorders>
              <w:top w:val="single" w:sz="12" w:space="0" w:color="auto"/>
              <w:bottom w:val="nil"/>
            </w:tcBorders>
            <w:vAlign w:val="bottom"/>
          </w:tcPr>
          <w:p w14:paraId="462109D8" w14:textId="3AC60821" w:rsidR="00E223FA" w:rsidRPr="009F117B" w:rsidRDefault="00E223FA" w:rsidP="005F6ED9">
            <w:pPr>
              <w:jc w:val="center"/>
              <w:rPr>
                <w:b/>
                <w:bCs/>
                <w:sz w:val="18"/>
                <w:szCs w:val="18"/>
                <w:lang w:val="en-GB"/>
              </w:rPr>
            </w:pPr>
            <w:r w:rsidRPr="009F117B">
              <w:rPr>
                <w:b/>
                <w:bCs/>
                <w:sz w:val="18"/>
                <w:szCs w:val="18"/>
                <w:lang w:val="en-GB"/>
              </w:rPr>
              <w:t>Max</w:t>
            </w:r>
            <w:r>
              <w:rPr>
                <w:b/>
                <w:bCs/>
                <w:sz w:val="18"/>
                <w:szCs w:val="18"/>
                <w:lang w:val="en-GB"/>
              </w:rPr>
              <w:t xml:space="preserve">. </w:t>
            </w:r>
            <m:oMath>
              <m:sSubSup>
                <m:sSubSupPr>
                  <m:ctrlPr>
                    <w:rPr>
                      <w:rFonts w:ascii="Cambria Math" w:hAnsi="Cambria Math"/>
                      <w:b/>
                      <w:bCs/>
                      <w:i/>
                      <w:sz w:val="18"/>
                      <w:szCs w:val="18"/>
                      <w:lang w:val="en-GB"/>
                    </w:rPr>
                  </m:ctrlPr>
                </m:sSubSupPr>
                <m:e>
                  <m:r>
                    <m:rPr>
                      <m:sty m:val="bi"/>
                    </m:rPr>
                    <w:rPr>
                      <w:rFonts w:ascii="Cambria Math" w:hAnsi="Cambria Math"/>
                      <w:sz w:val="18"/>
                      <w:szCs w:val="18"/>
                      <w:lang w:val="en-GB"/>
                    </w:rPr>
                    <m:t>r</m:t>
                  </m:r>
                </m:e>
                <m:sub>
                  <m:r>
                    <m:rPr>
                      <m:sty m:val="bi"/>
                    </m:rPr>
                    <w:rPr>
                      <w:rFonts w:ascii="Cambria Math" w:hAnsi="Cambria Math"/>
                      <w:sz w:val="18"/>
                      <w:szCs w:val="18"/>
                      <w:lang w:val="en-GB"/>
                    </w:rPr>
                    <m:t>G</m:t>
                  </m:r>
                </m:sub>
                <m:sup>
                  <m:r>
                    <m:rPr>
                      <m:sty m:val="bi"/>
                    </m:rPr>
                    <w:rPr>
                      <w:rFonts w:ascii="Cambria Math" w:hAnsi="Cambria Math"/>
                      <w:sz w:val="18"/>
                      <w:szCs w:val="18"/>
                      <w:lang w:val="en-GB"/>
                    </w:rPr>
                    <m:t>2</m:t>
                  </m:r>
                </m:sup>
              </m:sSubSup>
            </m:oMath>
          </w:p>
        </w:tc>
        <w:tc>
          <w:tcPr>
            <w:tcW w:w="3463" w:type="dxa"/>
            <w:gridSpan w:val="5"/>
            <w:tcBorders>
              <w:top w:val="single" w:sz="12" w:space="0" w:color="auto"/>
              <w:bottom w:val="single" w:sz="4" w:space="0" w:color="auto"/>
            </w:tcBorders>
            <w:vAlign w:val="center"/>
          </w:tcPr>
          <w:p w14:paraId="7C836B9F" w14:textId="350CFC4A" w:rsidR="00E223FA" w:rsidRPr="009F117B" w:rsidRDefault="00E223FA" w:rsidP="005F6ED9">
            <w:pPr>
              <w:jc w:val="center"/>
              <w:rPr>
                <w:b/>
                <w:bCs/>
                <w:sz w:val="18"/>
                <w:szCs w:val="18"/>
                <w:lang w:val="en-GB"/>
              </w:rPr>
            </w:pPr>
            <w:r w:rsidRPr="009F117B">
              <w:rPr>
                <w:b/>
                <w:bCs/>
                <w:sz w:val="18"/>
                <w:szCs w:val="18"/>
                <w:lang w:val="en-GB"/>
              </w:rPr>
              <w:t>Quantiles</w:t>
            </w:r>
            <w:r>
              <w:rPr>
                <w:b/>
                <w:bCs/>
                <w:sz w:val="18"/>
                <w:szCs w:val="18"/>
                <w:lang w:val="en-GB"/>
              </w:rPr>
              <w:t xml:space="preserve"> </w:t>
            </w:r>
            <m:oMath>
              <m:sSubSup>
                <m:sSubSupPr>
                  <m:ctrlPr>
                    <w:rPr>
                      <w:rFonts w:ascii="Cambria Math" w:hAnsi="Cambria Math"/>
                      <w:b/>
                      <w:bCs/>
                      <w:i/>
                      <w:sz w:val="18"/>
                      <w:szCs w:val="18"/>
                      <w:lang w:val="en-GB"/>
                    </w:rPr>
                  </m:ctrlPr>
                </m:sSubSupPr>
                <m:e>
                  <m:r>
                    <m:rPr>
                      <m:sty m:val="bi"/>
                    </m:rPr>
                    <w:rPr>
                      <w:rFonts w:ascii="Cambria Math" w:hAnsi="Cambria Math"/>
                      <w:sz w:val="18"/>
                      <w:szCs w:val="18"/>
                      <w:lang w:val="en-GB"/>
                    </w:rPr>
                    <m:t>r</m:t>
                  </m:r>
                </m:e>
                <m:sub>
                  <m:r>
                    <m:rPr>
                      <m:sty m:val="bi"/>
                    </m:rPr>
                    <w:rPr>
                      <w:rFonts w:ascii="Cambria Math" w:hAnsi="Cambria Math"/>
                      <w:sz w:val="18"/>
                      <w:szCs w:val="18"/>
                      <w:lang w:val="en-GB"/>
                    </w:rPr>
                    <m:t>G</m:t>
                  </m:r>
                </m:sub>
                <m:sup>
                  <m:r>
                    <m:rPr>
                      <m:sty m:val="bi"/>
                    </m:rPr>
                    <w:rPr>
                      <w:rFonts w:ascii="Cambria Math" w:hAnsi="Cambria Math"/>
                      <w:sz w:val="18"/>
                      <w:szCs w:val="18"/>
                      <w:lang w:val="en-GB"/>
                    </w:rPr>
                    <m:t>2</m:t>
                  </m:r>
                </m:sup>
              </m:sSubSup>
            </m:oMath>
          </w:p>
        </w:tc>
      </w:tr>
      <w:tr w:rsidR="005A480F" w14:paraId="7435AE4A" w14:textId="77777777" w:rsidTr="008E4A4D">
        <w:tc>
          <w:tcPr>
            <w:tcW w:w="1982" w:type="dxa"/>
            <w:vMerge/>
            <w:tcBorders>
              <w:top w:val="nil"/>
              <w:bottom w:val="single" w:sz="4" w:space="0" w:color="auto"/>
              <w:right w:val="nil"/>
            </w:tcBorders>
          </w:tcPr>
          <w:p w14:paraId="0C9CA4DC" w14:textId="77777777" w:rsidR="005A480F" w:rsidRPr="009F117B" w:rsidRDefault="005A480F" w:rsidP="005F6ED9">
            <w:pPr>
              <w:rPr>
                <w:b/>
                <w:bCs/>
                <w:sz w:val="18"/>
                <w:szCs w:val="18"/>
                <w:lang w:val="en-GB"/>
              </w:rPr>
            </w:pPr>
          </w:p>
        </w:tc>
        <w:tc>
          <w:tcPr>
            <w:tcW w:w="999" w:type="dxa"/>
            <w:tcBorders>
              <w:top w:val="nil"/>
              <w:left w:val="nil"/>
              <w:bottom w:val="single" w:sz="4" w:space="0" w:color="auto"/>
              <w:right w:val="nil"/>
            </w:tcBorders>
            <w:vAlign w:val="center"/>
          </w:tcPr>
          <w:p w14:paraId="1A761C46" w14:textId="294FEC22" w:rsidR="005A480F" w:rsidRPr="009F117B" w:rsidRDefault="00E223FA" w:rsidP="00E223FA">
            <w:pPr>
              <w:jc w:val="center"/>
              <w:rPr>
                <w:b/>
                <w:bCs/>
                <w:sz w:val="18"/>
                <w:szCs w:val="18"/>
                <w:lang w:val="en-GB"/>
              </w:rPr>
            </w:pPr>
            <w:r>
              <w:rPr>
                <w:b/>
                <w:bCs/>
                <w:sz w:val="18"/>
                <w:szCs w:val="18"/>
                <w:lang w:val="en-GB"/>
              </w:rPr>
              <w:t>Univariate</w:t>
            </w:r>
          </w:p>
        </w:tc>
        <w:tc>
          <w:tcPr>
            <w:tcW w:w="992" w:type="dxa"/>
            <w:tcBorders>
              <w:top w:val="nil"/>
              <w:left w:val="nil"/>
              <w:bottom w:val="single" w:sz="4" w:space="0" w:color="auto"/>
              <w:right w:val="nil"/>
            </w:tcBorders>
            <w:vAlign w:val="center"/>
          </w:tcPr>
          <w:p w14:paraId="5537A827" w14:textId="5DF37FD9" w:rsidR="005A480F" w:rsidRPr="009F117B" w:rsidRDefault="00E223FA" w:rsidP="00E223FA">
            <w:pPr>
              <w:jc w:val="center"/>
              <w:rPr>
                <w:b/>
                <w:bCs/>
                <w:sz w:val="18"/>
                <w:szCs w:val="18"/>
                <w:lang w:val="en-GB"/>
              </w:rPr>
            </w:pPr>
            <w:r>
              <w:rPr>
                <w:b/>
                <w:bCs/>
                <w:sz w:val="18"/>
                <w:szCs w:val="18"/>
                <w:lang w:val="en-GB"/>
              </w:rPr>
              <w:t>Bivariate</w:t>
            </w:r>
          </w:p>
        </w:tc>
        <w:tc>
          <w:tcPr>
            <w:tcW w:w="991" w:type="dxa"/>
            <w:tcBorders>
              <w:top w:val="nil"/>
              <w:left w:val="nil"/>
              <w:bottom w:val="single" w:sz="4" w:space="0" w:color="auto"/>
              <w:right w:val="nil"/>
            </w:tcBorders>
            <w:vAlign w:val="center"/>
          </w:tcPr>
          <w:p w14:paraId="0B761D20" w14:textId="010ED3B3" w:rsidR="005A480F" w:rsidRPr="009F117B" w:rsidRDefault="00E223FA" w:rsidP="00E223FA">
            <w:pPr>
              <w:jc w:val="center"/>
              <w:rPr>
                <w:b/>
                <w:bCs/>
                <w:sz w:val="18"/>
                <w:szCs w:val="18"/>
                <w:lang w:val="en-GB"/>
              </w:rPr>
            </w:pPr>
            <w:r>
              <w:rPr>
                <w:b/>
                <w:bCs/>
                <w:sz w:val="18"/>
                <w:szCs w:val="18"/>
                <w:lang w:val="en-GB"/>
              </w:rPr>
              <w:t>By gene</w:t>
            </w:r>
          </w:p>
        </w:tc>
        <w:tc>
          <w:tcPr>
            <w:tcW w:w="992" w:type="dxa"/>
            <w:tcBorders>
              <w:top w:val="nil"/>
              <w:left w:val="nil"/>
              <w:bottom w:val="single" w:sz="4" w:space="0" w:color="auto"/>
            </w:tcBorders>
            <w:vAlign w:val="center"/>
          </w:tcPr>
          <w:p w14:paraId="29563374" w14:textId="43011E17" w:rsidR="005A480F" w:rsidRPr="009F117B" w:rsidRDefault="00E223FA" w:rsidP="00E223FA">
            <w:pPr>
              <w:jc w:val="center"/>
              <w:rPr>
                <w:b/>
                <w:bCs/>
                <w:sz w:val="18"/>
                <w:szCs w:val="18"/>
                <w:lang w:val="en-GB"/>
              </w:rPr>
            </w:pPr>
            <w:r>
              <w:rPr>
                <w:b/>
                <w:bCs/>
                <w:sz w:val="18"/>
                <w:szCs w:val="18"/>
                <w:lang w:val="en-GB"/>
              </w:rPr>
              <w:t>By area</w:t>
            </w:r>
          </w:p>
        </w:tc>
        <w:tc>
          <w:tcPr>
            <w:tcW w:w="992" w:type="dxa"/>
            <w:vMerge/>
            <w:tcBorders>
              <w:top w:val="nil"/>
              <w:bottom w:val="single" w:sz="4" w:space="0" w:color="auto"/>
            </w:tcBorders>
          </w:tcPr>
          <w:p w14:paraId="706D3607" w14:textId="010B4B59" w:rsidR="005A480F" w:rsidRPr="009F117B" w:rsidRDefault="005A480F" w:rsidP="005F6ED9">
            <w:pPr>
              <w:rPr>
                <w:b/>
                <w:bCs/>
                <w:sz w:val="18"/>
                <w:szCs w:val="18"/>
                <w:lang w:val="en-GB"/>
              </w:rPr>
            </w:pPr>
          </w:p>
        </w:tc>
        <w:tc>
          <w:tcPr>
            <w:tcW w:w="889" w:type="dxa"/>
            <w:vMerge/>
            <w:tcBorders>
              <w:top w:val="nil"/>
              <w:bottom w:val="single" w:sz="4" w:space="0" w:color="auto"/>
            </w:tcBorders>
          </w:tcPr>
          <w:p w14:paraId="28BEADE5" w14:textId="77777777" w:rsidR="005A480F" w:rsidRPr="009F117B" w:rsidRDefault="005A480F" w:rsidP="005F6ED9">
            <w:pPr>
              <w:rPr>
                <w:b/>
                <w:bCs/>
                <w:sz w:val="18"/>
                <w:szCs w:val="18"/>
                <w:lang w:val="en-GB"/>
              </w:rPr>
            </w:pPr>
          </w:p>
        </w:tc>
        <w:tc>
          <w:tcPr>
            <w:tcW w:w="648" w:type="dxa"/>
            <w:tcBorders>
              <w:top w:val="single" w:sz="4" w:space="0" w:color="auto"/>
              <w:bottom w:val="single" w:sz="4" w:space="0" w:color="auto"/>
            </w:tcBorders>
            <w:vAlign w:val="center"/>
          </w:tcPr>
          <w:p w14:paraId="3621EDB4" w14:textId="77777777" w:rsidR="005A480F" w:rsidRPr="009F117B" w:rsidRDefault="005A480F" w:rsidP="005F6ED9">
            <w:pPr>
              <w:jc w:val="center"/>
              <w:rPr>
                <w:b/>
                <w:bCs/>
                <w:sz w:val="18"/>
                <w:szCs w:val="18"/>
                <w:lang w:val="en-GB"/>
              </w:rPr>
            </w:pPr>
            <w:r w:rsidRPr="009F117B">
              <w:rPr>
                <w:b/>
                <w:bCs/>
                <w:sz w:val="18"/>
                <w:szCs w:val="18"/>
                <w:lang w:val="en-GB"/>
              </w:rPr>
              <w:t>5%</w:t>
            </w:r>
          </w:p>
        </w:tc>
        <w:tc>
          <w:tcPr>
            <w:tcW w:w="648" w:type="dxa"/>
            <w:tcBorders>
              <w:top w:val="single" w:sz="4" w:space="0" w:color="auto"/>
              <w:bottom w:val="single" w:sz="4" w:space="0" w:color="auto"/>
            </w:tcBorders>
            <w:vAlign w:val="center"/>
          </w:tcPr>
          <w:p w14:paraId="4EA8DF1E" w14:textId="77777777" w:rsidR="005A480F" w:rsidRPr="009F117B" w:rsidRDefault="005A480F" w:rsidP="005F6ED9">
            <w:pPr>
              <w:jc w:val="center"/>
              <w:rPr>
                <w:b/>
                <w:bCs/>
                <w:sz w:val="18"/>
                <w:szCs w:val="18"/>
                <w:lang w:val="en-GB"/>
              </w:rPr>
            </w:pPr>
            <w:r w:rsidRPr="009F117B">
              <w:rPr>
                <w:b/>
                <w:bCs/>
                <w:sz w:val="18"/>
                <w:szCs w:val="18"/>
                <w:lang w:val="en-GB"/>
              </w:rPr>
              <w:t>25%</w:t>
            </w:r>
          </w:p>
        </w:tc>
        <w:tc>
          <w:tcPr>
            <w:tcW w:w="812" w:type="dxa"/>
            <w:tcBorders>
              <w:top w:val="single" w:sz="4" w:space="0" w:color="auto"/>
              <w:bottom w:val="single" w:sz="4" w:space="0" w:color="auto"/>
            </w:tcBorders>
            <w:vAlign w:val="center"/>
          </w:tcPr>
          <w:p w14:paraId="3F845BBD" w14:textId="77777777" w:rsidR="005A480F" w:rsidRPr="009F117B" w:rsidRDefault="005A480F" w:rsidP="005F6ED9">
            <w:pPr>
              <w:jc w:val="center"/>
              <w:rPr>
                <w:b/>
                <w:bCs/>
                <w:sz w:val="18"/>
                <w:szCs w:val="18"/>
                <w:lang w:val="en-GB"/>
              </w:rPr>
            </w:pPr>
            <w:r w:rsidRPr="009F117B">
              <w:rPr>
                <w:b/>
                <w:bCs/>
                <w:sz w:val="18"/>
                <w:szCs w:val="18"/>
                <w:lang w:val="en-GB"/>
              </w:rPr>
              <w:t>Median</w:t>
            </w:r>
          </w:p>
        </w:tc>
        <w:tc>
          <w:tcPr>
            <w:tcW w:w="648" w:type="dxa"/>
            <w:tcBorders>
              <w:top w:val="single" w:sz="4" w:space="0" w:color="auto"/>
              <w:bottom w:val="single" w:sz="4" w:space="0" w:color="auto"/>
            </w:tcBorders>
            <w:vAlign w:val="center"/>
          </w:tcPr>
          <w:p w14:paraId="53C03355" w14:textId="77777777" w:rsidR="005A480F" w:rsidRPr="009F117B" w:rsidRDefault="005A480F" w:rsidP="005F6ED9">
            <w:pPr>
              <w:jc w:val="center"/>
              <w:rPr>
                <w:b/>
                <w:bCs/>
                <w:sz w:val="18"/>
                <w:szCs w:val="18"/>
                <w:lang w:val="en-GB"/>
              </w:rPr>
            </w:pPr>
            <w:r w:rsidRPr="009F117B">
              <w:rPr>
                <w:b/>
                <w:bCs/>
                <w:sz w:val="18"/>
                <w:szCs w:val="18"/>
                <w:lang w:val="en-GB"/>
              </w:rPr>
              <w:t>75%</w:t>
            </w:r>
          </w:p>
        </w:tc>
        <w:tc>
          <w:tcPr>
            <w:tcW w:w="707" w:type="dxa"/>
            <w:tcBorders>
              <w:top w:val="single" w:sz="4" w:space="0" w:color="auto"/>
              <w:bottom w:val="single" w:sz="4" w:space="0" w:color="auto"/>
            </w:tcBorders>
            <w:vAlign w:val="center"/>
          </w:tcPr>
          <w:p w14:paraId="0F7E1D46" w14:textId="77777777" w:rsidR="005A480F" w:rsidRPr="009F117B" w:rsidRDefault="005A480F" w:rsidP="005F6ED9">
            <w:pPr>
              <w:jc w:val="center"/>
              <w:rPr>
                <w:b/>
                <w:bCs/>
                <w:sz w:val="18"/>
                <w:szCs w:val="18"/>
                <w:lang w:val="en-GB"/>
              </w:rPr>
            </w:pPr>
            <w:r w:rsidRPr="009F117B">
              <w:rPr>
                <w:b/>
                <w:bCs/>
                <w:sz w:val="18"/>
                <w:szCs w:val="18"/>
                <w:lang w:val="en-GB"/>
              </w:rPr>
              <w:t>95%</w:t>
            </w:r>
          </w:p>
        </w:tc>
      </w:tr>
      <w:tr w:rsidR="005A480F" w14:paraId="7AAEBA30" w14:textId="77777777" w:rsidTr="008E4A4D">
        <w:tc>
          <w:tcPr>
            <w:tcW w:w="1982" w:type="dxa"/>
            <w:tcBorders>
              <w:top w:val="single" w:sz="4" w:space="0" w:color="auto"/>
              <w:bottom w:val="nil"/>
              <w:right w:val="nil"/>
            </w:tcBorders>
          </w:tcPr>
          <w:p w14:paraId="4A6C3F00" w14:textId="77777777" w:rsidR="005A480F" w:rsidRPr="009F117B" w:rsidRDefault="005A480F" w:rsidP="005F6ED9">
            <w:pPr>
              <w:rPr>
                <w:sz w:val="18"/>
                <w:szCs w:val="18"/>
                <w:lang w:val="en-GB"/>
              </w:rPr>
            </w:pPr>
            <w:r>
              <w:rPr>
                <w:sz w:val="18"/>
                <w:szCs w:val="18"/>
                <w:lang w:val="en-GB"/>
              </w:rPr>
              <w:t>BMI</w:t>
            </w:r>
          </w:p>
        </w:tc>
        <w:tc>
          <w:tcPr>
            <w:tcW w:w="999" w:type="dxa"/>
            <w:tcBorders>
              <w:top w:val="single" w:sz="4" w:space="0" w:color="auto"/>
              <w:left w:val="nil"/>
              <w:bottom w:val="nil"/>
              <w:right w:val="nil"/>
            </w:tcBorders>
          </w:tcPr>
          <w:p w14:paraId="481333D6" w14:textId="2AD3D4A9" w:rsidR="005A480F" w:rsidRDefault="005A480F" w:rsidP="005F6ED9">
            <w:pPr>
              <w:jc w:val="center"/>
              <w:rPr>
                <w:sz w:val="18"/>
                <w:szCs w:val="18"/>
                <w:lang w:val="en-GB"/>
              </w:rPr>
            </w:pPr>
            <w:r>
              <w:rPr>
                <w:sz w:val="18"/>
                <w:szCs w:val="18"/>
                <w:lang w:val="en-GB"/>
              </w:rPr>
              <w:t>16,493</w:t>
            </w:r>
          </w:p>
        </w:tc>
        <w:tc>
          <w:tcPr>
            <w:tcW w:w="992" w:type="dxa"/>
            <w:tcBorders>
              <w:top w:val="single" w:sz="4" w:space="0" w:color="auto"/>
              <w:left w:val="nil"/>
              <w:bottom w:val="nil"/>
              <w:right w:val="nil"/>
            </w:tcBorders>
          </w:tcPr>
          <w:p w14:paraId="516FAEF5" w14:textId="609CC3BA" w:rsidR="005A480F" w:rsidRDefault="005A480F" w:rsidP="005F6ED9">
            <w:pPr>
              <w:jc w:val="center"/>
              <w:rPr>
                <w:sz w:val="18"/>
                <w:szCs w:val="18"/>
                <w:lang w:val="en-GB"/>
              </w:rPr>
            </w:pPr>
            <w:r>
              <w:rPr>
                <w:sz w:val="18"/>
                <w:szCs w:val="18"/>
                <w:lang w:val="en-GB"/>
              </w:rPr>
              <w:t>695</w:t>
            </w:r>
          </w:p>
        </w:tc>
        <w:tc>
          <w:tcPr>
            <w:tcW w:w="991" w:type="dxa"/>
            <w:tcBorders>
              <w:top w:val="single" w:sz="4" w:space="0" w:color="auto"/>
              <w:left w:val="nil"/>
              <w:bottom w:val="nil"/>
              <w:right w:val="nil"/>
            </w:tcBorders>
          </w:tcPr>
          <w:p w14:paraId="57E0C054" w14:textId="33EBDF8D" w:rsidR="005A480F" w:rsidRDefault="005A480F" w:rsidP="005F6ED9">
            <w:pPr>
              <w:jc w:val="center"/>
              <w:rPr>
                <w:sz w:val="18"/>
                <w:szCs w:val="18"/>
                <w:lang w:val="en-GB"/>
              </w:rPr>
            </w:pPr>
            <w:r>
              <w:rPr>
                <w:sz w:val="18"/>
                <w:szCs w:val="18"/>
                <w:lang w:val="en-GB"/>
              </w:rPr>
              <w:t>4.21</w:t>
            </w:r>
          </w:p>
        </w:tc>
        <w:tc>
          <w:tcPr>
            <w:tcW w:w="992" w:type="dxa"/>
            <w:tcBorders>
              <w:top w:val="single" w:sz="4" w:space="0" w:color="auto"/>
              <w:left w:val="nil"/>
              <w:bottom w:val="nil"/>
            </w:tcBorders>
          </w:tcPr>
          <w:p w14:paraId="3E9B32AF" w14:textId="7CBB4E9E" w:rsidR="005A480F" w:rsidRDefault="005A480F" w:rsidP="005F6ED9">
            <w:pPr>
              <w:jc w:val="center"/>
              <w:rPr>
                <w:sz w:val="18"/>
                <w:szCs w:val="18"/>
                <w:lang w:val="en-GB"/>
              </w:rPr>
            </w:pPr>
            <w:r>
              <w:rPr>
                <w:sz w:val="18"/>
                <w:szCs w:val="18"/>
                <w:lang w:val="en-GB"/>
              </w:rPr>
              <w:t>26.6</w:t>
            </w:r>
          </w:p>
        </w:tc>
        <w:tc>
          <w:tcPr>
            <w:tcW w:w="992" w:type="dxa"/>
            <w:tcBorders>
              <w:top w:val="single" w:sz="4" w:space="0" w:color="auto"/>
            </w:tcBorders>
            <w:vAlign w:val="center"/>
          </w:tcPr>
          <w:p w14:paraId="35B9AF0E" w14:textId="346C1071" w:rsidR="005A480F" w:rsidRPr="009F117B" w:rsidRDefault="005A480F" w:rsidP="005F6ED9">
            <w:pPr>
              <w:jc w:val="center"/>
              <w:rPr>
                <w:sz w:val="18"/>
                <w:szCs w:val="18"/>
                <w:lang w:val="en-GB"/>
              </w:rPr>
            </w:pPr>
            <w:r>
              <w:rPr>
                <w:sz w:val="18"/>
                <w:szCs w:val="18"/>
                <w:lang w:val="en-GB"/>
              </w:rPr>
              <w:t>17.7</w:t>
            </w:r>
          </w:p>
        </w:tc>
        <w:tc>
          <w:tcPr>
            <w:tcW w:w="889" w:type="dxa"/>
            <w:tcBorders>
              <w:top w:val="single" w:sz="4" w:space="0" w:color="auto"/>
            </w:tcBorders>
            <w:vAlign w:val="center"/>
          </w:tcPr>
          <w:p w14:paraId="2F7D6D93" w14:textId="774FBAFC" w:rsidR="005A480F" w:rsidRPr="009F117B" w:rsidRDefault="005A480F" w:rsidP="005F6ED9">
            <w:pPr>
              <w:jc w:val="center"/>
              <w:rPr>
                <w:sz w:val="18"/>
                <w:szCs w:val="18"/>
                <w:lang w:val="en-GB"/>
              </w:rPr>
            </w:pPr>
            <w:r>
              <w:rPr>
                <w:sz w:val="18"/>
                <w:szCs w:val="18"/>
                <w:lang w:val="en-GB"/>
              </w:rPr>
              <w:t>61.9</w:t>
            </w:r>
          </w:p>
        </w:tc>
        <w:tc>
          <w:tcPr>
            <w:tcW w:w="648" w:type="dxa"/>
            <w:tcBorders>
              <w:top w:val="single" w:sz="4" w:space="0" w:color="auto"/>
            </w:tcBorders>
            <w:vAlign w:val="center"/>
          </w:tcPr>
          <w:p w14:paraId="79E170CC" w14:textId="787D3AB5" w:rsidR="005A480F" w:rsidRPr="009F117B" w:rsidRDefault="005A480F" w:rsidP="005F6ED9">
            <w:pPr>
              <w:jc w:val="center"/>
              <w:rPr>
                <w:sz w:val="18"/>
                <w:szCs w:val="18"/>
                <w:lang w:val="en-GB"/>
              </w:rPr>
            </w:pPr>
            <w:r>
              <w:rPr>
                <w:sz w:val="18"/>
                <w:szCs w:val="18"/>
                <w:lang w:val="en-GB"/>
              </w:rPr>
              <w:t>7.16</w:t>
            </w:r>
          </w:p>
        </w:tc>
        <w:tc>
          <w:tcPr>
            <w:tcW w:w="648" w:type="dxa"/>
            <w:tcBorders>
              <w:top w:val="single" w:sz="4" w:space="0" w:color="auto"/>
            </w:tcBorders>
            <w:vAlign w:val="center"/>
          </w:tcPr>
          <w:p w14:paraId="58B13E7D" w14:textId="73AB24AB" w:rsidR="005A480F" w:rsidRPr="009F117B" w:rsidRDefault="005A480F" w:rsidP="005F6ED9">
            <w:pPr>
              <w:jc w:val="center"/>
              <w:rPr>
                <w:sz w:val="18"/>
                <w:szCs w:val="18"/>
                <w:lang w:val="en-GB"/>
              </w:rPr>
            </w:pPr>
            <w:r>
              <w:rPr>
                <w:sz w:val="18"/>
                <w:szCs w:val="18"/>
                <w:lang w:val="en-GB"/>
              </w:rPr>
              <w:t>11.0</w:t>
            </w:r>
          </w:p>
        </w:tc>
        <w:tc>
          <w:tcPr>
            <w:tcW w:w="812" w:type="dxa"/>
            <w:tcBorders>
              <w:top w:val="single" w:sz="4" w:space="0" w:color="auto"/>
            </w:tcBorders>
            <w:vAlign w:val="center"/>
          </w:tcPr>
          <w:p w14:paraId="22B72F55" w14:textId="1823C97C" w:rsidR="005A480F" w:rsidRPr="009F117B" w:rsidRDefault="005A480F" w:rsidP="005F6ED9">
            <w:pPr>
              <w:jc w:val="center"/>
              <w:rPr>
                <w:sz w:val="18"/>
                <w:szCs w:val="18"/>
                <w:lang w:val="en-GB"/>
              </w:rPr>
            </w:pPr>
            <w:r>
              <w:rPr>
                <w:sz w:val="18"/>
                <w:szCs w:val="18"/>
                <w:lang w:val="en-GB"/>
              </w:rPr>
              <w:t>15.8</w:t>
            </w:r>
          </w:p>
        </w:tc>
        <w:tc>
          <w:tcPr>
            <w:tcW w:w="648" w:type="dxa"/>
            <w:tcBorders>
              <w:top w:val="single" w:sz="4" w:space="0" w:color="auto"/>
            </w:tcBorders>
            <w:vAlign w:val="center"/>
          </w:tcPr>
          <w:p w14:paraId="689F9543" w14:textId="68066440" w:rsidR="005A480F" w:rsidRPr="009F117B" w:rsidRDefault="005A480F" w:rsidP="005F6ED9">
            <w:pPr>
              <w:jc w:val="center"/>
              <w:rPr>
                <w:sz w:val="18"/>
                <w:szCs w:val="18"/>
                <w:lang w:val="en-GB"/>
              </w:rPr>
            </w:pPr>
            <w:r>
              <w:rPr>
                <w:sz w:val="18"/>
                <w:szCs w:val="18"/>
                <w:lang w:val="en-GB"/>
              </w:rPr>
              <w:t>21.8</w:t>
            </w:r>
          </w:p>
        </w:tc>
        <w:tc>
          <w:tcPr>
            <w:tcW w:w="707" w:type="dxa"/>
            <w:tcBorders>
              <w:top w:val="single" w:sz="4" w:space="0" w:color="auto"/>
            </w:tcBorders>
            <w:vAlign w:val="center"/>
          </w:tcPr>
          <w:p w14:paraId="4D2E0CD2" w14:textId="2D317797" w:rsidR="005A480F" w:rsidRPr="009F117B" w:rsidRDefault="005A480F" w:rsidP="005F6ED9">
            <w:pPr>
              <w:jc w:val="center"/>
              <w:rPr>
                <w:sz w:val="18"/>
                <w:szCs w:val="18"/>
                <w:lang w:val="en-GB"/>
              </w:rPr>
            </w:pPr>
            <w:r>
              <w:rPr>
                <w:sz w:val="18"/>
                <w:szCs w:val="18"/>
                <w:lang w:val="en-GB"/>
              </w:rPr>
              <w:t>34.8</w:t>
            </w:r>
          </w:p>
        </w:tc>
      </w:tr>
      <w:tr w:rsidR="005A480F" w14:paraId="0089A226" w14:textId="77777777" w:rsidTr="008E4A4D">
        <w:tc>
          <w:tcPr>
            <w:tcW w:w="1982" w:type="dxa"/>
            <w:tcBorders>
              <w:top w:val="nil"/>
              <w:bottom w:val="nil"/>
              <w:right w:val="nil"/>
            </w:tcBorders>
          </w:tcPr>
          <w:p w14:paraId="1C29C4D7" w14:textId="77777777" w:rsidR="005A480F" w:rsidRPr="009F117B" w:rsidRDefault="005A480F" w:rsidP="005F6ED9">
            <w:pPr>
              <w:rPr>
                <w:sz w:val="18"/>
                <w:szCs w:val="18"/>
                <w:lang w:val="en-GB"/>
              </w:rPr>
            </w:pPr>
            <w:r>
              <w:rPr>
                <w:sz w:val="18"/>
                <w:szCs w:val="18"/>
                <w:lang w:val="en-GB"/>
              </w:rPr>
              <w:t>Blood pressure</w:t>
            </w:r>
          </w:p>
        </w:tc>
        <w:tc>
          <w:tcPr>
            <w:tcW w:w="999" w:type="dxa"/>
            <w:tcBorders>
              <w:top w:val="nil"/>
              <w:left w:val="nil"/>
              <w:bottom w:val="nil"/>
              <w:right w:val="nil"/>
            </w:tcBorders>
          </w:tcPr>
          <w:p w14:paraId="09C2B000" w14:textId="7B6EAFE8" w:rsidR="005A480F" w:rsidRDefault="005A480F" w:rsidP="005F6ED9">
            <w:pPr>
              <w:jc w:val="center"/>
              <w:rPr>
                <w:sz w:val="18"/>
                <w:szCs w:val="18"/>
                <w:lang w:val="en-GB"/>
              </w:rPr>
            </w:pPr>
            <w:r>
              <w:rPr>
                <w:sz w:val="18"/>
                <w:szCs w:val="18"/>
                <w:lang w:val="en-GB"/>
              </w:rPr>
              <w:t>9,862</w:t>
            </w:r>
          </w:p>
        </w:tc>
        <w:tc>
          <w:tcPr>
            <w:tcW w:w="992" w:type="dxa"/>
            <w:tcBorders>
              <w:top w:val="nil"/>
              <w:left w:val="nil"/>
              <w:bottom w:val="nil"/>
              <w:right w:val="nil"/>
            </w:tcBorders>
          </w:tcPr>
          <w:p w14:paraId="6D591011" w14:textId="692BC4A1" w:rsidR="005A480F" w:rsidRDefault="005A480F" w:rsidP="005F6ED9">
            <w:pPr>
              <w:jc w:val="center"/>
              <w:rPr>
                <w:sz w:val="18"/>
                <w:szCs w:val="18"/>
                <w:lang w:val="en-GB"/>
              </w:rPr>
            </w:pPr>
            <w:r>
              <w:rPr>
                <w:sz w:val="18"/>
                <w:szCs w:val="18"/>
                <w:lang w:val="en-GB"/>
              </w:rPr>
              <w:t>293</w:t>
            </w:r>
          </w:p>
        </w:tc>
        <w:tc>
          <w:tcPr>
            <w:tcW w:w="991" w:type="dxa"/>
            <w:tcBorders>
              <w:top w:val="nil"/>
              <w:left w:val="nil"/>
              <w:bottom w:val="nil"/>
              <w:right w:val="nil"/>
            </w:tcBorders>
          </w:tcPr>
          <w:p w14:paraId="37887BB4" w14:textId="03F9D699" w:rsidR="005A480F" w:rsidRDefault="005A480F" w:rsidP="005F6ED9">
            <w:pPr>
              <w:jc w:val="center"/>
              <w:rPr>
                <w:sz w:val="18"/>
                <w:szCs w:val="18"/>
                <w:lang w:val="en-GB"/>
              </w:rPr>
            </w:pPr>
            <w:r>
              <w:rPr>
                <w:sz w:val="18"/>
                <w:szCs w:val="18"/>
                <w:lang w:val="en-GB"/>
              </w:rPr>
              <w:t>2.97</w:t>
            </w:r>
          </w:p>
        </w:tc>
        <w:tc>
          <w:tcPr>
            <w:tcW w:w="992" w:type="dxa"/>
            <w:tcBorders>
              <w:top w:val="nil"/>
              <w:left w:val="nil"/>
              <w:bottom w:val="nil"/>
            </w:tcBorders>
          </w:tcPr>
          <w:p w14:paraId="6D6CBB63" w14:textId="5C057269" w:rsidR="005A480F" w:rsidRDefault="005A480F" w:rsidP="005F6ED9">
            <w:pPr>
              <w:jc w:val="center"/>
              <w:rPr>
                <w:sz w:val="18"/>
                <w:szCs w:val="18"/>
                <w:lang w:val="en-GB"/>
              </w:rPr>
            </w:pPr>
            <w:r>
              <w:rPr>
                <w:sz w:val="18"/>
                <w:szCs w:val="18"/>
                <w:lang w:val="en-GB"/>
              </w:rPr>
              <w:t>19.7</w:t>
            </w:r>
          </w:p>
        </w:tc>
        <w:tc>
          <w:tcPr>
            <w:tcW w:w="992" w:type="dxa"/>
            <w:vAlign w:val="center"/>
          </w:tcPr>
          <w:p w14:paraId="09713A42" w14:textId="484C1195" w:rsidR="005A480F" w:rsidRPr="009F117B" w:rsidRDefault="005A480F" w:rsidP="005F6ED9">
            <w:pPr>
              <w:jc w:val="center"/>
              <w:rPr>
                <w:sz w:val="18"/>
                <w:szCs w:val="18"/>
                <w:lang w:val="en-GB"/>
              </w:rPr>
            </w:pPr>
            <w:r>
              <w:rPr>
                <w:sz w:val="18"/>
                <w:szCs w:val="18"/>
                <w:lang w:val="en-GB"/>
              </w:rPr>
              <w:t>24.0</w:t>
            </w:r>
          </w:p>
        </w:tc>
        <w:tc>
          <w:tcPr>
            <w:tcW w:w="889" w:type="dxa"/>
            <w:vAlign w:val="center"/>
          </w:tcPr>
          <w:p w14:paraId="57D4BAC2" w14:textId="41944EEC" w:rsidR="005A480F" w:rsidRPr="009F117B" w:rsidRDefault="005A480F" w:rsidP="005F6ED9">
            <w:pPr>
              <w:jc w:val="center"/>
              <w:rPr>
                <w:sz w:val="18"/>
                <w:szCs w:val="18"/>
                <w:lang w:val="en-GB"/>
              </w:rPr>
            </w:pPr>
            <w:r>
              <w:rPr>
                <w:sz w:val="18"/>
                <w:szCs w:val="18"/>
                <w:lang w:val="en-GB"/>
              </w:rPr>
              <w:t>77.2</w:t>
            </w:r>
          </w:p>
        </w:tc>
        <w:tc>
          <w:tcPr>
            <w:tcW w:w="648" w:type="dxa"/>
            <w:vAlign w:val="center"/>
          </w:tcPr>
          <w:p w14:paraId="170D9AF1" w14:textId="6DCA0E43" w:rsidR="005A480F" w:rsidRPr="009F117B" w:rsidRDefault="005A480F" w:rsidP="005F6ED9">
            <w:pPr>
              <w:jc w:val="center"/>
              <w:rPr>
                <w:sz w:val="18"/>
                <w:szCs w:val="18"/>
                <w:lang w:val="en-GB"/>
              </w:rPr>
            </w:pPr>
            <w:r>
              <w:rPr>
                <w:sz w:val="18"/>
                <w:szCs w:val="18"/>
                <w:lang w:val="en-GB"/>
              </w:rPr>
              <w:t>10.1</w:t>
            </w:r>
          </w:p>
        </w:tc>
        <w:tc>
          <w:tcPr>
            <w:tcW w:w="648" w:type="dxa"/>
            <w:vAlign w:val="center"/>
          </w:tcPr>
          <w:p w14:paraId="7FFDC9B1" w14:textId="1D688C4B" w:rsidR="005A480F" w:rsidRPr="009F117B" w:rsidRDefault="005A480F" w:rsidP="005F6ED9">
            <w:pPr>
              <w:jc w:val="center"/>
              <w:rPr>
                <w:sz w:val="18"/>
                <w:szCs w:val="18"/>
                <w:lang w:val="en-GB"/>
              </w:rPr>
            </w:pPr>
            <w:r>
              <w:rPr>
                <w:sz w:val="18"/>
                <w:szCs w:val="18"/>
                <w:lang w:val="en-GB"/>
              </w:rPr>
              <w:t>16.4</w:t>
            </w:r>
          </w:p>
        </w:tc>
        <w:tc>
          <w:tcPr>
            <w:tcW w:w="812" w:type="dxa"/>
            <w:vAlign w:val="center"/>
          </w:tcPr>
          <w:p w14:paraId="462F89B4" w14:textId="3D57189A" w:rsidR="005A480F" w:rsidRPr="009F117B" w:rsidRDefault="005A480F" w:rsidP="005F6ED9">
            <w:pPr>
              <w:jc w:val="center"/>
              <w:rPr>
                <w:sz w:val="18"/>
                <w:szCs w:val="18"/>
                <w:lang w:val="en-GB"/>
              </w:rPr>
            </w:pPr>
            <w:r>
              <w:rPr>
                <w:sz w:val="18"/>
                <w:szCs w:val="18"/>
                <w:lang w:val="en-GB"/>
              </w:rPr>
              <w:t>21.5</w:t>
            </w:r>
          </w:p>
        </w:tc>
        <w:tc>
          <w:tcPr>
            <w:tcW w:w="648" w:type="dxa"/>
            <w:vAlign w:val="center"/>
          </w:tcPr>
          <w:p w14:paraId="28C2A8B7" w14:textId="3DD1BDAD" w:rsidR="005A480F" w:rsidRPr="009F117B" w:rsidRDefault="005A480F" w:rsidP="005F6ED9">
            <w:pPr>
              <w:jc w:val="center"/>
              <w:rPr>
                <w:sz w:val="18"/>
                <w:szCs w:val="18"/>
                <w:lang w:val="en-GB"/>
              </w:rPr>
            </w:pPr>
            <w:r>
              <w:rPr>
                <w:sz w:val="18"/>
                <w:szCs w:val="18"/>
                <w:lang w:val="en-GB"/>
              </w:rPr>
              <w:t>28.9</w:t>
            </w:r>
          </w:p>
        </w:tc>
        <w:tc>
          <w:tcPr>
            <w:tcW w:w="707" w:type="dxa"/>
            <w:vAlign w:val="center"/>
          </w:tcPr>
          <w:p w14:paraId="4ECF44A7" w14:textId="1A8326A0" w:rsidR="005A480F" w:rsidRPr="009F117B" w:rsidRDefault="005A480F" w:rsidP="005F6ED9">
            <w:pPr>
              <w:jc w:val="center"/>
              <w:rPr>
                <w:sz w:val="18"/>
                <w:szCs w:val="18"/>
                <w:lang w:val="en-GB"/>
              </w:rPr>
            </w:pPr>
            <w:r>
              <w:rPr>
                <w:sz w:val="18"/>
                <w:szCs w:val="18"/>
                <w:lang w:val="en-GB"/>
              </w:rPr>
              <w:t>46.1</w:t>
            </w:r>
          </w:p>
        </w:tc>
      </w:tr>
      <w:tr w:rsidR="005A480F" w14:paraId="64393E4F" w14:textId="77777777" w:rsidTr="008E4A4D">
        <w:tc>
          <w:tcPr>
            <w:tcW w:w="1982" w:type="dxa"/>
            <w:tcBorders>
              <w:top w:val="nil"/>
              <w:bottom w:val="nil"/>
              <w:right w:val="nil"/>
            </w:tcBorders>
          </w:tcPr>
          <w:p w14:paraId="3B1E395D" w14:textId="77777777" w:rsidR="005A480F" w:rsidRPr="009F117B" w:rsidRDefault="005A480F" w:rsidP="005F6ED9">
            <w:pPr>
              <w:rPr>
                <w:sz w:val="18"/>
                <w:szCs w:val="18"/>
                <w:lang w:val="en-GB"/>
              </w:rPr>
            </w:pPr>
            <w:r>
              <w:rPr>
                <w:sz w:val="18"/>
                <w:szCs w:val="18"/>
                <w:lang w:val="en-GB"/>
              </w:rPr>
              <w:t>Diabetes</w:t>
            </w:r>
          </w:p>
        </w:tc>
        <w:tc>
          <w:tcPr>
            <w:tcW w:w="999" w:type="dxa"/>
            <w:tcBorders>
              <w:top w:val="nil"/>
              <w:left w:val="nil"/>
              <w:bottom w:val="nil"/>
              <w:right w:val="nil"/>
            </w:tcBorders>
          </w:tcPr>
          <w:p w14:paraId="2A35BC28" w14:textId="63198205" w:rsidR="005A480F" w:rsidRDefault="005A480F" w:rsidP="005F6ED9">
            <w:pPr>
              <w:jc w:val="center"/>
              <w:rPr>
                <w:sz w:val="18"/>
                <w:szCs w:val="18"/>
                <w:lang w:val="en-GB"/>
              </w:rPr>
            </w:pPr>
            <w:r>
              <w:rPr>
                <w:sz w:val="18"/>
                <w:szCs w:val="18"/>
                <w:lang w:val="en-GB"/>
              </w:rPr>
              <w:t>4,052</w:t>
            </w:r>
          </w:p>
        </w:tc>
        <w:tc>
          <w:tcPr>
            <w:tcW w:w="992" w:type="dxa"/>
            <w:tcBorders>
              <w:top w:val="nil"/>
              <w:left w:val="nil"/>
              <w:bottom w:val="nil"/>
              <w:right w:val="nil"/>
            </w:tcBorders>
          </w:tcPr>
          <w:p w14:paraId="26895A19" w14:textId="002014CD" w:rsidR="005A480F" w:rsidRDefault="005A480F" w:rsidP="005F6ED9">
            <w:pPr>
              <w:jc w:val="center"/>
              <w:rPr>
                <w:sz w:val="18"/>
                <w:szCs w:val="18"/>
                <w:lang w:val="en-GB"/>
              </w:rPr>
            </w:pPr>
            <w:r>
              <w:rPr>
                <w:sz w:val="18"/>
                <w:szCs w:val="18"/>
                <w:lang w:val="en-GB"/>
              </w:rPr>
              <w:t>114</w:t>
            </w:r>
          </w:p>
        </w:tc>
        <w:tc>
          <w:tcPr>
            <w:tcW w:w="991" w:type="dxa"/>
            <w:tcBorders>
              <w:top w:val="nil"/>
              <w:left w:val="nil"/>
              <w:bottom w:val="nil"/>
              <w:right w:val="nil"/>
            </w:tcBorders>
          </w:tcPr>
          <w:p w14:paraId="416A349D" w14:textId="2F0E5714" w:rsidR="005A480F" w:rsidRDefault="005A480F" w:rsidP="005F6ED9">
            <w:pPr>
              <w:jc w:val="center"/>
              <w:rPr>
                <w:sz w:val="18"/>
                <w:szCs w:val="18"/>
                <w:lang w:val="en-GB"/>
              </w:rPr>
            </w:pPr>
            <w:r>
              <w:rPr>
                <w:sz w:val="18"/>
                <w:szCs w:val="18"/>
                <w:lang w:val="en-GB"/>
              </w:rPr>
              <w:t>2.81</w:t>
            </w:r>
          </w:p>
        </w:tc>
        <w:tc>
          <w:tcPr>
            <w:tcW w:w="992" w:type="dxa"/>
            <w:tcBorders>
              <w:top w:val="nil"/>
              <w:left w:val="nil"/>
              <w:bottom w:val="nil"/>
            </w:tcBorders>
          </w:tcPr>
          <w:p w14:paraId="6F8EAE3D" w14:textId="72D77F30" w:rsidR="005A480F" w:rsidRDefault="005A480F" w:rsidP="005F6ED9">
            <w:pPr>
              <w:jc w:val="center"/>
              <w:rPr>
                <w:sz w:val="18"/>
                <w:szCs w:val="18"/>
                <w:lang w:val="en-GB"/>
              </w:rPr>
            </w:pPr>
            <w:r>
              <w:rPr>
                <w:sz w:val="18"/>
                <w:szCs w:val="18"/>
                <w:lang w:val="en-GB"/>
              </w:rPr>
              <w:t>12.7</w:t>
            </w:r>
          </w:p>
        </w:tc>
        <w:tc>
          <w:tcPr>
            <w:tcW w:w="992" w:type="dxa"/>
            <w:vAlign w:val="center"/>
          </w:tcPr>
          <w:p w14:paraId="118B690D" w14:textId="37B6D37F" w:rsidR="005A480F" w:rsidRPr="009F117B" w:rsidRDefault="005A480F" w:rsidP="005F6ED9">
            <w:pPr>
              <w:jc w:val="center"/>
              <w:rPr>
                <w:sz w:val="18"/>
                <w:szCs w:val="18"/>
                <w:lang w:val="en-GB"/>
              </w:rPr>
            </w:pPr>
            <w:r>
              <w:rPr>
                <w:sz w:val="18"/>
                <w:szCs w:val="18"/>
                <w:lang w:val="en-GB"/>
              </w:rPr>
              <w:t>18.4</w:t>
            </w:r>
          </w:p>
        </w:tc>
        <w:tc>
          <w:tcPr>
            <w:tcW w:w="889" w:type="dxa"/>
            <w:vAlign w:val="center"/>
          </w:tcPr>
          <w:p w14:paraId="2C49C282" w14:textId="7A59D3B5" w:rsidR="005A480F" w:rsidRPr="009F117B" w:rsidRDefault="005A480F" w:rsidP="005F6ED9">
            <w:pPr>
              <w:jc w:val="center"/>
              <w:rPr>
                <w:sz w:val="18"/>
                <w:szCs w:val="18"/>
                <w:lang w:val="en-GB"/>
              </w:rPr>
            </w:pPr>
            <w:r>
              <w:rPr>
                <w:sz w:val="18"/>
                <w:szCs w:val="18"/>
                <w:lang w:val="en-GB"/>
              </w:rPr>
              <w:t>53.9</w:t>
            </w:r>
          </w:p>
        </w:tc>
        <w:tc>
          <w:tcPr>
            <w:tcW w:w="648" w:type="dxa"/>
            <w:vAlign w:val="center"/>
          </w:tcPr>
          <w:p w14:paraId="24B7C434" w14:textId="65EB1447" w:rsidR="005A480F" w:rsidRPr="009F117B" w:rsidRDefault="005A480F" w:rsidP="005F6ED9">
            <w:pPr>
              <w:jc w:val="center"/>
              <w:rPr>
                <w:sz w:val="18"/>
                <w:szCs w:val="18"/>
                <w:lang w:val="en-GB"/>
              </w:rPr>
            </w:pPr>
            <w:r>
              <w:rPr>
                <w:sz w:val="18"/>
                <w:szCs w:val="18"/>
                <w:lang w:val="en-GB"/>
              </w:rPr>
              <w:t>4.54</w:t>
            </w:r>
          </w:p>
        </w:tc>
        <w:tc>
          <w:tcPr>
            <w:tcW w:w="648" w:type="dxa"/>
            <w:vAlign w:val="center"/>
          </w:tcPr>
          <w:p w14:paraId="38EEC39A" w14:textId="56625C60" w:rsidR="005A480F" w:rsidRPr="009F117B" w:rsidRDefault="005A480F" w:rsidP="005F6ED9">
            <w:pPr>
              <w:jc w:val="center"/>
              <w:rPr>
                <w:sz w:val="18"/>
                <w:szCs w:val="18"/>
                <w:lang w:val="en-GB"/>
              </w:rPr>
            </w:pPr>
            <w:r>
              <w:rPr>
                <w:sz w:val="18"/>
                <w:szCs w:val="18"/>
                <w:lang w:val="en-GB"/>
              </w:rPr>
              <w:t>10.3</w:t>
            </w:r>
          </w:p>
        </w:tc>
        <w:tc>
          <w:tcPr>
            <w:tcW w:w="812" w:type="dxa"/>
            <w:vAlign w:val="center"/>
          </w:tcPr>
          <w:p w14:paraId="3AD2B413" w14:textId="329C5CD7" w:rsidR="005A480F" w:rsidRPr="009F117B" w:rsidRDefault="005A480F" w:rsidP="005F6ED9">
            <w:pPr>
              <w:jc w:val="center"/>
              <w:rPr>
                <w:sz w:val="18"/>
                <w:szCs w:val="18"/>
                <w:lang w:val="en-GB"/>
              </w:rPr>
            </w:pPr>
            <w:r>
              <w:rPr>
                <w:sz w:val="18"/>
                <w:szCs w:val="18"/>
                <w:lang w:val="en-GB"/>
              </w:rPr>
              <w:t>16.0</w:t>
            </w:r>
          </w:p>
        </w:tc>
        <w:tc>
          <w:tcPr>
            <w:tcW w:w="648" w:type="dxa"/>
            <w:vAlign w:val="center"/>
          </w:tcPr>
          <w:p w14:paraId="40532188" w14:textId="5997D4FC" w:rsidR="005A480F" w:rsidRPr="009F117B" w:rsidRDefault="005A480F" w:rsidP="005F6ED9">
            <w:pPr>
              <w:jc w:val="center"/>
              <w:rPr>
                <w:sz w:val="18"/>
                <w:szCs w:val="18"/>
                <w:lang w:val="en-GB"/>
              </w:rPr>
            </w:pPr>
            <w:r>
              <w:rPr>
                <w:sz w:val="18"/>
                <w:szCs w:val="18"/>
                <w:lang w:val="en-GB"/>
              </w:rPr>
              <w:t>25.4</w:t>
            </w:r>
          </w:p>
        </w:tc>
        <w:tc>
          <w:tcPr>
            <w:tcW w:w="707" w:type="dxa"/>
            <w:vAlign w:val="center"/>
          </w:tcPr>
          <w:p w14:paraId="503A3612" w14:textId="7CA3BCF1" w:rsidR="005A480F" w:rsidRPr="009F117B" w:rsidRDefault="005A480F" w:rsidP="005F6ED9">
            <w:pPr>
              <w:jc w:val="center"/>
              <w:rPr>
                <w:sz w:val="18"/>
                <w:szCs w:val="18"/>
                <w:lang w:val="en-GB"/>
              </w:rPr>
            </w:pPr>
            <w:r>
              <w:rPr>
                <w:sz w:val="18"/>
                <w:szCs w:val="18"/>
                <w:lang w:val="en-GB"/>
              </w:rPr>
              <w:t>37.5</w:t>
            </w:r>
          </w:p>
        </w:tc>
      </w:tr>
      <w:tr w:rsidR="005A480F" w14:paraId="5B6DA0FA" w14:textId="77777777" w:rsidTr="008E4A4D">
        <w:tc>
          <w:tcPr>
            <w:tcW w:w="1982" w:type="dxa"/>
            <w:tcBorders>
              <w:top w:val="nil"/>
              <w:bottom w:val="nil"/>
              <w:right w:val="nil"/>
            </w:tcBorders>
          </w:tcPr>
          <w:p w14:paraId="03183A83" w14:textId="77777777" w:rsidR="005A480F" w:rsidRPr="009F117B" w:rsidRDefault="005A480F" w:rsidP="005F6ED9">
            <w:pPr>
              <w:rPr>
                <w:sz w:val="18"/>
                <w:szCs w:val="18"/>
                <w:lang w:val="en-GB"/>
              </w:rPr>
            </w:pPr>
            <w:r>
              <w:rPr>
                <w:sz w:val="18"/>
                <w:szCs w:val="18"/>
                <w:lang w:val="en-GB"/>
              </w:rPr>
              <w:t>Educational attainment</w:t>
            </w:r>
          </w:p>
        </w:tc>
        <w:tc>
          <w:tcPr>
            <w:tcW w:w="999" w:type="dxa"/>
            <w:tcBorders>
              <w:top w:val="nil"/>
              <w:left w:val="nil"/>
              <w:bottom w:val="nil"/>
              <w:right w:val="nil"/>
            </w:tcBorders>
          </w:tcPr>
          <w:p w14:paraId="06392BCD" w14:textId="28C59FA7" w:rsidR="005A480F" w:rsidRDefault="005A480F" w:rsidP="005F6ED9">
            <w:pPr>
              <w:jc w:val="center"/>
              <w:rPr>
                <w:sz w:val="18"/>
                <w:szCs w:val="18"/>
                <w:lang w:val="en-GB"/>
              </w:rPr>
            </w:pPr>
            <w:r>
              <w:rPr>
                <w:sz w:val="18"/>
                <w:szCs w:val="18"/>
                <w:lang w:val="en-GB"/>
              </w:rPr>
              <w:t>9,235</w:t>
            </w:r>
          </w:p>
        </w:tc>
        <w:tc>
          <w:tcPr>
            <w:tcW w:w="992" w:type="dxa"/>
            <w:tcBorders>
              <w:top w:val="nil"/>
              <w:left w:val="nil"/>
              <w:bottom w:val="nil"/>
              <w:right w:val="nil"/>
            </w:tcBorders>
          </w:tcPr>
          <w:p w14:paraId="23EBCF27" w14:textId="58379EC4" w:rsidR="005A480F" w:rsidRDefault="005A480F" w:rsidP="005F6ED9">
            <w:pPr>
              <w:jc w:val="center"/>
              <w:rPr>
                <w:sz w:val="18"/>
                <w:szCs w:val="18"/>
                <w:lang w:val="en-GB"/>
              </w:rPr>
            </w:pPr>
            <w:r>
              <w:rPr>
                <w:sz w:val="18"/>
                <w:szCs w:val="18"/>
                <w:lang w:val="en-GB"/>
              </w:rPr>
              <w:t>292</w:t>
            </w:r>
          </w:p>
        </w:tc>
        <w:tc>
          <w:tcPr>
            <w:tcW w:w="991" w:type="dxa"/>
            <w:tcBorders>
              <w:top w:val="nil"/>
              <w:left w:val="nil"/>
              <w:bottom w:val="nil"/>
              <w:right w:val="nil"/>
            </w:tcBorders>
          </w:tcPr>
          <w:p w14:paraId="7CB8AEC1" w14:textId="74D376ED" w:rsidR="005A480F" w:rsidRDefault="005A480F" w:rsidP="005F6ED9">
            <w:pPr>
              <w:jc w:val="center"/>
              <w:rPr>
                <w:sz w:val="18"/>
                <w:szCs w:val="18"/>
                <w:lang w:val="en-GB"/>
              </w:rPr>
            </w:pPr>
            <w:r>
              <w:rPr>
                <w:sz w:val="18"/>
                <w:szCs w:val="18"/>
                <w:lang w:val="en-GB"/>
              </w:rPr>
              <w:t>3.16</w:t>
            </w:r>
          </w:p>
        </w:tc>
        <w:tc>
          <w:tcPr>
            <w:tcW w:w="992" w:type="dxa"/>
            <w:tcBorders>
              <w:top w:val="nil"/>
              <w:left w:val="nil"/>
              <w:bottom w:val="nil"/>
            </w:tcBorders>
          </w:tcPr>
          <w:p w14:paraId="2C5C9992" w14:textId="4A1E76C5" w:rsidR="005A480F" w:rsidRDefault="005A480F" w:rsidP="005F6ED9">
            <w:pPr>
              <w:jc w:val="center"/>
              <w:rPr>
                <w:sz w:val="18"/>
                <w:szCs w:val="18"/>
                <w:lang w:val="en-GB"/>
              </w:rPr>
            </w:pPr>
            <w:r>
              <w:rPr>
                <w:sz w:val="18"/>
                <w:szCs w:val="18"/>
                <w:lang w:val="en-GB"/>
              </w:rPr>
              <w:t>17.2</w:t>
            </w:r>
          </w:p>
        </w:tc>
        <w:tc>
          <w:tcPr>
            <w:tcW w:w="992" w:type="dxa"/>
            <w:vAlign w:val="center"/>
          </w:tcPr>
          <w:p w14:paraId="538976F3" w14:textId="7D2F2615" w:rsidR="005A480F" w:rsidRPr="009F117B" w:rsidRDefault="005A480F" w:rsidP="005F6ED9">
            <w:pPr>
              <w:jc w:val="center"/>
              <w:rPr>
                <w:sz w:val="18"/>
                <w:szCs w:val="18"/>
                <w:lang w:val="en-GB"/>
              </w:rPr>
            </w:pPr>
            <w:r>
              <w:rPr>
                <w:sz w:val="18"/>
                <w:szCs w:val="18"/>
                <w:lang w:val="en-GB"/>
              </w:rPr>
              <w:t>23.5</w:t>
            </w:r>
          </w:p>
        </w:tc>
        <w:tc>
          <w:tcPr>
            <w:tcW w:w="889" w:type="dxa"/>
            <w:vAlign w:val="center"/>
          </w:tcPr>
          <w:p w14:paraId="5BA52D6E" w14:textId="62090892" w:rsidR="005A480F" w:rsidRPr="009F117B" w:rsidRDefault="005A480F" w:rsidP="005F6ED9">
            <w:pPr>
              <w:jc w:val="center"/>
              <w:rPr>
                <w:sz w:val="18"/>
                <w:szCs w:val="18"/>
                <w:lang w:val="en-GB"/>
              </w:rPr>
            </w:pPr>
            <w:r>
              <w:rPr>
                <w:sz w:val="18"/>
                <w:szCs w:val="18"/>
                <w:lang w:val="en-GB"/>
              </w:rPr>
              <w:t>58.2</w:t>
            </w:r>
          </w:p>
        </w:tc>
        <w:tc>
          <w:tcPr>
            <w:tcW w:w="648" w:type="dxa"/>
            <w:vAlign w:val="center"/>
          </w:tcPr>
          <w:p w14:paraId="6ACCCE0B" w14:textId="0BB8D98F" w:rsidR="005A480F" w:rsidRPr="009F117B" w:rsidRDefault="005A480F" w:rsidP="005F6ED9">
            <w:pPr>
              <w:jc w:val="center"/>
              <w:rPr>
                <w:sz w:val="18"/>
                <w:szCs w:val="18"/>
                <w:lang w:val="en-GB"/>
              </w:rPr>
            </w:pPr>
            <w:r>
              <w:rPr>
                <w:sz w:val="18"/>
                <w:szCs w:val="18"/>
                <w:lang w:val="en-GB"/>
              </w:rPr>
              <w:t>9.92</w:t>
            </w:r>
          </w:p>
        </w:tc>
        <w:tc>
          <w:tcPr>
            <w:tcW w:w="648" w:type="dxa"/>
            <w:vAlign w:val="center"/>
          </w:tcPr>
          <w:p w14:paraId="4E096A37" w14:textId="59FE2EF8" w:rsidR="005A480F" w:rsidRPr="009F117B" w:rsidRDefault="005A480F" w:rsidP="005F6ED9">
            <w:pPr>
              <w:jc w:val="center"/>
              <w:rPr>
                <w:sz w:val="18"/>
                <w:szCs w:val="18"/>
                <w:lang w:val="en-GB"/>
              </w:rPr>
            </w:pPr>
            <w:r>
              <w:rPr>
                <w:sz w:val="18"/>
                <w:szCs w:val="18"/>
                <w:lang w:val="en-GB"/>
              </w:rPr>
              <w:t>15.6</w:t>
            </w:r>
          </w:p>
        </w:tc>
        <w:tc>
          <w:tcPr>
            <w:tcW w:w="812" w:type="dxa"/>
            <w:vAlign w:val="center"/>
          </w:tcPr>
          <w:p w14:paraId="5A3CA150" w14:textId="0D02EB82" w:rsidR="005A480F" w:rsidRPr="009F117B" w:rsidRDefault="005A480F" w:rsidP="005F6ED9">
            <w:pPr>
              <w:jc w:val="center"/>
              <w:rPr>
                <w:sz w:val="18"/>
                <w:szCs w:val="18"/>
                <w:lang w:val="en-GB"/>
              </w:rPr>
            </w:pPr>
            <w:r>
              <w:rPr>
                <w:sz w:val="18"/>
                <w:szCs w:val="18"/>
                <w:lang w:val="en-GB"/>
              </w:rPr>
              <w:t>21.8</w:t>
            </w:r>
          </w:p>
        </w:tc>
        <w:tc>
          <w:tcPr>
            <w:tcW w:w="648" w:type="dxa"/>
            <w:vAlign w:val="center"/>
          </w:tcPr>
          <w:p w14:paraId="63055207" w14:textId="761D20B0" w:rsidR="005A480F" w:rsidRPr="009F117B" w:rsidRDefault="005A480F" w:rsidP="005F6ED9">
            <w:pPr>
              <w:jc w:val="center"/>
              <w:rPr>
                <w:sz w:val="18"/>
                <w:szCs w:val="18"/>
                <w:lang w:val="en-GB"/>
              </w:rPr>
            </w:pPr>
            <w:r>
              <w:rPr>
                <w:sz w:val="18"/>
                <w:szCs w:val="18"/>
                <w:lang w:val="en-GB"/>
              </w:rPr>
              <w:t>29.3</w:t>
            </w:r>
          </w:p>
        </w:tc>
        <w:tc>
          <w:tcPr>
            <w:tcW w:w="707" w:type="dxa"/>
            <w:vAlign w:val="center"/>
          </w:tcPr>
          <w:p w14:paraId="5E28B9D2" w14:textId="37374C03" w:rsidR="005A480F" w:rsidRPr="009F117B" w:rsidRDefault="005A480F" w:rsidP="005F6ED9">
            <w:pPr>
              <w:jc w:val="center"/>
              <w:rPr>
                <w:sz w:val="18"/>
                <w:szCs w:val="18"/>
                <w:lang w:val="en-GB"/>
              </w:rPr>
            </w:pPr>
            <w:r>
              <w:rPr>
                <w:sz w:val="18"/>
                <w:szCs w:val="18"/>
                <w:lang w:val="en-GB"/>
              </w:rPr>
              <w:t>44.6</w:t>
            </w:r>
          </w:p>
        </w:tc>
      </w:tr>
      <w:tr w:rsidR="005A480F" w14:paraId="2E3957AE" w14:textId="77777777" w:rsidTr="008E4A4D">
        <w:tc>
          <w:tcPr>
            <w:tcW w:w="1982" w:type="dxa"/>
            <w:tcBorders>
              <w:top w:val="nil"/>
              <w:bottom w:val="single" w:sz="12" w:space="0" w:color="auto"/>
              <w:right w:val="nil"/>
            </w:tcBorders>
          </w:tcPr>
          <w:p w14:paraId="17C5820C" w14:textId="3879E69C" w:rsidR="005A480F" w:rsidRPr="009F117B" w:rsidRDefault="005A480F" w:rsidP="005F6ED9">
            <w:pPr>
              <w:rPr>
                <w:sz w:val="18"/>
                <w:szCs w:val="18"/>
                <w:lang w:val="en-GB"/>
              </w:rPr>
            </w:pPr>
            <w:r>
              <w:rPr>
                <w:sz w:val="18"/>
                <w:szCs w:val="18"/>
                <w:lang w:val="en-GB"/>
              </w:rPr>
              <w:t>Schizop</w:t>
            </w:r>
            <w:r w:rsidR="004C7628">
              <w:rPr>
                <w:sz w:val="18"/>
                <w:szCs w:val="18"/>
                <w:lang w:val="en-GB"/>
              </w:rPr>
              <w:t>h</w:t>
            </w:r>
            <w:r>
              <w:rPr>
                <w:sz w:val="18"/>
                <w:szCs w:val="18"/>
                <w:lang w:val="en-GB"/>
              </w:rPr>
              <w:t>renia</w:t>
            </w:r>
          </w:p>
        </w:tc>
        <w:tc>
          <w:tcPr>
            <w:tcW w:w="999" w:type="dxa"/>
            <w:tcBorders>
              <w:top w:val="nil"/>
              <w:left w:val="nil"/>
              <w:bottom w:val="single" w:sz="12" w:space="0" w:color="auto"/>
              <w:right w:val="nil"/>
            </w:tcBorders>
          </w:tcPr>
          <w:p w14:paraId="3BB8C4A7" w14:textId="31FE507D" w:rsidR="005A480F" w:rsidRDefault="005A480F" w:rsidP="005F6ED9">
            <w:pPr>
              <w:jc w:val="center"/>
              <w:rPr>
                <w:sz w:val="18"/>
                <w:szCs w:val="18"/>
                <w:lang w:val="en-GB"/>
              </w:rPr>
            </w:pPr>
            <w:r>
              <w:rPr>
                <w:sz w:val="18"/>
                <w:szCs w:val="18"/>
                <w:lang w:val="en-GB"/>
              </w:rPr>
              <w:t>12,552</w:t>
            </w:r>
          </w:p>
        </w:tc>
        <w:tc>
          <w:tcPr>
            <w:tcW w:w="992" w:type="dxa"/>
            <w:tcBorders>
              <w:top w:val="nil"/>
              <w:left w:val="nil"/>
              <w:bottom w:val="single" w:sz="12" w:space="0" w:color="auto"/>
              <w:right w:val="nil"/>
            </w:tcBorders>
          </w:tcPr>
          <w:p w14:paraId="3A2A2433" w14:textId="3377D712" w:rsidR="005A480F" w:rsidRDefault="005A480F" w:rsidP="005F6ED9">
            <w:pPr>
              <w:jc w:val="center"/>
              <w:rPr>
                <w:sz w:val="18"/>
                <w:szCs w:val="18"/>
                <w:lang w:val="en-GB"/>
              </w:rPr>
            </w:pPr>
            <w:r>
              <w:rPr>
                <w:sz w:val="18"/>
                <w:szCs w:val="18"/>
                <w:lang w:val="en-GB"/>
              </w:rPr>
              <w:t>228</w:t>
            </w:r>
          </w:p>
        </w:tc>
        <w:tc>
          <w:tcPr>
            <w:tcW w:w="991" w:type="dxa"/>
            <w:tcBorders>
              <w:top w:val="nil"/>
              <w:left w:val="nil"/>
              <w:bottom w:val="single" w:sz="12" w:space="0" w:color="auto"/>
              <w:right w:val="nil"/>
            </w:tcBorders>
          </w:tcPr>
          <w:p w14:paraId="2BF44E57" w14:textId="2EA437E1" w:rsidR="005A480F" w:rsidRDefault="005A480F" w:rsidP="005F6ED9">
            <w:pPr>
              <w:jc w:val="center"/>
              <w:rPr>
                <w:sz w:val="18"/>
                <w:szCs w:val="18"/>
                <w:lang w:val="en-GB"/>
              </w:rPr>
            </w:pPr>
            <w:r>
              <w:rPr>
                <w:sz w:val="18"/>
                <w:szCs w:val="18"/>
                <w:lang w:val="en-GB"/>
              </w:rPr>
              <w:t>1.82</w:t>
            </w:r>
          </w:p>
        </w:tc>
        <w:tc>
          <w:tcPr>
            <w:tcW w:w="992" w:type="dxa"/>
            <w:tcBorders>
              <w:top w:val="nil"/>
              <w:left w:val="nil"/>
              <w:bottom w:val="single" w:sz="12" w:space="0" w:color="auto"/>
            </w:tcBorders>
          </w:tcPr>
          <w:p w14:paraId="47D19DCC" w14:textId="63578549" w:rsidR="005A480F" w:rsidRDefault="005A480F" w:rsidP="005F6ED9">
            <w:pPr>
              <w:jc w:val="center"/>
              <w:rPr>
                <w:sz w:val="18"/>
                <w:szCs w:val="18"/>
                <w:lang w:val="en-GB"/>
              </w:rPr>
            </w:pPr>
            <w:r>
              <w:rPr>
                <w:sz w:val="18"/>
                <w:szCs w:val="18"/>
                <w:lang w:val="en-GB"/>
              </w:rPr>
              <w:t>11.6</w:t>
            </w:r>
          </w:p>
        </w:tc>
        <w:tc>
          <w:tcPr>
            <w:tcW w:w="992" w:type="dxa"/>
            <w:vAlign w:val="center"/>
          </w:tcPr>
          <w:p w14:paraId="0F1AB711" w14:textId="07F62EB3" w:rsidR="005A480F" w:rsidRPr="009F117B" w:rsidRDefault="005A480F" w:rsidP="005F6ED9">
            <w:pPr>
              <w:jc w:val="center"/>
              <w:rPr>
                <w:sz w:val="18"/>
                <w:szCs w:val="18"/>
                <w:lang w:val="en-GB"/>
              </w:rPr>
            </w:pPr>
            <w:r>
              <w:rPr>
                <w:sz w:val="18"/>
                <w:szCs w:val="18"/>
                <w:lang w:val="en-GB"/>
              </w:rPr>
              <w:t>21.2</w:t>
            </w:r>
          </w:p>
        </w:tc>
        <w:tc>
          <w:tcPr>
            <w:tcW w:w="889" w:type="dxa"/>
            <w:vAlign w:val="center"/>
          </w:tcPr>
          <w:p w14:paraId="0EEDBD34" w14:textId="1BDE2F95" w:rsidR="005A480F" w:rsidRPr="009F117B" w:rsidRDefault="005A480F" w:rsidP="005F6ED9">
            <w:pPr>
              <w:jc w:val="center"/>
              <w:rPr>
                <w:sz w:val="18"/>
                <w:szCs w:val="18"/>
                <w:lang w:val="en-GB"/>
              </w:rPr>
            </w:pPr>
            <w:r>
              <w:rPr>
                <w:sz w:val="18"/>
                <w:szCs w:val="18"/>
                <w:lang w:val="en-GB"/>
              </w:rPr>
              <w:t>50.3</w:t>
            </w:r>
          </w:p>
        </w:tc>
        <w:tc>
          <w:tcPr>
            <w:tcW w:w="648" w:type="dxa"/>
            <w:vAlign w:val="center"/>
          </w:tcPr>
          <w:p w14:paraId="518025F1" w14:textId="0B5E88C4" w:rsidR="005A480F" w:rsidRPr="009F117B" w:rsidRDefault="005A480F" w:rsidP="005F6ED9">
            <w:pPr>
              <w:jc w:val="center"/>
              <w:rPr>
                <w:sz w:val="18"/>
                <w:szCs w:val="18"/>
                <w:lang w:val="en-GB"/>
              </w:rPr>
            </w:pPr>
            <w:r>
              <w:rPr>
                <w:sz w:val="18"/>
                <w:szCs w:val="18"/>
                <w:lang w:val="en-GB"/>
              </w:rPr>
              <w:t>10.2</w:t>
            </w:r>
          </w:p>
        </w:tc>
        <w:tc>
          <w:tcPr>
            <w:tcW w:w="648" w:type="dxa"/>
            <w:vAlign w:val="center"/>
          </w:tcPr>
          <w:p w14:paraId="3C3C7547" w14:textId="27D4D07F" w:rsidR="005A480F" w:rsidRPr="009F117B" w:rsidRDefault="005A480F" w:rsidP="005F6ED9">
            <w:pPr>
              <w:jc w:val="center"/>
              <w:rPr>
                <w:sz w:val="18"/>
                <w:szCs w:val="18"/>
                <w:lang w:val="en-GB"/>
              </w:rPr>
            </w:pPr>
            <w:r>
              <w:rPr>
                <w:sz w:val="18"/>
                <w:szCs w:val="18"/>
                <w:lang w:val="en-GB"/>
              </w:rPr>
              <w:t>14.5</w:t>
            </w:r>
          </w:p>
        </w:tc>
        <w:tc>
          <w:tcPr>
            <w:tcW w:w="812" w:type="dxa"/>
            <w:vAlign w:val="center"/>
          </w:tcPr>
          <w:p w14:paraId="766BFFC1" w14:textId="0995F7D5" w:rsidR="005A480F" w:rsidRPr="009F117B" w:rsidRDefault="005A480F" w:rsidP="005F6ED9">
            <w:pPr>
              <w:jc w:val="center"/>
              <w:rPr>
                <w:sz w:val="18"/>
                <w:szCs w:val="18"/>
                <w:lang w:val="en-GB"/>
              </w:rPr>
            </w:pPr>
            <w:r>
              <w:rPr>
                <w:sz w:val="18"/>
                <w:szCs w:val="18"/>
                <w:lang w:val="en-GB"/>
              </w:rPr>
              <w:t>19.2</w:t>
            </w:r>
          </w:p>
        </w:tc>
        <w:tc>
          <w:tcPr>
            <w:tcW w:w="648" w:type="dxa"/>
            <w:vAlign w:val="center"/>
          </w:tcPr>
          <w:p w14:paraId="283F7C96" w14:textId="48FB18D0" w:rsidR="005A480F" w:rsidRPr="009F117B" w:rsidRDefault="005A480F" w:rsidP="005F6ED9">
            <w:pPr>
              <w:jc w:val="center"/>
              <w:rPr>
                <w:sz w:val="18"/>
                <w:szCs w:val="18"/>
                <w:lang w:val="en-GB"/>
              </w:rPr>
            </w:pPr>
            <w:r>
              <w:rPr>
                <w:sz w:val="18"/>
                <w:szCs w:val="18"/>
                <w:lang w:val="en-GB"/>
              </w:rPr>
              <w:t>26.8</w:t>
            </w:r>
          </w:p>
        </w:tc>
        <w:tc>
          <w:tcPr>
            <w:tcW w:w="707" w:type="dxa"/>
            <w:vAlign w:val="center"/>
          </w:tcPr>
          <w:p w14:paraId="269B4882" w14:textId="071DAE85" w:rsidR="005A480F" w:rsidRPr="009F117B" w:rsidRDefault="005A480F" w:rsidP="005F6ED9">
            <w:pPr>
              <w:jc w:val="center"/>
              <w:rPr>
                <w:sz w:val="18"/>
                <w:szCs w:val="18"/>
                <w:lang w:val="en-GB"/>
              </w:rPr>
            </w:pPr>
            <w:r>
              <w:rPr>
                <w:sz w:val="18"/>
                <w:szCs w:val="18"/>
                <w:lang w:val="en-GB"/>
              </w:rPr>
              <w:t>37.1</w:t>
            </w:r>
          </w:p>
        </w:tc>
      </w:tr>
    </w:tbl>
    <w:p w14:paraId="6521FF1E" w14:textId="2689983B" w:rsidR="009B6243" w:rsidRDefault="009B6243" w:rsidP="00621B0C">
      <w:pPr>
        <w:rPr>
          <w:rFonts w:eastAsiaTheme="minorEastAsia"/>
          <w:sz w:val="16"/>
          <w:szCs w:val="16"/>
          <w:lang w:val="en-GB"/>
        </w:rPr>
      </w:pPr>
      <w:r>
        <w:rPr>
          <w:sz w:val="16"/>
          <w:szCs w:val="16"/>
          <w:lang w:val="en-GB"/>
        </w:rPr>
        <w:t>Genes were counted as univariate significant if univariate tests were significant</w:t>
      </w:r>
      <w:r w:rsidR="004C646F">
        <w:rPr>
          <w:sz w:val="16"/>
          <w:szCs w:val="16"/>
          <w:lang w:val="en-GB"/>
        </w:rPr>
        <w:t xml:space="preserve"> (</w:t>
      </w:r>
      <m:oMath>
        <m:r>
          <w:rPr>
            <w:rFonts w:ascii="Cambria Math" w:hAnsi="Cambria Math"/>
            <w:sz w:val="16"/>
            <w:szCs w:val="16"/>
            <w:lang w:val="en-GB"/>
          </w:rPr>
          <m:t>p&lt;0.05/24,836</m:t>
        </m:r>
      </m:oMath>
      <w:r w:rsidR="004C646F">
        <w:rPr>
          <w:rFonts w:eastAsiaTheme="minorEastAsia"/>
          <w:sz w:val="16"/>
          <w:szCs w:val="16"/>
          <w:lang w:val="en-GB"/>
        </w:rPr>
        <w:t>)</w:t>
      </w:r>
      <w:r>
        <w:rPr>
          <w:sz w:val="16"/>
          <w:szCs w:val="16"/>
          <w:lang w:val="en-GB"/>
        </w:rPr>
        <w:t xml:space="preserve"> for the phenotype and expression in at least one tissue. Genes were counted as bivariate significant if the local </w:t>
      </w:r>
      <m:oMath>
        <m:sSub>
          <m:sSubPr>
            <m:ctrlPr>
              <w:rPr>
                <w:rFonts w:ascii="Cambria Math" w:hAnsi="Cambria Math"/>
                <w:i/>
                <w:sz w:val="16"/>
                <w:szCs w:val="16"/>
                <w:lang w:val="en-GB"/>
              </w:rPr>
            </m:ctrlPr>
          </m:sSubPr>
          <m:e>
            <m:r>
              <w:rPr>
                <w:rFonts w:ascii="Cambria Math" w:hAnsi="Cambria Math"/>
                <w:sz w:val="16"/>
                <w:szCs w:val="16"/>
                <w:lang w:val="en-GB"/>
              </w:rPr>
              <m:t>r</m:t>
            </m:r>
          </m:e>
          <m:sub>
            <m:r>
              <w:rPr>
                <w:rFonts w:ascii="Cambria Math" w:hAnsi="Cambria Math"/>
                <w:sz w:val="16"/>
                <w:szCs w:val="16"/>
                <w:lang w:val="en-GB"/>
              </w:rPr>
              <m:t>G</m:t>
            </m:r>
          </m:sub>
        </m:sSub>
      </m:oMath>
      <w:r>
        <w:rPr>
          <w:rFonts w:eastAsiaTheme="minorEastAsia"/>
          <w:sz w:val="16"/>
          <w:szCs w:val="16"/>
          <w:lang w:val="en-GB"/>
        </w:rPr>
        <w:t xml:space="preserve"> with the phenotype was significant </w:t>
      </w:r>
      <w:r w:rsidR="00AD3B83">
        <w:rPr>
          <w:rFonts w:eastAsiaTheme="minorEastAsia"/>
          <w:sz w:val="16"/>
          <w:szCs w:val="16"/>
          <w:lang w:val="en-GB"/>
        </w:rPr>
        <w:t xml:space="preserve">(at thresholds listed in Table 2) </w:t>
      </w:r>
      <w:r>
        <w:rPr>
          <w:rFonts w:eastAsiaTheme="minorEastAsia"/>
          <w:sz w:val="16"/>
          <w:szCs w:val="16"/>
          <w:lang w:val="en-GB"/>
        </w:rPr>
        <w:t xml:space="preserve">for at least one tissue. The % of univariate by area was computed as the </w:t>
      </w:r>
      <w:r w:rsidR="00D44768">
        <w:rPr>
          <w:rFonts w:eastAsiaTheme="minorEastAsia"/>
          <w:sz w:val="16"/>
          <w:szCs w:val="16"/>
          <w:lang w:val="en-GB"/>
        </w:rPr>
        <w:t xml:space="preserve">total </w:t>
      </w:r>
      <w:r>
        <w:rPr>
          <w:rFonts w:eastAsiaTheme="minorEastAsia"/>
          <w:sz w:val="16"/>
          <w:szCs w:val="16"/>
          <w:lang w:val="en-GB"/>
        </w:rPr>
        <w:t xml:space="preserve">genomic </w:t>
      </w:r>
      <w:r w:rsidR="000724F0">
        <w:rPr>
          <w:rFonts w:eastAsiaTheme="minorEastAsia"/>
          <w:sz w:val="16"/>
          <w:szCs w:val="16"/>
          <w:lang w:val="en-GB"/>
        </w:rPr>
        <w:t xml:space="preserve">region covered by bivariate significant genes </w:t>
      </w:r>
      <w:r w:rsidR="00D44768">
        <w:rPr>
          <w:rFonts w:eastAsiaTheme="minorEastAsia"/>
          <w:sz w:val="16"/>
          <w:szCs w:val="16"/>
          <w:lang w:val="en-GB"/>
        </w:rPr>
        <w:t xml:space="preserve">as a percentage of the total genomic region covered by univariate significant genes. </w:t>
      </w:r>
      <w:r w:rsidR="00CC4389">
        <w:rPr>
          <w:rFonts w:eastAsiaTheme="minorEastAsia"/>
          <w:sz w:val="16"/>
          <w:szCs w:val="16"/>
          <w:lang w:val="en-GB"/>
        </w:rPr>
        <w:t xml:space="preserve">The </w:t>
      </w:r>
      <m:oMath>
        <m:sSubSup>
          <m:sSubSupPr>
            <m:ctrlPr>
              <w:rPr>
                <w:rFonts w:ascii="Cambria Math" w:eastAsiaTheme="minorEastAsia" w:hAnsi="Cambria Math"/>
                <w:i/>
                <w:sz w:val="16"/>
                <w:szCs w:val="16"/>
                <w:lang w:val="en-GB"/>
              </w:rPr>
            </m:ctrlPr>
          </m:sSubSupPr>
          <m:e>
            <m:r>
              <w:rPr>
                <w:rFonts w:ascii="Cambria Math" w:eastAsiaTheme="minorEastAsia" w:hAnsi="Cambria Math"/>
                <w:sz w:val="16"/>
                <w:szCs w:val="16"/>
                <w:lang w:val="en-GB"/>
              </w:rPr>
              <m:t>r</m:t>
            </m:r>
          </m:e>
          <m:sub>
            <m:r>
              <w:rPr>
                <w:rFonts w:ascii="Cambria Math" w:eastAsiaTheme="minorEastAsia" w:hAnsi="Cambria Math"/>
                <w:sz w:val="16"/>
                <w:szCs w:val="16"/>
                <w:lang w:val="en-GB"/>
              </w:rPr>
              <m:t>G</m:t>
            </m:r>
          </m:sub>
          <m:sup>
            <m:r>
              <w:rPr>
                <w:rFonts w:ascii="Cambria Math" w:eastAsiaTheme="minorEastAsia" w:hAnsi="Cambria Math"/>
                <w:sz w:val="16"/>
                <w:szCs w:val="16"/>
                <w:lang w:val="en-GB"/>
              </w:rPr>
              <m:t>2</m:t>
            </m:r>
          </m:sup>
        </m:sSubSup>
      </m:oMath>
      <w:r w:rsidR="00CC4389">
        <w:rPr>
          <w:rFonts w:eastAsiaTheme="minorEastAsia"/>
          <w:sz w:val="16"/>
          <w:szCs w:val="16"/>
          <w:lang w:val="en-GB"/>
        </w:rPr>
        <w:t xml:space="preserve"> values are expressed as percentages, and quantify how much of the local genetic signal for the phenotype can be explained by the local genetic signal for the gene expression. </w:t>
      </w:r>
    </w:p>
    <w:p w14:paraId="3663090C" w14:textId="105EDA0B" w:rsidR="00AA2FEA" w:rsidRDefault="00AA2FEA" w:rsidP="00621B0C">
      <w:pPr>
        <w:rPr>
          <w:rFonts w:eastAsiaTheme="minorEastAsia"/>
          <w:sz w:val="16"/>
          <w:szCs w:val="16"/>
          <w:lang w:val="en-GB"/>
        </w:rPr>
      </w:pPr>
    </w:p>
    <w:p w14:paraId="21DF92D1" w14:textId="191025F5" w:rsidR="00AA2FEA" w:rsidRDefault="00AA2FEA">
      <w:pPr>
        <w:rPr>
          <w:rFonts w:eastAsiaTheme="minorEastAsia"/>
          <w:sz w:val="16"/>
          <w:szCs w:val="16"/>
          <w:lang w:val="en-GB"/>
        </w:rPr>
      </w:pPr>
      <w:r>
        <w:rPr>
          <w:rFonts w:eastAsiaTheme="minorEastAsia"/>
          <w:sz w:val="16"/>
          <w:szCs w:val="16"/>
          <w:lang w:val="en-GB"/>
        </w:rPr>
        <w:br w:type="page"/>
      </w:r>
    </w:p>
    <w:p w14:paraId="1B8CED2A" w14:textId="4684DE49" w:rsidR="00AA2FEA" w:rsidRDefault="00201BC8" w:rsidP="00201BC8">
      <w:pPr>
        <w:pStyle w:val="Kop1"/>
      </w:pPr>
      <w:bookmarkStart w:id="13" w:name="_Toc79957420"/>
      <w:r>
        <w:lastRenderedPageBreak/>
        <w:t>Supplemental references</w:t>
      </w:r>
      <w:bookmarkEnd w:id="13"/>
    </w:p>
    <w:p w14:paraId="72505F46" w14:textId="1063E895" w:rsidR="00201BC8" w:rsidRDefault="00201BC8" w:rsidP="00201BC8">
      <w:pPr>
        <w:rPr>
          <w:lang w:val="en-GB"/>
        </w:rPr>
      </w:pPr>
    </w:p>
    <w:p w14:paraId="694114E5" w14:textId="77777777" w:rsidR="00FA233A" w:rsidRPr="00FA233A" w:rsidRDefault="00644F8A" w:rsidP="00FA233A">
      <w:pPr>
        <w:pStyle w:val="Bibliografie"/>
        <w:rPr>
          <w:rFonts w:ascii="Calibri" w:hAnsi="Calibri" w:cs="Calibri"/>
          <w:lang w:val="en-GB"/>
        </w:rPr>
      </w:pPr>
      <w:r>
        <w:rPr>
          <w:lang w:val="en-GB"/>
        </w:rPr>
        <w:fldChar w:fldCharType="begin"/>
      </w:r>
      <w:r w:rsidR="00FA233A">
        <w:rPr>
          <w:lang w:val="en-GB"/>
        </w:rPr>
        <w:instrText xml:space="preserve"> ADDIN ZOTERO_BIBL {"uncited":[],"omitted":[],"custom":[]} CSL_BIBLIOGRAPHY </w:instrText>
      </w:r>
      <w:r>
        <w:rPr>
          <w:lang w:val="en-GB"/>
        </w:rPr>
        <w:fldChar w:fldCharType="separate"/>
      </w:r>
      <w:r w:rsidR="00FA233A" w:rsidRPr="00FA233A">
        <w:rPr>
          <w:rFonts w:ascii="Calibri" w:hAnsi="Calibri" w:cs="Calibri"/>
          <w:lang w:val="en-GB"/>
        </w:rPr>
        <w:t>1.</w:t>
      </w:r>
      <w:r w:rsidR="00FA233A" w:rsidRPr="00FA233A">
        <w:rPr>
          <w:rFonts w:ascii="Calibri" w:hAnsi="Calibri" w:cs="Calibri"/>
          <w:lang w:val="en-GB"/>
        </w:rPr>
        <w:tab/>
        <w:t xml:space="preserve">Neale, B. M. &amp; Sham, P. C. The Future of Association Studies: Gene-Based Analysis and Replication. </w:t>
      </w:r>
      <w:r w:rsidR="00FA233A" w:rsidRPr="00FA233A">
        <w:rPr>
          <w:rFonts w:ascii="Calibri" w:hAnsi="Calibri" w:cs="Calibri"/>
          <w:i/>
          <w:iCs/>
          <w:lang w:val="en-GB"/>
        </w:rPr>
        <w:t>Am. J. Hum. Genet.</w:t>
      </w:r>
      <w:r w:rsidR="00FA233A" w:rsidRPr="00FA233A">
        <w:rPr>
          <w:rFonts w:ascii="Calibri" w:hAnsi="Calibri" w:cs="Calibri"/>
          <w:lang w:val="en-GB"/>
        </w:rPr>
        <w:t xml:space="preserve"> </w:t>
      </w:r>
      <w:r w:rsidR="00FA233A" w:rsidRPr="00FA233A">
        <w:rPr>
          <w:rFonts w:ascii="Calibri" w:hAnsi="Calibri" w:cs="Calibri"/>
          <w:b/>
          <w:bCs/>
          <w:lang w:val="en-GB"/>
        </w:rPr>
        <w:t>75</w:t>
      </w:r>
      <w:r w:rsidR="00FA233A" w:rsidRPr="00FA233A">
        <w:rPr>
          <w:rFonts w:ascii="Calibri" w:hAnsi="Calibri" w:cs="Calibri"/>
          <w:lang w:val="en-GB"/>
        </w:rPr>
        <w:t>, 353–362 (2004).</w:t>
      </w:r>
    </w:p>
    <w:p w14:paraId="00CB8A75" w14:textId="77777777" w:rsidR="00FA233A" w:rsidRPr="00FA233A" w:rsidRDefault="00FA233A" w:rsidP="00FA233A">
      <w:pPr>
        <w:pStyle w:val="Bibliografie"/>
        <w:rPr>
          <w:rFonts w:ascii="Calibri" w:hAnsi="Calibri" w:cs="Calibri"/>
          <w:lang w:val="en-GB"/>
        </w:rPr>
      </w:pPr>
      <w:r w:rsidRPr="00FA233A">
        <w:rPr>
          <w:rFonts w:ascii="Calibri" w:hAnsi="Calibri" w:cs="Calibri"/>
          <w:lang w:val="en-GB"/>
        </w:rPr>
        <w:t>2.</w:t>
      </w:r>
      <w:r w:rsidRPr="00FA233A">
        <w:rPr>
          <w:rFonts w:ascii="Calibri" w:hAnsi="Calibri" w:cs="Calibri"/>
          <w:lang w:val="en-GB"/>
        </w:rPr>
        <w:tab/>
        <w:t xml:space="preserve">Kang, G., Jiang, B. &amp; Cui, Y. Gene-based Genomewide Association Analysis: A Comparison Study. </w:t>
      </w:r>
      <w:r w:rsidRPr="00FA233A">
        <w:rPr>
          <w:rFonts w:ascii="Calibri" w:hAnsi="Calibri" w:cs="Calibri"/>
          <w:i/>
          <w:iCs/>
          <w:lang w:val="en-GB"/>
        </w:rPr>
        <w:t>Curr. Genomics</w:t>
      </w:r>
      <w:r w:rsidRPr="00FA233A">
        <w:rPr>
          <w:rFonts w:ascii="Calibri" w:hAnsi="Calibri" w:cs="Calibri"/>
          <w:lang w:val="en-GB"/>
        </w:rPr>
        <w:t xml:space="preserve"> </w:t>
      </w:r>
      <w:r w:rsidRPr="00FA233A">
        <w:rPr>
          <w:rFonts w:ascii="Calibri" w:hAnsi="Calibri" w:cs="Calibri"/>
          <w:b/>
          <w:bCs/>
          <w:lang w:val="en-GB"/>
        </w:rPr>
        <w:t>14</w:t>
      </w:r>
      <w:r w:rsidRPr="00FA233A">
        <w:rPr>
          <w:rFonts w:ascii="Calibri" w:hAnsi="Calibri" w:cs="Calibri"/>
          <w:lang w:val="en-GB"/>
        </w:rPr>
        <w:t>, 250–255 (2013).</w:t>
      </w:r>
    </w:p>
    <w:p w14:paraId="1B8B683F" w14:textId="77777777" w:rsidR="00FA233A" w:rsidRPr="00FA233A" w:rsidRDefault="00FA233A" w:rsidP="00FA233A">
      <w:pPr>
        <w:pStyle w:val="Bibliografie"/>
        <w:rPr>
          <w:rFonts w:ascii="Calibri" w:hAnsi="Calibri" w:cs="Calibri"/>
          <w:lang w:val="en-GB"/>
        </w:rPr>
      </w:pPr>
      <w:r w:rsidRPr="00FA233A">
        <w:rPr>
          <w:rFonts w:ascii="Calibri" w:hAnsi="Calibri" w:cs="Calibri"/>
          <w:lang w:val="en-GB"/>
        </w:rPr>
        <w:t>3.</w:t>
      </w:r>
      <w:r w:rsidRPr="00FA233A">
        <w:rPr>
          <w:rFonts w:ascii="Calibri" w:hAnsi="Calibri" w:cs="Calibri"/>
          <w:lang w:val="en-GB"/>
        </w:rPr>
        <w:tab/>
        <w:t xml:space="preserve">de Leeuw, C. A., Mooij, J. M., Heskes, T. &amp; Posthuma, D. MAGMA: Generalized Gene-Set Analysis of GWAS Data. </w:t>
      </w:r>
      <w:r w:rsidRPr="00FA233A">
        <w:rPr>
          <w:rFonts w:ascii="Calibri" w:hAnsi="Calibri" w:cs="Calibri"/>
          <w:i/>
          <w:iCs/>
          <w:lang w:val="en-GB"/>
        </w:rPr>
        <w:t>PLoS Comput. Biol.</w:t>
      </w:r>
      <w:r w:rsidRPr="00FA233A">
        <w:rPr>
          <w:rFonts w:ascii="Calibri" w:hAnsi="Calibri" w:cs="Calibri"/>
          <w:lang w:val="en-GB"/>
        </w:rPr>
        <w:t xml:space="preserve"> </w:t>
      </w:r>
      <w:r w:rsidRPr="00FA233A">
        <w:rPr>
          <w:rFonts w:ascii="Calibri" w:hAnsi="Calibri" w:cs="Calibri"/>
          <w:b/>
          <w:bCs/>
          <w:lang w:val="en-GB"/>
        </w:rPr>
        <w:t>11</w:t>
      </w:r>
      <w:r w:rsidRPr="00FA233A">
        <w:rPr>
          <w:rFonts w:ascii="Calibri" w:hAnsi="Calibri" w:cs="Calibri"/>
          <w:lang w:val="en-GB"/>
        </w:rPr>
        <w:t>, e1004219 (2015).</w:t>
      </w:r>
    </w:p>
    <w:p w14:paraId="4E2B0623" w14:textId="77777777" w:rsidR="00FA233A" w:rsidRPr="00FA233A" w:rsidRDefault="00FA233A" w:rsidP="00FA233A">
      <w:pPr>
        <w:pStyle w:val="Bibliografie"/>
        <w:rPr>
          <w:rFonts w:ascii="Calibri" w:hAnsi="Calibri" w:cs="Calibri"/>
          <w:lang w:val="en-GB"/>
        </w:rPr>
      </w:pPr>
      <w:r w:rsidRPr="00FA233A">
        <w:rPr>
          <w:rFonts w:ascii="Calibri" w:hAnsi="Calibri" w:cs="Calibri"/>
          <w:lang w:val="en-GB"/>
        </w:rPr>
        <w:t>4.</w:t>
      </w:r>
      <w:r w:rsidRPr="00FA233A">
        <w:rPr>
          <w:rFonts w:ascii="Calibri" w:hAnsi="Calibri" w:cs="Calibri"/>
          <w:lang w:val="en-GB"/>
        </w:rPr>
        <w:tab/>
        <w:t xml:space="preserve">Wu, M. C. </w:t>
      </w:r>
      <w:r w:rsidRPr="00FA233A">
        <w:rPr>
          <w:rFonts w:ascii="Calibri" w:hAnsi="Calibri" w:cs="Calibri"/>
          <w:i/>
          <w:iCs/>
          <w:lang w:val="en-GB"/>
        </w:rPr>
        <w:t>et al.</w:t>
      </w:r>
      <w:r w:rsidRPr="00FA233A">
        <w:rPr>
          <w:rFonts w:ascii="Calibri" w:hAnsi="Calibri" w:cs="Calibri"/>
          <w:lang w:val="en-GB"/>
        </w:rPr>
        <w:t xml:space="preserve"> Rare-Variant Association Testing for Sequencing Data with the Sequence Kernel Association Test. </w:t>
      </w:r>
      <w:r w:rsidRPr="00FA233A">
        <w:rPr>
          <w:rFonts w:ascii="Calibri" w:hAnsi="Calibri" w:cs="Calibri"/>
          <w:i/>
          <w:iCs/>
          <w:lang w:val="en-GB"/>
        </w:rPr>
        <w:t>Am. J. Hum. Genet.</w:t>
      </w:r>
      <w:r w:rsidRPr="00FA233A">
        <w:rPr>
          <w:rFonts w:ascii="Calibri" w:hAnsi="Calibri" w:cs="Calibri"/>
          <w:lang w:val="en-GB"/>
        </w:rPr>
        <w:t xml:space="preserve"> </w:t>
      </w:r>
      <w:r w:rsidRPr="00FA233A">
        <w:rPr>
          <w:rFonts w:ascii="Calibri" w:hAnsi="Calibri" w:cs="Calibri"/>
          <w:b/>
          <w:bCs/>
          <w:lang w:val="en-GB"/>
        </w:rPr>
        <w:t>89</w:t>
      </w:r>
      <w:r w:rsidRPr="00FA233A">
        <w:rPr>
          <w:rFonts w:ascii="Calibri" w:hAnsi="Calibri" w:cs="Calibri"/>
          <w:lang w:val="en-GB"/>
        </w:rPr>
        <w:t>, 82–93 (2011).</w:t>
      </w:r>
    </w:p>
    <w:p w14:paraId="63975C78" w14:textId="77777777" w:rsidR="00FA233A" w:rsidRPr="00FA233A" w:rsidRDefault="00FA233A" w:rsidP="00FA233A">
      <w:pPr>
        <w:pStyle w:val="Bibliografie"/>
        <w:rPr>
          <w:rFonts w:ascii="Calibri" w:hAnsi="Calibri" w:cs="Calibri"/>
          <w:lang w:val="en-GB"/>
        </w:rPr>
      </w:pPr>
      <w:r w:rsidRPr="00FA233A">
        <w:rPr>
          <w:rFonts w:ascii="Calibri" w:hAnsi="Calibri" w:cs="Calibri"/>
          <w:lang w:val="en-GB"/>
        </w:rPr>
        <w:t>5.</w:t>
      </w:r>
      <w:r w:rsidRPr="00FA233A">
        <w:rPr>
          <w:rFonts w:ascii="Calibri" w:hAnsi="Calibri" w:cs="Calibri"/>
          <w:lang w:val="en-GB"/>
        </w:rPr>
        <w:tab/>
        <w:t xml:space="preserve">Tang, S. </w:t>
      </w:r>
      <w:r w:rsidRPr="00FA233A">
        <w:rPr>
          <w:rFonts w:ascii="Calibri" w:hAnsi="Calibri" w:cs="Calibri"/>
          <w:i/>
          <w:iCs/>
          <w:lang w:val="en-GB"/>
        </w:rPr>
        <w:t>et al.</w:t>
      </w:r>
      <w:r w:rsidRPr="00FA233A">
        <w:rPr>
          <w:rFonts w:ascii="Calibri" w:hAnsi="Calibri" w:cs="Calibri"/>
          <w:lang w:val="en-GB"/>
        </w:rPr>
        <w:t xml:space="preserve"> Novel Variance-Component TWAS method for studying complex human diseases with applications to Alzheimer’s dementia. </w:t>
      </w:r>
      <w:r w:rsidRPr="00FA233A">
        <w:rPr>
          <w:rFonts w:ascii="Calibri" w:hAnsi="Calibri" w:cs="Calibri"/>
          <w:i/>
          <w:iCs/>
          <w:lang w:val="en-GB"/>
        </w:rPr>
        <w:t>PLOS Genet.</w:t>
      </w:r>
      <w:r w:rsidRPr="00FA233A">
        <w:rPr>
          <w:rFonts w:ascii="Calibri" w:hAnsi="Calibri" w:cs="Calibri"/>
          <w:lang w:val="en-GB"/>
        </w:rPr>
        <w:t xml:space="preserve"> </w:t>
      </w:r>
      <w:r w:rsidRPr="00FA233A">
        <w:rPr>
          <w:rFonts w:ascii="Calibri" w:hAnsi="Calibri" w:cs="Calibri"/>
          <w:b/>
          <w:bCs/>
          <w:lang w:val="en-GB"/>
        </w:rPr>
        <w:t>17</w:t>
      </w:r>
      <w:r w:rsidRPr="00FA233A">
        <w:rPr>
          <w:rFonts w:ascii="Calibri" w:hAnsi="Calibri" w:cs="Calibri"/>
          <w:lang w:val="en-GB"/>
        </w:rPr>
        <w:t>, e1009482 (2021).</w:t>
      </w:r>
    </w:p>
    <w:p w14:paraId="40C35165" w14:textId="77777777" w:rsidR="00FA233A" w:rsidRPr="00FA233A" w:rsidRDefault="00FA233A" w:rsidP="00FA233A">
      <w:pPr>
        <w:pStyle w:val="Bibliografie"/>
        <w:rPr>
          <w:rFonts w:ascii="Calibri" w:hAnsi="Calibri" w:cs="Calibri"/>
          <w:lang w:val="en-GB"/>
        </w:rPr>
      </w:pPr>
      <w:r w:rsidRPr="00FA233A">
        <w:rPr>
          <w:rFonts w:ascii="Calibri" w:hAnsi="Calibri" w:cs="Calibri"/>
          <w:lang w:val="en-GB"/>
        </w:rPr>
        <w:t>6.</w:t>
      </w:r>
      <w:r w:rsidRPr="00FA233A">
        <w:rPr>
          <w:rFonts w:ascii="Calibri" w:hAnsi="Calibri" w:cs="Calibri"/>
          <w:lang w:val="en-GB"/>
        </w:rPr>
        <w:tab/>
        <w:t xml:space="preserve">Xu, Z., Wu, C., Wei, P. &amp; Pan, W. A Powerful Framework for Integrating eQTL and GWAS Summary Data. </w:t>
      </w:r>
      <w:r w:rsidRPr="00FA233A">
        <w:rPr>
          <w:rFonts w:ascii="Calibri" w:hAnsi="Calibri" w:cs="Calibri"/>
          <w:i/>
          <w:iCs/>
          <w:lang w:val="en-GB"/>
        </w:rPr>
        <w:t>Genetics</w:t>
      </w:r>
      <w:r w:rsidRPr="00FA233A">
        <w:rPr>
          <w:rFonts w:ascii="Calibri" w:hAnsi="Calibri" w:cs="Calibri"/>
          <w:lang w:val="en-GB"/>
        </w:rPr>
        <w:t xml:space="preserve"> </w:t>
      </w:r>
      <w:r w:rsidRPr="00FA233A">
        <w:rPr>
          <w:rFonts w:ascii="Calibri" w:hAnsi="Calibri" w:cs="Calibri"/>
          <w:b/>
          <w:bCs/>
          <w:lang w:val="en-GB"/>
        </w:rPr>
        <w:t>207</w:t>
      </w:r>
      <w:r w:rsidRPr="00FA233A">
        <w:rPr>
          <w:rFonts w:ascii="Calibri" w:hAnsi="Calibri" w:cs="Calibri"/>
          <w:lang w:val="en-GB"/>
        </w:rPr>
        <w:t>, 893–902 (2017).</w:t>
      </w:r>
    </w:p>
    <w:p w14:paraId="20165574" w14:textId="77777777" w:rsidR="00FA233A" w:rsidRPr="00FA233A" w:rsidRDefault="00FA233A" w:rsidP="00FA233A">
      <w:pPr>
        <w:pStyle w:val="Bibliografie"/>
        <w:rPr>
          <w:rFonts w:ascii="Calibri" w:hAnsi="Calibri" w:cs="Calibri"/>
          <w:lang w:val="en-GB"/>
        </w:rPr>
      </w:pPr>
      <w:r w:rsidRPr="00FA233A">
        <w:rPr>
          <w:rFonts w:ascii="Calibri" w:hAnsi="Calibri" w:cs="Calibri"/>
          <w:lang w:val="en-GB"/>
        </w:rPr>
        <w:t>7.</w:t>
      </w:r>
      <w:r w:rsidRPr="00FA233A">
        <w:rPr>
          <w:rFonts w:ascii="Calibri" w:hAnsi="Calibri" w:cs="Calibri"/>
          <w:lang w:val="en-GB"/>
        </w:rPr>
        <w:tab/>
        <w:t xml:space="preserve">Zhang, J., Xie, S., Gonzales, S., Liu, J. &amp; Wang, X. A fast and powerful eQTL weighted method to detect genes associated with complex trait using GWAS summary data. </w:t>
      </w:r>
      <w:r w:rsidRPr="00FA233A">
        <w:rPr>
          <w:rFonts w:ascii="Calibri" w:hAnsi="Calibri" w:cs="Calibri"/>
          <w:i/>
          <w:iCs/>
          <w:lang w:val="en-GB"/>
        </w:rPr>
        <w:t>Genet. Epidemiol.</w:t>
      </w:r>
      <w:r w:rsidRPr="00FA233A">
        <w:rPr>
          <w:rFonts w:ascii="Calibri" w:hAnsi="Calibri" w:cs="Calibri"/>
          <w:lang w:val="en-GB"/>
        </w:rPr>
        <w:t xml:space="preserve"> </w:t>
      </w:r>
      <w:r w:rsidRPr="00FA233A">
        <w:rPr>
          <w:rFonts w:ascii="Calibri" w:hAnsi="Calibri" w:cs="Calibri"/>
          <w:b/>
          <w:bCs/>
          <w:lang w:val="en-GB"/>
        </w:rPr>
        <w:t>44</w:t>
      </w:r>
      <w:r w:rsidRPr="00FA233A">
        <w:rPr>
          <w:rFonts w:ascii="Calibri" w:hAnsi="Calibri" w:cs="Calibri"/>
          <w:lang w:val="en-GB"/>
        </w:rPr>
        <w:t>, 550–563 (2020).</w:t>
      </w:r>
    </w:p>
    <w:p w14:paraId="13D8FABE" w14:textId="77777777" w:rsidR="00FA233A" w:rsidRPr="00FA233A" w:rsidRDefault="00FA233A" w:rsidP="00FA233A">
      <w:pPr>
        <w:pStyle w:val="Bibliografie"/>
        <w:rPr>
          <w:rFonts w:ascii="Calibri" w:hAnsi="Calibri" w:cs="Calibri"/>
          <w:lang w:val="en-GB"/>
        </w:rPr>
      </w:pPr>
      <w:r w:rsidRPr="00FA233A">
        <w:rPr>
          <w:rFonts w:ascii="Calibri" w:hAnsi="Calibri" w:cs="Calibri"/>
          <w:lang w:val="en-GB"/>
        </w:rPr>
        <w:t>8.</w:t>
      </w:r>
      <w:r w:rsidRPr="00FA233A">
        <w:rPr>
          <w:rFonts w:ascii="Calibri" w:hAnsi="Calibri" w:cs="Calibri"/>
          <w:lang w:val="en-GB"/>
        </w:rPr>
        <w:tab/>
        <w:t xml:space="preserve">Yang, C. </w:t>
      </w:r>
      <w:r w:rsidRPr="00FA233A">
        <w:rPr>
          <w:rFonts w:ascii="Calibri" w:hAnsi="Calibri" w:cs="Calibri"/>
          <w:i/>
          <w:iCs/>
          <w:lang w:val="en-GB"/>
        </w:rPr>
        <w:t>et al.</w:t>
      </w:r>
      <w:r w:rsidRPr="00FA233A">
        <w:rPr>
          <w:rFonts w:ascii="Calibri" w:hAnsi="Calibri" w:cs="Calibri"/>
          <w:lang w:val="en-GB"/>
        </w:rPr>
        <w:t xml:space="preserve"> CoMM: a collaborative mixed model to dissecting genetic contributions to complex traits by leveraging regulatory information. </w:t>
      </w:r>
      <w:r w:rsidRPr="00FA233A">
        <w:rPr>
          <w:rFonts w:ascii="Calibri" w:hAnsi="Calibri" w:cs="Calibri"/>
          <w:i/>
          <w:iCs/>
          <w:lang w:val="en-GB"/>
        </w:rPr>
        <w:t>Bioinformatics</w:t>
      </w:r>
      <w:r w:rsidRPr="00FA233A">
        <w:rPr>
          <w:rFonts w:ascii="Calibri" w:hAnsi="Calibri" w:cs="Calibri"/>
          <w:lang w:val="en-GB"/>
        </w:rPr>
        <w:t xml:space="preserve"> </w:t>
      </w:r>
      <w:r w:rsidRPr="00FA233A">
        <w:rPr>
          <w:rFonts w:ascii="Calibri" w:hAnsi="Calibri" w:cs="Calibri"/>
          <w:b/>
          <w:bCs/>
          <w:lang w:val="en-GB"/>
        </w:rPr>
        <w:t>35</w:t>
      </w:r>
      <w:r w:rsidRPr="00FA233A">
        <w:rPr>
          <w:rFonts w:ascii="Calibri" w:hAnsi="Calibri" w:cs="Calibri"/>
          <w:lang w:val="en-GB"/>
        </w:rPr>
        <w:t>, 1644–1652 (2019).</w:t>
      </w:r>
    </w:p>
    <w:p w14:paraId="0617F5F6" w14:textId="77777777" w:rsidR="00FA233A" w:rsidRPr="00FA233A" w:rsidRDefault="00FA233A" w:rsidP="00FA233A">
      <w:pPr>
        <w:pStyle w:val="Bibliografie"/>
        <w:rPr>
          <w:rFonts w:ascii="Calibri" w:hAnsi="Calibri" w:cs="Calibri"/>
        </w:rPr>
      </w:pPr>
      <w:r w:rsidRPr="00FA233A">
        <w:rPr>
          <w:rFonts w:ascii="Calibri" w:hAnsi="Calibri" w:cs="Calibri"/>
          <w:lang w:val="en-GB"/>
        </w:rPr>
        <w:t>9.</w:t>
      </w:r>
      <w:r w:rsidRPr="00FA233A">
        <w:rPr>
          <w:rFonts w:ascii="Calibri" w:hAnsi="Calibri" w:cs="Calibri"/>
          <w:lang w:val="en-GB"/>
        </w:rPr>
        <w:tab/>
        <w:t xml:space="preserve">Su, Y.-R. </w:t>
      </w:r>
      <w:r w:rsidRPr="00FA233A">
        <w:rPr>
          <w:rFonts w:ascii="Calibri" w:hAnsi="Calibri" w:cs="Calibri"/>
          <w:i/>
          <w:iCs/>
          <w:lang w:val="en-GB"/>
        </w:rPr>
        <w:t>et al.</w:t>
      </w:r>
      <w:r w:rsidRPr="00FA233A">
        <w:rPr>
          <w:rFonts w:ascii="Calibri" w:hAnsi="Calibri" w:cs="Calibri"/>
          <w:lang w:val="en-GB"/>
        </w:rPr>
        <w:t xml:space="preserve"> A Mixed-Effects Model for Powerful Association Tests in Integrative Functional Genomics. </w:t>
      </w:r>
      <w:r w:rsidRPr="00FA233A">
        <w:rPr>
          <w:rFonts w:ascii="Calibri" w:hAnsi="Calibri" w:cs="Calibri"/>
          <w:i/>
          <w:iCs/>
        </w:rPr>
        <w:t>Am. J. Hum. Genet.</w:t>
      </w:r>
      <w:r w:rsidRPr="00FA233A">
        <w:rPr>
          <w:rFonts w:ascii="Calibri" w:hAnsi="Calibri" w:cs="Calibri"/>
        </w:rPr>
        <w:t xml:space="preserve"> </w:t>
      </w:r>
      <w:r w:rsidRPr="00FA233A">
        <w:rPr>
          <w:rFonts w:ascii="Calibri" w:hAnsi="Calibri" w:cs="Calibri"/>
          <w:b/>
          <w:bCs/>
        </w:rPr>
        <w:t>102</w:t>
      </w:r>
      <w:r w:rsidRPr="00FA233A">
        <w:rPr>
          <w:rFonts w:ascii="Calibri" w:hAnsi="Calibri" w:cs="Calibri"/>
        </w:rPr>
        <w:t>, 904–919 (2018).</w:t>
      </w:r>
    </w:p>
    <w:p w14:paraId="63DE622F" w14:textId="1BB4B7D7" w:rsidR="00201BC8" w:rsidRPr="00201BC8" w:rsidRDefault="00644F8A" w:rsidP="00201BC8">
      <w:pPr>
        <w:rPr>
          <w:lang w:val="en-GB"/>
        </w:rPr>
      </w:pPr>
      <w:r>
        <w:rPr>
          <w:lang w:val="en-GB"/>
        </w:rPr>
        <w:fldChar w:fldCharType="end"/>
      </w:r>
    </w:p>
    <w:sectPr w:rsidR="00201BC8" w:rsidRPr="00201B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EE24" w14:textId="77777777" w:rsidR="00682E17" w:rsidRDefault="00682E17" w:rsidP="005F4AC9">
      <w:r>
        <w:separator/>
      </w:r>
    </w:p>
  </w:endnote>
  <w:endnote w:type="continuationSeparator" w:id="0">
    <w:p w14:paraId="39026E06" w14:textId="77777777" w:rsidR="00682E17" w:rsidRDefault="00682E17" w:rsidP="005F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724167"/>
      <w:docPartObj>
        <w:docPartGallery w:val="Page Numbers (Bottom of Page)"/>
        <w:docPartUnique/>
      </w:docPartObj>
    </w:sdtPr>
    <w:sdtEndPr/>
    <w:sdtContent>
      <w:p w14:paraId="52FBA8AD" w14:textId="07AFA00A" w:rsidR="005F4AC9" w:rsidRDefault="005F4AC9">
        <w:pPr>
          <w:pStyle w:val="Voettekst"/>
          <w:jc w:val="center"/>
        </w:pPr>
        <w:r>
          <w:fldChar w:fldCharType="begin"/>
        </w:r>
        <w:r>
          <w:instrText>PAGE   \* MERGEFORMAT</w:instrText>
        </w:r>
        <w:r>
          <w:fldChar w:fldCharType="separate"/>
        </w:r>
        <w:r>
          <w:t>2</w:t>
        </w:r>
        <w:r>
          <w:fldChar w:fldCharType="end"/>
        </w:r>
      </w:p>
    </w:sdtContent>
  </w:sdt>
  <w:p w14:paraId="7F38FA4B" w14:textId="77777777" w:rsidR="005F4AC9" w:rsidRDefault="005F4A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D187" w14:textId="77777777" w:rsidR="00682E17" w:rsidRDefault="00682E17" w:rsidP="005F4AC9">
      <w:r>
        <w:separator/>
      </w:r>
    </w:p>
  </w:footnote>
  <w:footnote w:type="continuationSeparator" w:id="0">
    <w:p w14:paraId="0FF366F5" w14:textId="77777777" w:rsidR="00682E17" w:rsidRDefault="00682E17" w:rsidP="005F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EE4"/>
    <w:multiLevelType w:val="hybridMultilevel"/>
    <w:tmpl w:val="38464B66"/>
    <w:lvl w:ilvl="0" w:tplc="4DFAF3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D7430"/>
    <w:multiLevelType w:val="hybridMultilevel"/>
    <w:tmpl w:val="2C1216F6"/>
    <w:lvl w:ilvl="0" w:tplc="8BEED594">
      <w:start w:val="5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C4F18"/>
    <w:multiLevelType w:val="hybridMultilevel"/>
    <w:tmpl w:val="02D04E1A"/>
    <w:lvl w:ilvl="0" w:tplc="86CE098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00D71"/>
    <w:multiLevelType w:val="hybridMultilevel"/>
    <w:tmpl w:val="B9F469D6"/>
    <w:lvl w:ilvl="0" w:tplc="620E44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D438F"/>
    <w:multiLevelType w:val="hybridMultilevel"/>
    <w:tmpl w:val="D09C82EA"/>
    <w:lvl w:ilvl="0" w:tplc="010A43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0A"/>
    <w:rsid w:val="00002939"/>
    <w:rsid w:val="0000523A"/>
    <w:rsid w:val="00007EF3"/>
    <w:rsid w:val="000100E5"/>
    <w:rsid w:val="00023B18"/>
    <w:rsid w:val="0003002A"/>
    <w:rsid w:val="0006130D"/>
    <w:rsid w:val="00071207"/>
    <w:rsid w:val="000724F0"/>
    <w:rsid w:val="000836D7"/>
    <w:rsid w:val="00091F25"/>
    <w:rsid w:val="00095865"/>
    <w:rsid w:val="000A2FF5"/>
    <w:rsid w:val="000B56CB"/>
    <w:rsid w:val="000B772E"/>
    <w:rsid w:val="000C22A7"/>
    <w:rsid w:val="000C5B49"/>
    <w:rsid w:val="000C5F12"/>
    <w:rsid w:val="000F0244"/>
    <w:rsid w:val="000F23C3"/>
    <w:rsid w:val="000F7407"/>
    <w:rsid w:val="00120019"/>
    <w:rsid w:val="00123978"/>
    <w:rsid w:val="001449C4"/>
    <w:rsid w:val="00160F1E"/>
    <w:rsid w:val="00161ED8"/>
    <w:rsid w:val="0016592D"/>
    <w:rsid w:val="00166AFD"/>
    <w:rsid w:val="00174CCF"/>
    <w:rsid w:val="001760D2"/>
    <w:rsid w:val="001A547B"/>
    <w:rsid w:val="001B6FE3"/>
    <w:rsid w:val="001B7252"/>
    <w:rsid w:val="001D6F46"/>
    <w:rsid w:val="001F1546"/>
    <w:rsid w:val="001F38C8"/>
    <w:rsid w:val="00201BC8"/>
    <w:rsid w:val="00205FB1"/>
    <w:rsid w:val="00233413"/>
    <w:rsid w:val="00245272"/>
    <w:rsid w:val="00245A16"/>
    <w:rsid w:val="00263E28"/>
    <w:rsid w:val="00265D55"/>
    <w:rsid w:val="00287A99"/>
    <w:rsid w:val="002A3B43"/>
    <w:rsid w:val="002A439D"/>
    <w:rsid w:val="002A65C6"/>
    <w:rsid w:val="002C018B"/>
    <w:rsid w:val="002C243B"/>
    <w:rsid w:val="002C6F6F"/>
    <w:rsid w:val="002D31C6"/>
    <w:rsid w:val="002D3E34"/>
    <w:rsid w:val="002F7546"/>
    <w:rsid w:val="00313C52"/>
    <w:rsid w:val="00321B05"/>
    <w:rsid w:val="0032686D"/>
    <w:rsid w:val="00332E56"/>
    <w:rsid w:val="00334B15"/>
    <w:rsid w:val="0034454B"/>
    <w:rsid w:val="00347AEA"/>
    <w:rsid w:val="00372701"/>
    <w:rsid w:val="00384CA2"/>
    <w:rsid w:val="003967C1"/>
    <w:rsid w:val="003A0AB5"/>
    <w:rsid w:val="003B35C2"/>
    <w:rsid w:val="003C6DC4"/>
    <w:rsid w:val="003D3DF2"/>
    <w:rsid w:val="003E2D0E"/>
    <w:rsid w:val="004066B3"/>
    <w:rsid w:val="00411DB8"/>
    <w:rsid w:val="00426A74"/>
    <w:rsid w:val="004302F3"/>
    <w:rsid w:val="00443951"/>
    <w:rsid w:val="00444D05"/>
    <w:rsid w:val="00454532"/>
    <w:rsid w:val="00461941"/>
    <w:rsid w:val="00470F8D"/>
    <w:rsid w:val="00473DFD"/>
    <w:rsid w:val="004A0F5B"/>
    <w:rsid w:val="004A18C6"/>
    <w:rsid w:val="004A1CE5"/>
    <w:rsid w:val="004C0A29"/>
    <w:rsid w:val="004C32D2"/>
    <w:rsid w:val="004C646F"/>
    <w:rsid w:val="004C7628"/>
    <w:rsid w:val="004E6F18"/>
    <w:rsid w:val="004F42F6"/>
    <w:rsid w:val="004F7891"/>
    <w:rsid w:val="0050653A"/>
    <w:rsid w:val="005108F1"/>
    <w:rsid w:val="005141AF"/>
    <w:rsid w:val="0052004F"/>
    <w:rsid w:val="00524D50"/>
    <w:rsid w:val="00525C5D"/>
    <w:rsid w:val="00547357"/>
    <w:rsid w:val="00547D89"/>
    <w:rsid w:val="00556376"/>
    <w:rsid w:val="00557665"/>
    <w:rsid w:val="00563332"/>
    <w:rsid w:val="00592F7C"/>
    <w:rsid w:val="00593007"/>
    <w:rsid w:val="005A480F"/>
    <w:rsid w:val="005B1CFC"/>
    <w:rsid w:val="005C38CC"/>
    <w:rsid w:val="005C3B5A"/>
    <w:rsid w:val="005D58C2"/>
    <w:rsid w:val="005E0C9A"/>
    <w:rsid w:val="005E287F"/>
    <w:rsid w:val="005F4AC9"/>
    <w:rsid w:val="00600F92"/>
    <w:rsid w:val="0060564D"/>
    <w:rsid w:val="00613E9D"/>
    <w:rsid w:val="006156E3"/>
    <w:rsid w:val="00621B0C"/>
    <w:rsid w:val="00623410"/>
    <w:rsid w:val="006333FF"/>
    <w:rsid w:val="006421C8"/>
    <w:rsid w:val="00644F8A"/>
    <w:rsid w:val="00647541"/>
    <w:rsid w:val="006740E6"/>
    <w:rsid w:val="0067719B"/>
    <w:rsid w:val="00682E17"/>
    <w:rsid w:val="006A4AA5"/>
    <w:rsid w:val="006B60A4"/>
    <w:rsid w:val="006C0432"/>
    <w:rsid w:val="006C436A"/>
    <w:rsid w:val="006E1C6B"/>
    <w:rsid w:val="006F575D"/>
    <w:rsid w:val="00700612"/>
    <w:rsid w:val="007015D0"/>
    <w:rsid w:val="00702258"/>
    <w:rsid w:val="007028F8"/>
    <w:rsid w:val="007143FF"/>
    <w:rsid w:val="007161D9"/>
    <w:rsid w:val="00723A9A"/>
    <w:rsid w:val="00723F96"/>
    <w:rsid w:val="007374DF"/>
    <w:rsid w:val="007872BD"/>
    <w:rsid w:val="00790425"/>
    <w:rsid w:val="007979FB"/>
    <w:rsid w:val="007A757F"/>
    <w:rsid w:val="007B0D59"/>
    <w:rsid w:val="007B751D"/>
    <w:rsid w:val="007F3BE0"/>
    <w:rsid w:val="00802D9F"/>
    <w:rsid w:val="0080682C"/>
    <w:rsid w:val="008119AC"/>
    <w:rsid w:val="008149C2"/>
    <w:rsid w:val="008321B6"/>
    <w:rsid w:val="008373FB"/>
    <w:rsid w:val="00873184"/>
    <w:rsid w:val="00874E1C"/>
    <w:rsid w:val="008808FF"/>
    <w:rsid w:val="00887614"/>
    <w:rsid w:val="00891729"/>
    <w:rsid w:val="008A14DE"/>
    <w:rsid w:val="008E4A4D"/>
    <w:rsid w:val="008F1081"/>
    <w:rsid w:val="008F4CCA"/>
    <w:rsid w:val="008F7173"/>
    <w:rsid w:val="00900619"/>
    <w:rsid w:val="009012B2"/>
    <w:rsid w:val="00905EE5"/>
    <w:rsid w:val="00910652"/>
    <w:rsid w:val="0091243D"/>
    <w:rsid w:val="00912900"/>
    <w:rsid w:val="009223C1"/>
    <w:rsid w:val="00926290"/>
    <w:rsid w:val="00936DE1"/>
    <w:rsid w:val="009444E0"/>
    <w:rsid w:val="009577AE"/>
    <w:rsid w:val="00964264"/>
    <w:rsid w:val="00973C02"/>
    <w:rsid w:val="00975ECA"/>
    <w:rsid w:val="00976E01"/>
    <w:rsid w:val="009A3385"/>
    <w:rsid w:val="009B6243"/>
    <w:rsid w:val="009C40A6"/>
    <w:rsid w:val="009C6E05"/>
    <w:rsid w:val="009D5055"/>
    <w:rsid w:val="009E23BF"/>
    <w:rsid w:val="009F1861"/>
    <w:rsid w:val="009F3728"/>
    <w:rsid w:val="009F3DC0"/>
    <w:rsid w:val="00A03C1B"/>
    <w:rsid w:val="00A1472D"/>
    <w:rsid w:val="00A17F86"/>
    <w:rsid w:val="00A212EA"/>
    <w:rsid w:val="00A2749F"/>
    <w:rsid w:val="00A35DD3"/>
    <w:rsid w:val="00A40C8C"/>
    <w:rsid w:val="00A43AED"/>
    <w:rsid w:val="00A518D9"/>
    <w:rsid w:val="00A55554"/>
    <w:rsid w:val="00A66D41"/>
    <w:rsid w:val="00A808CB"/>
    <w:rsid w:val="00A81AE2"/>
    <w:rsid w:val="00A84F39"/>
    <w:rsid w:val="00A94305"/>
    <w:rsid w:val="00A962E0"/>
    <w:rsid w:val="00AA2FEA"/>
    <w:rsid w:val="00AB327A"/>
    <w:rsid w:val="00AB44BF"/>
    <w:rsid w:val="00AB75AC"/>
    <w:rsid w:val="00AC360D"/>
    <w:rsid w:val="00AC6F75"/>
    <w:rsid w:val="00AD3B83"/>
    <w:rsid w:val="00AE55BD"/>
    <w:rsid w:val="00AE714C"/>
    <w:rsid w:val="00AF114F"/>
    <w:rsid w:val="00B008B1"/>
    <w:rsid w:val="00B05078"/>
    <w:rsid w:val="00B179C7"/>
    <w:rsid w:val="00B304A6"/>
    <w:rsid w:val="00B37FCF"/>
    <w:rsid w:val="00B47A87"/>
    <w:rsid w:val="00B531A1"/>
    <w:rsid w:val="00BA5253"/>
    <w:rsid w:val="00BA5454"/>
    <w:rsid w:val="00BB1EB7"/>
    <w:rsid w:val="00BB3E95"/>
    <w:rsid w:val="00BB6E78"/>
    <w:rsid w:val="00BC3A08"/>
    <w:rsid w:val="00BC62AD"/>
    <w:rsid w:val="00BE09E0"/>
    <w:rsid w:val="00C06755"/>
    <w:rsid w:val="00C22505"/>
    <w:rsid w:val="00C32235"/>
    <w:rsid w:val="00C33FF6"/>
    <w:rsid w:val="00C343CD"/>
    <w:rsid w:val="00C506EB"/>
    <w:rsid w:val="00C56D11"/>
    <w:rsid w:val="00C6765D"/>
    <w:rsid w:val="00C67873"/>
    <w:rsid w:val="00C71A02"/>
    <w:rsid w:val="00C72FBF"/>
    <w:rsid w:val="00C73569"/>
    <w:rsid w:val="00C83E5B"/>
    <w:rsid w:val="00C90097"/>
    <w:rsid w:val="00CA310A"/>
    <w:rsid w:val="00CB1EC6"/>
    <w:rsid w:val="00CC4389"/>
    <w:rsid w:val="00CC7547"/>
    <w:rsid w:val="00CD0A9E"/>
    <w:rsid w:val="00CD7385"/>
    <w:rsid w:val="00CE320E"/>
    <w:rsid w:val="00CE4189"/>
    <w:rsid w:val="00CF4AFA"/>
    <w:rsid w:val="00D02427"/>
    <w:rsid w:val="00D34125"/>
    <w:rsid w:val="00D359F9"/>
    <w:rsid w:val="00D411DE"/>
    <w:rsid w:val="00D43DD8"/>
    <w:rsid w:val="00D44768"/>
    <w:rsid w:val="00D45CB7"/>
    <w:rsid w:val="00D47E3D"/>
    <w:rsid w:val="00D634A4"/>
    <w:rsid w:val="00D64A74"/>
    <w:rsid w:val="00D8400E"/>
    <w:rsid w:val="00D963BE"/>
    <w:rsid w:val="00D96B2A"/>
    <w:rsid w:val="00DB3372"/>
    <w:rsid w:val="00DB3A32"/>
    <w:rsid w:val="00DB7FB7"/>
    <w:rsid w:val="00DD118A"/>
    <w:rsid w:val="00DE32C7"/>
    <w:rsid w:val="00DE67A5"/>
    <w:rsid w:val="00DF00E6"/>
    <w:rsid w:val="00DF0CDE"/>
    <w:rsid w:val="00DF207D"/>
    <w:rsid w:val="00E03628"/>
    <w:rsid w:val="00E1466E"/>
    <w:rsid w:val="00E223FA"/>
    <w:rsid w:val="00E27EE8"/>
    <w:rsid w:val="00E34398"/>
    <w:rsid w:val="00E40392"/>
    <w:rsid w:val="00E50EC3"/>
    <w:rsid w:val="00E74885"/>
    <w:rsid w:val="00E7698B"/>
    <w:rsid w:val="00E776C1"/>
    <w:rsid w:val="00E77F74"/>
    <w:rsid w:val="00E940E5"/>
    <w:rsid w:val="00EA2446"/>
    <w:rsid w:val="00EC34A4"/>
    <w:rsid w:val="00ED5C6F"/>
    <w:rsid w:val="00EE1ECA"/>
    <w:rsid w:val="00EE5279"/>
    <w:rsid w:val="00F05177"/>
    <w:rsid w:val="00F145D1"/>
    <w:rsid w:val="00F16831"/>
    <w:rsid w:val="00F20368"/>
    <w:rsid w:val="00F3754A"/>
    <w:rsid w:val="00F65468"/>
    <w:rsid w:val="00F70BAD"/>
    <w:rsid w:val="00F70BF6"/>
    <w:rsid w:val="00F73FE7"/>
    <w:rsid w:val="00F83ECE"/>
    <w:rsid w:val="00F87A3E"/>
    <w:rsid w:val="00F87C40"/>
    <w:rsid w:val="00F90043"/>
    <w:rsid w:val="00F9026D"/>
    <w:rsid w:val="00F94538"/>
    <w:rsid w:val="00FA233A"/>
    <w:rsid w:val="00FA69F5"/>
    <w:rsid w:val="00FC55FD"/>
    <w:rsid w:val="00FD7323"/>
    <w:rsid w:val="00FF4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169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004F"/>
    <w:pPr>
      <w:outlineLvl w:val="0"/>
    </w:pPr>
    <w:rPr>
      <w:b/>
      <w:bCs/>
      <w:smallCaps/>
      <w:lang w:val="en-GB"/>
    </w:rPr>
  </w:style>
  <w:style w:type="paragraph" w:styleId="Kop2">
    <w:name w:val="heading 2"/>
    <w:basedOn w:val="Bijschrift"/>
    <w:next w:val="Standaard"/>
    <w:link w:val="Kop2Char"/>
    <w:uiPriority w:val="9"/>
    <w:unhideWhenUsed/>
    <w:qFormat/>
    <w:rsid w:val="003E2D0E"/>
    <w:pPr>
      <w:outlineLvl w:val="1"/>
    </w:pPr>
    <w:rPr>
      <w:b/>
      <w:bCs/>
      <w:color w:val="000000" w:themeColor="text1"/>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59F9"/>
    <w:pPr>
      <w:ind w:left="720"/>
      <w:contextualSpacing/>
    </w:pPr>
  </w:style>
  <w:style w:type="paragraph" w:styleId="Bijschrift">
    <w:name w:val="caption"/>
    <w:basedOn w:val="Standaard"/>
    <w:next w:val="Standaard"/>
    <w:uiPriority w:val="35"/>
    <w:unhideWhenUsed/>
    <w:qFormat/>
    <w:rsid w:val="00C32235"/>
    <w:pPr>
      <w:spacing w:after="200"/>
    </w:pPr>
    <w:rPr>
      <w:i/>
      <w:iCs/>
      <w:color w:val="44546A" w:themeColor="text2"/>
      <w:sz w:val="18"/>
      <w:szCs w:val="18"/>
    </w:rPr>
  </w:style>
  <w:style w:type="character" w:styleId="Verwijzingopmerking">
    <w:name w:val="annotation reference"/>
    <w:basedOn w:val="Standaardalinea-lettertype"/>
    <w:uiPriority w:val="99"/>
    <w:semiHidden/>
    <w:unhideWhenUsed/>
    <w:rsid w:val="00C32235"/>
    <w:rPr>
      <w:sz w:val="16"/>
      <w:szCs w:val="16"/>
    </w:rPr>
  </w:style>
  <w:style w:type="paragraph" w:styleId="Tekstopmerking">
    <w:name w:val="annotation text"/>
    <w:basedOn w:val="Standaard"/>
    <w:link w:val="TekstopmerkingChar"/>
    <w:uiPriority w:val="99"/>
    <w:unhideWhenUsed/>
    <w:rsid w:val="00C32235"/>
    <w:rPr>
      <w:sz w:val="20"/>
      <w:szCs w:val="20"/>
    </w:rPr>
  </w:style>
  <w:style w:type="character" w:customStyle="1" w:styleId="TekstopmerkingChar">
    <w:name w:val="Tekst opmerking Char"/>
    <w:basedOn w:val="Standaardalinea-lettertype"/>
    <w:link w:val="Tekstopmerking"/>
    <w:uiPriority w:val="99"/>
    <w:rsid w:val="00C32235"/>
    <w:rPr>
      <w:sz w:val="20"/>
      <w:szCs w:val="20"/>
    </w:rPr>
  </w:style>
  <w:style w:type="table" w:styleId="Tabelraster">
    <w:name w:val="Table Grid"/>
    <w:basedOn w:val="Standaardtabel"/>
    <w:uiPriority w:val="39"/>
    <w:rsid w:val="00C3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2004F"/>
    <w:rPr>
      <w:b/>
      <w:bCs/>
      <w:smallCaps/>
      <w:lang w:val="en-GB"/>
    </w:rPr>
  </w:style>
  <w:style w:type="paragraph" w:styleId="Koptekst">
    <w:name w:val="header"/>
    <w:basedOn w:val="Standaard"/>
    <w:link w:val="KoptekstChar"/>
    <w:uiPriority w:val="99"/>
    <w:unhideWhenUsed/>
    <w:rsid w:val="005F4AC9"/>
    <w:pPr>
      <w:tabs>
        <w:tab w:val="center" w:pos="4536"/>
        <w:tab w:val="right" w:pos="9072"/>
      </w:tabs>
    </w:pPr>
  </w:style>
  <w:style w:type="character" w:customStyle="1" w:styleId="KoptekstChar">
    <w:name w:val="Koptekst Char"/>
    <w:basedOn w:val="Standaardalinea-lettertype"/>
    <w:link w:val="Koptekst"/>
    <w:uiPriority w:val="99"/>
    <w:rsid w:val="005F4AC9"/>
  </w:style>
  <w:style w:type="paragraph" w:styleId="Voettekst">
    <w:name w:val="footer"/>
    <w:basedOn w:val="Standaard"/>
    <w:link w:val="VoettekstChar"/>
    <w:uiPriority w:val="99"/>
    <w:unhideWhenUsed/>
    <w:rsid w:val="005F4AC9"/>
    <w:pPr>
      <w:tabs>
        <w:tab w:val="center" w:pos="4536"/>
        <w:tab w:val="right" w:pos="9072"/>
      </w:tabs>
    </w:pPr>
  </w:style>
  <w:style w:type="character" w:customStyle="1" w:styleId="VoettekstChar">
    <w:name w:val="Voettekst Char"/>
    <w:basedOn w:val="Standaardalinea-lettertype"/>
    <w:link w:val="Voettekst"/>
    <w:uiPriority w:val="99"/>
    <w:rsid w:val="005F4AC9"/>
  </w:style>
  <w:style w:type="paragraph" w:styleId="Kopvaninhoudsopgave">
    <w:name w:val="TOC Heading"/>
    <w:basedOn w:val="Kop1"/>
    <w:next w:val="Standaard"/>
    <w:uiPriority w:val="39"/>
    <w:unhideWhenUsed/>
    <w:qFormat/>
    <w:rsid w:val="005F4AC9"/>
    <w:pPr>
      <w:keepNext/>
      <w:keepLines/>
      <w:spacing w:before="240" w:line="259" w:lineRule="auto"/>
      <w:jc w:val="left"/>
      <w:outlineLvl w:val="9"/>
    </w:pPr>
    <w:rPr>
      <w:rFonts w:asciiTheme="majorHAnsi" w:eastAsiaTheme="majorEastAsia" w:hAnsiTheme="majorHAnsi" w:cstheme="majorBidi"/>
      <w:b w:val="0"/>
      <w:bCs w:val="0"/>
      <w:smallCaps w:val="0"/>
      <w:color w:val="2F5496" w:themeColor="accent1" w:themeShade="BF"/>
      <w:sz w:val="32"/>
      <w:szCs w:val="32"/>
      <w:lang w:eastAsia="en-GB"/>
    </w:rPr>
  </w:style>
  <w:style w:type="paragraph" w:styleId="Inhopg1">
    <w:name w:val="toc 1"/>
    <w:basedOn w:val="Standaard"/>
    <w:next w:val="Standaard"/>
    <w:autoRedefine/>
    <w:uiPriority w:val="39"/>
    <w:unhideWhenUsed/>
    <w:rsid w:val="005F4AC9"/>
    <w:pPr>
      <w:spacing w:before="240" w:after="120"/>
      <w:jc w:val="left"/>
    </w:pPr>
    <w:rPr>
      <w:b/>
      <w:bCs/>
      <w:sz w:val="20"/>
      <w:szCs w:val="20"/>
    </w:rPr>
  </w:style>
  <w:style w:type="character" w:styleId="Hyperlink">
    <w:name w:val="Hyperlink"/>
    <w:basedOn w:val="Standaardalinea-lettertype"/>
    <w:uiPriority w:val="99"/>
    <w:unhideWhenUsed/>
    <w:rsid w:val="005F4AC9"/>
    <w:rPr>
      <w:color w:val="0563C1" w:themeColor="hyperlink"/>
      <w:u w:val="single"/>
    </w:rPr>
  </w:style>
  <w:style w:type="paragraph" w:styleId="Inhopg2">
    <w:name w:val="toc 2"/>
    <w:basedOn w:val="Standaard"/>
    <w:next w:val="Standaard"/>
    <w:autoRedefine/>
    <w:uiPriority w:val="39"/>
    <w:unhideWhenUsed/>
    <w:rsid w:val="005F4AC9"/>
    <w:pPr>
      <w:spacing w:before="120"/>
      <w:ind w:left="220"/>
      <w:jc w:val="left"/>
    </w:pPr>
    <w:rPr>
      <w:i/>
      <w:iCs/>
      <w:sz w:val="20"/>
      <w:szCs w:val="20"/>
    </w:rPr>
  </w:style>
  <w:style w:type="paragraph" w:styleId="Inhopg3">
    <w:name w:val="toc 3"/>
    <w:basedOn w:val="Standaard"/>
    <w:next w:val="Standaard"/>
    <w:autoRedefine/>
    <w:uiPriority w:val="39"/>
    <w:unhideWhenUsed/>
    <w:rsid w:val="005F4AC9"/>
    <w:pPr>
      <w:ind w:left="440"/>
      <w:jc w:val="left"/>
    </w:pPr>
    <w:rPr>
      <w:sz w:val="20"/>
      <w:szCs w:val="20"/>
    </w:rPr>
  </w:style>
  <w:style w:type="paragraph" w:styleId="Inhopg4">
    <w:name w:val="toc 4"/>
    <w:basedOn w:val="Standaard"/>
    <w:next w:val="Standaard"/>
    <w:autoRedefine/>
    <w:uiPriority w:val="39"/>
    <w:unhideWhenUsed/>
    <w:rsid w:val="005F4AC9"/>
    <w:pPr>
      <w:ind w:left="660"/>
      <w:jc w:val="left"/>
    </w:pPr>
    <w:rPr>
      <w:sz w:val="20"/>
      <w:szCs w:val="20"/>
    </w:rPr>
  </w:style>
  <w:style w:type="paragraph" w:styleId="Inhopg5">
    <w:name w:val="toc 5"/>
    <w:basedOn w:val="Standaard"/>
    <w:next w:val="Standaard"/>
    <w:autoRedefine/>
    <w:uiPriority w:val="39"/>
    <w:unhideWhenUsed/>
    <w:rsid w:val="005F4AC9"/>
    <w:pPr>
      <w:ind w:left="880"/>
      <w:jc w:val="left"/>
    </w:pPr>
    <w:rPr>
      <w:sz w:val="20"/>
      <w:szCs w:val="20"/>
    </w:rPr>
  </w:style>
  <w:style w:type="paragraph" w:styleId="Inhopg6">
    <w:name w:val="toc 6"/>
    <w:basedOn w:val="Standaard"/>
    <w:next w:val="Standaard"/>
    <w:autoRedefine/>
    <w:uiPriority w:val="39"/>
    <w:unhideWhenUsed/>
    <w:rsid w:val="005F4AC9"/>
    <w:pPr>
      <w:ind w:left="1100"/>
      <w:jc w:val="left"/>
    </w:pPr>
    <w:rPr>
      <w:sz w:val="20"/>
      <w:szCs w:val="20"/>
    </w:rPr>
  </w:style>
  <w:style w:type="paragraph" w:styleId="Inhopg7">
    <w:name w:val="toc 7"/>
    <w:basedOn w:val="Standaard"/>
    <w:next w:val="Standaard"/>
    <w:autoRedefine/>
    <w:uiPriority w:val="39"/>
    <w:unhideWhenUsed/>
    <w:rsid w:val="005F4AC9"/>
    <w:pPr>
      <w:ind w:left="1320"/>
      <w:jc w:val="left"/>
    </w:pPr>
    <w:rPr>
      <w:sz w:val="20"/>
      <w:szCs w:val="20"/>
    </w:rPr>
  </w:style>
  <w:style w:type="paragraph" w:styleId="Inhopg8">
    <w:name w:val="toc 8"/>
    <w:basedOn w:val="Standaard"/>
    <w:next w:val="Standaard"/>
    <w:autoRedefine/>
    <w:uiPriority w:val="39"/>
    <w:unhideWhenUsed/>
    <w:rsid w:val="005F4AC9"/>
    <w:pPr>
      <w:ind w:left="1540"/>
      <w:jc w:val="left"/>
    </w:pPr>
    <w:rPr>
      <w:sz w:val="20"/>
      <w:szCs w:val="20"/>
    </w:rPr>
  </w:style>
  <w:style w:type="paragraph" w:styleId="Inhopg9">
    <w:name w:val="toc 9"/>
    <w:basedOn w:val="Standaard"/>
    <w:next w:val="Standaard"/>
    <w:autoRedefine/>
    <w:uiPriority w:val="39"/>
    <w:unhideWhenUsed/>
    <w:rsid w:val="005F4AC9"/>
    <w:pPr>
      <w:ind w:left="1760"/>
      <w:jc w:val="left"/>
    </w:pPr>
    <w:rPr>
      <w:sz w:val="20"/>
      <w:szCs w:val="20"/>
    </w:rPr>
  </w:style>
  <w:style w:type="character" w:styleId="Tekstvantijdelijkeaanduiding">
    <w:name w:val="Placeholder Text"/>
    <w:basedOn w:val="Standaardalinea-lettertype"/>
    <w:uiPriority w:val="99"/>
    <w:semiHidden/>
    <w:rsid w:val="00F90043"/>
    <w:rPr>
      <w:color w:val="808080"/>
    </w:rPr>
  </w:style>
  <w:style w:type="paragraph" w:styleId="Onderwerpvanopmerking">
    <w:name w:val="annotation subject"/>
    <w:basedOn w:val="Tekstopmerking"/>
    <w:next w:val="Tekstopmerking"/>
    <w:link w:val="OnderwerpvanopmerkingChar"/>
    <w:uiPriority w:val="99"/>
    <w:semiHidden/>
    <w:unhideWhenUsed/>
    <w:rsid w:val="00B304A6"/>
    <w:rPr>
      <w:b/>
      <w:bCs/>
    </w:rPr>
  </w:style>
  <w:style w:type="character" w:customStyle="1" w:styleId="OnderwerpvanopmerkingChar">
    <w:name w:val="Onderwerp van opmerking Char"/>
    <w:basedOn w:val="TekstopmerkingChar"/>
    <w:link w:val="Onderwerpvanopmerking"/>
    <w:uiPriority w:val="99"/>
    <w:semiHidden/>
    <w:rsid w:val="00B304A6"/>
    <w:rPr>
      <w:b/>
      <w:bCs/>
      <w:sz w:val="20"/>
      <w:szCs w:val="20"/>
    </w:rPr>
  </w:style>
  <w:style w:type="character" w:customStyle="1" w:styleId="Kop2Char">
    <w:name w:val="Kop 2 Char"/>
    <w:basedOn w:val="Standaardalinea-lettertype"/>
    <w:link w:val="Kop2"/>
    <w:uiPriority w:val="9"/>
    <w:rsid w:val="003E2D0E"/>
    <w:rPr>
      <w:b/>
      <w:bCs/>
      <w:i/>
      <w:iCs/>
      <w:color w:val="000000" w:themeColor="text1"/>
      <w:sz w:val="18"/>
      <w:szCs w:val="18"/>
      <w:lang w:val="en-GB"/>
    </w:rPr>
  </w:style>
  <w:style w:type="paragraph" w:styleId="Bibliografie">
    <w:name w:val="Bibliography"/>
    <w:basedOn w:val="Standaard"/>
    <w:next w:val="Standaard"/>
    <w:uiPriority w:val="37"/>
    <w:unhideWhenUsed/>
    <w:rsid w:val="00644F8A"/>
    <w:pPr>
      <w:spacing w:line="360" w:lineRule="auto"/>
      <w:ind w:left="482"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08C8-4432-49CE-8E69-F98874B7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9212</Words>
  <Characters>52511</Characters>
  <Application>Microsoft Office Word</Application>
  <DocSecurity>0</DocSecurity>
  <Lines>437</Lines>
  <Paragraphs>123</Paragraphs>
  <ScaleCrop>false</ScaleCrop>
  <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2021-08-15T21:35:00Z</dcterms:created>
  <dcterms:modified xsi:type="dcterms:W3CDTF">2021-08-15T21:35:00Z</dcterms:modified>
</cp:coreProperties>
</file>