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6D874" w14:textId="77777777" w:rsidR="001225B5" w:rsidRDefault="00E66793">
      <w:pPr>
        <w:pStyle w:val="normal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SUPPLEMENTARY INFORMATION </w:t>
      </w:r>
    </w:p>
    <w:p w14:paraId="4C1ABF85" w14:textId="77777777" w:rsidR="001225B5" w:rsidRDefault="001225B5">
      <w:pPr>
        <w:pStyle w:val="normal0"/>
        <w:jc w:val="center"/>
        <w:rPr>
          <w:b/>
          <w:sz w:val="32"/>
          <w:szCs w:val="32"/>
        </w:rPr>
      </w:pPr>
    </w:p>
    <w:p w14:paraId="393221F1" w14:textId="77777777" w:rsidR="001225B5" w:rsidRDefault="001225B5">
      <w:pPr>
        <w:pStyle w:val="normal0"/>
        <w:jc w:val="center"/>
        <w:rPr>
          <w:b/>
          <w:sz w:val="32"/>
          <w:szCs w:val="32"/>
        </w:rPr>
      </w:pPr>
    </w:p>
    <w:p w14:paraId="534CDF1C" w14:textId="77777777" w:rsidR="001225B5" w:rsidRDefault="00E66793">
      <w:pPr>
        <w:pStyle w:val="normal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Nano3P-seq: transcriptome-wide analysis of gene expression and tail dynamics using end-capture nanopore sequencing</w:t>
      </w:r>
    </w:p>
    <w:p w14:paraId="471816BA" w14:textId="77777777" w:rsidR="001225B5" w:rsidRDefault="001225B5">
      <w:pPr>
        <w:pStyle w:val="normal0"/>
        <w:rPr>
          <w:sz w:val="28"/>
          <w:szCs w:val="28"/>
        </w:rPr>
      </w:pPr>
    </w:p>
    <w:p w14:paraId="022CCA72" w14:textId="77777777" w:rsidR="001225B5" w:rsidRDefault="001225B5">
      <w:pPr>
        <w:pStyle w:val="normal0"/>
        <w:jc w:val="center"/>
        <w:rPr>
          <w:sz w:val="28"/>
          <w:szCs w:val="28"/>
        </w:rPr>
      </w:pPr>
    </w:p>
    <w:p w14:paraId="0B5F27F9" w14:textId="77777777" w:rsidR="00E66793" w:rsidRDefault="00E66793" w:rsidP="00E66793">
      <w:pPr>
        <w:pStyle w:val="normal0"/>
        <w:spacing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Oguzhan Begik</w:t>
      </w:r>
      <w:r>
        <w:rPr>
          <w:sz w:val="28"/>
          <w:szCs w:val="28"/>
          <w:vertAlign w:val="superscript"/>
        </w:rPr>
        <w:t>1,2,3</w:t>
      </w:r>
      <w:r>
        <w:rPr>
          <w:sz w:val="28"/>
          <w:szCs w:val="28"/>
        </w:rPr>
        <w:t>, Huanle Liu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, </w:t>
      </w:r>
      <w:r>
        <w:rPr>
          <w:sz w:val="28"/>
          <w:szCs w:val="28"/>
        </w:rPr>
        <w:t>Anna Delgado-Tejedor</w:t>
      </w:r>
      <w:r>
        <w:rPr>
          <w:sz w:val="28"/>
          <w:szCs w:val="28"/>
          <w:vertAlign w:val="superscript"/>
        </w:rPr>
        <w:t>1,5</w:t>
      </w:r>
      <w:r>
        <w:rPr>
          <w:sz w:val="28"/>
          <w:szCs w:val="28"/>
        </w:rPr>
        <w:t>, Cassandra Kontur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, Antonio J. Giraldez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, Jean-Denis Beaudoin</w:t>
      </w: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>, John S. Mattick</w:t>
      </w:r>
      <w:r>
        <w:rPr>
          <w:sz w:val="28"/>
          <w:szCs w:val="28"/>
          <w:vertAlign w:val="superscript"/>
        </w:rPr>
        <w:t>2,4</w:t>
      </w:r>
      <w:r>
        <w:rPr>
          <w:sz w:val="28"/>
          <w:szCs w:val="28"/>
        </w:rPr>
        <w:t xml:space="preserve"> and Eva Maria Novoa</w:t>
      </w:r>
      <w:r>
        <w:rPr>
          <w:sz w:val="28"/>
          <w:szCs w:val="28"/>
          <w:vertAlign w:val="superscript"/>
        </w:rPr>
        <w:t>1,5*</w:t>
      </w:r>
    </w:p>
    <w:p w14:paraId="5C8D238B" w14:textId="77777777" w:rsidR="00E66793" w:rsidRDefault="00E66793" w:rsidP="00E66793">
      <w:pPr>
        <w:pStyle w:val="normal0"/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1 </w:t>
      </w:r>
      <w:r>
        <w:rPr>
          <w:i/>
          <w:sz w:val="20"/>
          <w:szCs w:val="20"/>
          <w:highlight w:val="white"/>
        </w:rPr>
        <w:t>Centre for Genomic Regulation (CRG), The Barcelona Institute of Science and Technology, Dr. Aiguader 88, Barcelona 08003, Spain</w:t>
      </w:r>
    </w:p>
    <w:p w14:paraId="2D998326" w14:textId="77777777" w:rsidR="00E66793" w:rsidRDefault="00E66793" w:rsidP="00E66793">
      <w:pPr>
        <w:pStyle w:val="normal0"/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2 </w:t>
      </w:r>
      <w:r>
        <w:rPr>
          <w:i/>
          <w:sz w:val="20"/>
          <w:szCs w:val="20"/>
        </w:rPr>
        <w:t>Garvan Institute of Medical Research, 384 Victoria St, Darlinghurst, 2010, NSW, Australia.</w:t>
      </w:r>
    </w:p>
    <w:p w14:paraId="7549166D" w14:textId="77777777" w:rsidR="00E66793" w:rsidRDefault="00E66793" w:rsidP="00E66793">
      <w:pPr>
        <w:pStyle w:val="normal0"/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3 </w:t>
      </w:r>
      <w:r>
        <w:rPr>
          <w:i/>
          <w:sz w:val="20"/>
          <w:szCs w:val="20"/>
        </w:rPr>
        <w:t>Faculty of Medicine, UNSW Sydney, Sydney NSW 2052, Australia.</w:t>
      </w:r>
    </w:p>
    <w:p w14:paraId="0FEE5AB2" w14:textId="77777777" w:rsidR="00E66793" w:rsidRDefault="00E66793" w:rsidP="00E66793">
      <w:pPr>
        <w:pStyle w:val="normal0"/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4 </w:t>
      </w:r>
      <w:r>
        <w:rPr>
          <w:i/>
          <w:sz w:val="20"/>
          <w:szCs w:val="20"/>
        </w:rPr>
        <w:t>School of Biotechnology and Biomolecular Sciences, UNSW Sydney, Sydney NSW 2052, Australia.</w:t>
      </w:r>
    </w:p>
    <w:p w14:paraId="461A2552" w14:textId="77777777" w:rsidR="00E66793" w:rsidRDefault="00E66793" w:rsidP="00E66793">
      <w:pPr>
        <w:pStyle w:val="normal0"/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5 </w:t>
      </w:r>
      <w:r>
        <w:rPr>
          <w:i/>
          <w:sz w:val="20"/>
          <w:szCs w:val="20"/>
        </w:rPr>
        <w:t>Universitat Pompeu Fabra, Barcelona, Spain.</w:t>
      </w:r>
    </w:p>
    <w:p w14:paraId="74169FA4" w14:textId="77777777" w:rsidR="00E66793" w:rsidRDefault="00E66793" w:rsidP="00E66793">
      <w:pPr>
        <w:pStyle w:val="normal0"/>
        <w:spacing w:line="392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 xml:space="preserve">6 </w:t>
      </w:r>
      <w:r>
        <w:rPr>
          <w:i/>
          <w:sz w:val="20"/>
          <w:szCs w:val="20"/>
        </w:rPr>
        <w:t>Department of Genetics, Yale University, USA</w:t>
      </w:r>
    </w:p>
    <w:p w14:paraId="22F74327" w14:textId="77777777" w:rsidR="00E66793" w:rsidRDefault="00E66793" w:rsidP="00E66793">
      <w:pPr>
        <w:pStyle w:val="normal0"/>
        <w:spacing w:line="392" w:lineRule="auto"/>
        <w:jc w:val="center"/>
        <w:rPr>
          <w:i/>
          <w:sz w:val="20"/>
          <w:szCs w:val="20"/>
          <w:vertAlign w:val="superscript"/>
        </w:rPr>
      </w:pPr>
      <w:r>
        <w:rPr>
          <w:i/>
          <w:sz w:val="20"/>
          <w:szCs w:val="20"/>
          <w:vertAlign w:val="superscript"/>
        </w:rPr>
        <w:t xml:space="preserve">7 </w:t>
      </w:r>
      <w:r>
        <w:rPr>
          <w:i/>
          <w:sz w:val="20"/>
          <w:szCs w:val="20"/>
        </w:rPr>
        <w:t>Department of Genetics and Genome Sciences, Institute for Systems Genomics, University of Connecticut Health Center, Farmington, CT, USA.</w:t>
      </w:r>
    </w:p>
    <w:p w14:paraId="02D7EA4A" w14:textId="77777777" w:rsidR="001225B5" w:rsidRDefault="00E66793">
      <w:pPr>
        <w:pStyle w:val="normal0"/>
        <w:spacing w:line="392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i/>
        </w:rPr>
        <w:t xml:space="preserve"> </w:t>
      </w:r>
    </w:p>
    <w:p w14:paraId="3043D86C" w14:textId="77777777" w:rsidR="001225B5" w:rsidRDefault="00E66793">
      <w:pPr>
        <w:pStyle w:val="normal0"/>
        <w:spacing w:line="392" w:lineRule="auto"/>
        <w:jc w:val="center"/>
      </w:pPr>
      <w:r>
        <w:t xml:space="preserve">* Correspondence to: Eva Maria Novoa (eva.novoa@crg.eu) </w:t>
      </w:r>
    </w:p>
    <w:p w14:paraId="35D28247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br w:type="page"/>
      </w:r>
    </w:p>
    <w:p w14:paraId="67DC9C81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Figure S1. Nano3P-seq captures non-poly(A)-tailed and poly(A)-tailed RNAs (A)</w:t>
      </w:r>
      <w:r>
        <w:rPr>
          <w:sz w:val="18"/>
          <w:szCs w:val="18"/>
        </w:rPr>
        <w:t xml:space="preserve"> Tapestation profiles of  synthetic RNAs (‘curlcakes’) a</w:t>
      </w:r>
      <w:r>
        <w:rPr>
          <w:sz w:val="18"/>
          <w:szCs w:val="18"/>
        </w:rPr>
        <w:t xml:space="preserve">fter being </w:t>
      </w:r>
      <w:r>
        <w:rPr>
          <w:i/>
          <w:sz w:val="18"/>
          <w:szCs w:val="18"/>
        </w:rPr>
        <w:t>in-vitro</w:t>
      </w:r>
      <w:r>
        <w:rPr>
          <w:sz w:val="18"/>
          <w:szCs w:val="18"/>
        </w:rPr>
        <w:t xml:space="preserve"> transcribed and poly(A) tailed (pA). </w:t>
      </w:r>
      <w:r>
        <w:rPr>
          <w:b/>
          <w:sz w:val="18"/>
          <w:szCs w:val="18"/>
        </w:rPr>
        <w:t>(B)</w:t>
      </w:r>
      <w:r>
        <w:rPr>
          <w:sz w:val="18"/>
          <w:szCs w:val="18"/>
        </w:rPr>
        <w:t xml:space="preserve"> Tapestation profiles of the input RNA (curlcake mix) for reverse-transcription and cDNA produced after annealing based or template-switching based (Nano3P-seq) reverse-transcription </w:t>
      </w:r>
      <w:r>
        <w:rPr>
          <w:b/>
          <w:sz w:val="18"/>
          <w:szCs w:val="18"/>
        </w:rPr>
        <w:t>(C)</w:t>
      </w:r>
      <w:r>
        <w:rPr>
          <w:sz w:val="18"/>
          <w:szCs w:val="18"/>
        </w:rPr>
        <w:t xml:space="preserve"> IGV snapshots of synthetic RNAs illustrating that Nano3P-seq captures both non-polyadenylated (left) and polyadenylated (right) RNAs. In addition, a diversity of poly(A) tail lengths are also captured by Nano3P-seq, which are shown in green (right panel).</w:t>
      </w:r>
      <w:r>
        <w:rPr>
          <w:b/>
          <w:sz w:val="18"/>
          <w:szCs w:val="18"/>
        </w:rPr>
        <w:t>(D)</w:t>
      </w:r>
      <w:r>
        <w:rPr>
          <w:sz w:val="18"/>
          <w:szCs w:val="18"/>
        </w:rPr>
        <w:t xml:space="preserve"> Pie chart showing the abundance of different RNA types in Nano3P-seq of nuclear/mitochondria enriched RNA. </w:t>
      </w:r>
      <w:r>
        <w:rPr>
          <w:b/>
          <w:sz w:val="18"/>
          <w:szCs w:val="18"/>
        </w:rPr>
        <w:t>(E)</w:t>
      </w:r>
      <w:r>
        <w:rPr>
          <w:sz w:val="18"/>
          <w:szCs w:val="18"/>
        </w:rPr>
        <w:t xml:space="preserve"> IGV snapshot of reads mapping to Aldoc gene with poly(A) tail shown in green. </w:t>
      </w:r>
      <w:r>
        <w:rPr>
          <w:b/>
          <w:sz w:val="18"/>
          <w:szCs w:val="18"/>
        </w:rPr>
        <w:t>(F)</w:t>
      </w:r>
      <w:r>
        <w:rPr>
          <w:sz w:val="18"/>
          <w:szCs w:val="18"/>
        </w:rPr>
        <w:t xml:space="preserve"> IGV snapshot of reads mapping to Rps3 and Snord15b genes. P</w:t>
      </w:r>
      <w:r>
        <w:rPr>
          <w:sz w:val="18"/>
          <w:szCs w:val="18"/>
        </w:rPr>
        <w:t xml:space="preserve">oly(A) tail can be seen in green on the reads mapping to Rps3 mRNA, while it can’t be seen in Snord15b snoRNA. </w:t>
      </w:r>
      <w:r>
        <w:rPr>
          <w:b/>
          <w:sz w:val="18"/>
          <w:szCs w:val="18"/>
        </w:rPr>
        <w:t>(G)</w:t>
      </w:r>
      <w:r>
        <w:rPr>
          <w:sz w:val="18"/>
          <w:szCs w:val="18"/>
        </w:rPr>
        <w:t xml:space="preserve"> IGV snapshot of reads mapping to Rn7sk miscRNA, which are not expected to contain poly(A) tails. </w:t>
      </w:r>
      <w:r>
        <w:rPr>
          <w:b/>
          <w:sz w:val="18"/>
          <w:szCs w:val="18"/>
        </w:rPr>
        <w:t xml:space="preserve">(H) </w:t>
      </w:r>
      <w:r>
        <w:rPr>
          <w:sz w:val="18"/>
          <w:szCs w:val="18"/>
        </w:rPr>
        <w:t>Correlation of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per-gene counts observed </w:t>
      </w:r>
      <w:r>
        <w:rPr>
          <w:sz w:val="18"/>
          <w:szCs w:val="18"/>
        </w:rPr>
        <w:t>in synthetic sequins that were used as spike-ins in the sequencing runs.</w:t>
      </w:r>
    </w:p>
    <w:p w14:paraId="156D0258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1FF98A7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07AEB17E" wp14:editId="53DBD489">
            <wp:extent cx="5731200" cy="67945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9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8FF85E" w14:textId="77777777" w:rsidR="001225B5" w:rsidRDefault="00E66793">
      <w:pPr>
        <w:pStyle w:val="normal0"/>
        <w:jc w:val="both"/>
        <w:rPr>
          <w:b/>
          <w:sz w:val="18"/>
          <w:szCs w:val="18"/>
          <w:highlight w:val="yellow"/>
        </w:rPr>
      </w:pPr>
      <w:r>
        <w:rPr>
          <w:b/>
          <w:sz w:val="18"/>
          <w:szCs w:val="18"/>
        </w:rPr>
        <w:lastRenderedPageBreak/>
        <w:t>Figure S2. Analysis of abundances and poly(A) tails in mitochondrial rRNAs. (A)</w:t>
      </w:r>
      <w:r>
        <w:rPr>
          <w:sz w:val="18"/>
          <w:szCs w:val="18"/>
        </w:rPr>
        <w:t xml:space="preserve"> Tapestation profiles of RNAs from zebrafish embryos at different developmental time points (2,4,6 ho</w:t>
      </w:r>
      <w:r>
        <w:rPr>
          <w:sz w:val="18"/>
          <w:szCs w:val="18"/>
        </w:rPr>
        <w:t>urs post-fertilization). Profiles include total RNA, ribodepleted RNA and poly(A)+ selected RNA.</w:t>
      </w:r>
      <w:r>
        <w:rPr>
          <w:b/>
          <w:sz w:val="18"/>
          <w:szCs w:val="18"/>
        </w:rPr>
        <w:t xml:space="preserve"> (B)</w:t>
      </w:r>
      <w:r>
        <w:rPr>
          <w:sz w:val="18"/>
          <w:szCs w:val="18"/>
        </w:rPr>
        <w:t xml:space="preserve"> Tapestation profiles of the reverse-transcription products of ribodepleted (left) and poly(A)+ selected (right) samples from zebrafish embryos collected at</w:t>
      </w:r>
      <w:r>
        <w:rPr>
          <w:sz w:val="18"/>
          <w:szCs w:val="18"/>
        </w:rPr>
        <w:t xml:space="preserve"> different developmental time points (2,4,6 hours post-fertilization). </w:t>
      </w:r>
      <w:r>
        <w:rPr>
          <w:b/>
          <w:sz w:val="18"/>
          <w:szCs w:val="18"/>
        </w:rPr>
        <w:t>(C)</w:t>
      </w:r>
      <w:r>
        <w:rPr>
          <w:sz w:val="18"/>
          <w:szCs w:val="18"/>
        </w:rPr>
        <w:t xml:space="preserve"> mRNA abundances (log scaled) of 12s and 16s mitochondrial rRNAs in poly(A)+ selected (left) and ribodepleted (right) samples.</w:t>
      </w:r>
      <w:r>
        <w:rPr>
          <w:b/>
          <w:sz w:val="18"/>
          <w:szCs w:val="18"/>
        </w:rPr>
        <w:t xml:space="preserve"> (D)</w:t>
      </w:r>
      <w:r>
        <w:rPr>
          <w:sz w:val="18"/>
          <w:szCs w:val="18"/>
        </w:rPr>
        <w:t xml:space="preserve"> IGV snapshot of reads mapping to zebrafish 16s mito</w:t>
      </w:r>
      <w:r>
        <w:rPr>
          <w:sz w:val="18"/>
          <w:szCs w:val="18"/>
        </w:rPr>
        <w:t xml:space="preserve">chondrial rRNA, where reads have been grouped as non-poly(A) tailed and poly(A) tailed based on their predicted poly(A) tail length. Poly(A) tail region is shown with an arrow. </w:t>
      </w:r>
      <w:r>
        <w:rPr>
          <w:b/>
          <w:sz w:val="18"/>
          <w:szCs w:val="18"/>
        </w:rPr>
        <w:t xml:space="preserve">(E) </w:t>
      </w:r>
      <w:r>
        <w:rPr>
          <w:sz w:val="18"/>
          <w:szCs w:val="18"/>
        </w:rPr>
        <w:t xml:space="preserve">IGV snapshot of reads mapping to mouse 16s mitochondrial rRNA, where reads </w:t>
      </w:r>
      <w:r>
        <w:rPr>
          <w:sz w:val="18"/>
          <w:szCs w:val="18"/>
        </w:rPr>
        <w:t xml:space="preserve">have been grouped as non-poly(A) tailed and poly(A) tailed based on their predicted poly(A) tail length. Poly(A) tail region is shown with an arrow. </w:t>
      </w:r>
    </w:p>
    <w:p w14:paraId="4F37DC61" w14:textId="77777777" w:rsidR="001225B5" w:rsidRDefault="001225B5">
      <w:pPr>
        <w:pStyle w:val="normal0"/>
        <w:jc w:val="both"/>
        <w:rPr>
          <w:sz w:val="18"/>
          <w:szCs w:val="18"/>
        </w:rPr>
      </w:pPr>
    </w:p>
    <w:p w14:paraId="2D0E51DA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33757A97" wp14:editId="3CECBF22">
            <wp:extent cx="5731200" cy="47879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6DF28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A8BB589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7CBFFE7D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C930AAD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00D860F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01DCC6FE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0DCAB413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46B006B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07FBC63E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0F0E2EE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43EBD53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5F1CC1B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82FEF10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1F32F0D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960D153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Figure S3. Analysis of poly(A) tail lengths using Nano3P-seq.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(A)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highlight w:val="white"/>
        </w:rPr>
        <w:t xml:space="preserve">Current intensity plot of a synthetic poly(A)+ read, obtained using Nano3P-seq. The homopolymeric poly(T) region is highlighted in orange. </w:t>
      </w:r>
      <w:r>
        <w:rPr>
          <w:b/>
          <w:sz w:val="18"/>
          <w:szCs w:val="18"/>
        </w:rPr>
        <w:t xml:space="preserve">(B) </w:t>
      </w:r>
      <w:r>
        <w:rPr>
          <w:sz w:val="18"/>
          <w:szCs w:val="18"/>
        </w:rPr>
        <w:t>Replicability of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median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poly(A) tail length estimation in sequins captured with Nano3P-seq. The poly(A) </w:t>
      </w:r>
      <w:r>
        <w:rPr>
          <w:sz w:val="18"/>
          <w:szCs w:val="18"/>
        </w:rPr>
        <w:t xml:space="preserve">tail length of synthetic sequins is 30nt (R1_sequins) or 60nt (R2_sequins). </w:t>
      </w:r>
      <w:r>
        <w:rPr>
          <w:b/>
          <w:sz w:val="18"/>
          <w:szCs w:val="18"/>
          <w:highlight w:val="white"/>
        </w:rPr>
        <w:t>(C)</w:t>
      </w:r>
      <w:r>
        <w:rPr>
          <w:sz w:val="18"/>
          <w:szCs w:val="18"/>
          <w:highlight w:val="white"/>
        </w:rPr>
        <w:t xml:space="preserve"> Overall comparison of poly(A) tail length estimation of R1 and R2 sequins which contain 30 nt and 60 nt poly(A) tail lengths, respectively, obtained using dRNAseq (green) and N</w:t>
      </w:r>
      <w:r>
        <w:rPr>
          <w:sz w:val="18"/>
          <w:szCs w:val="18"/>
          <w:highlight w:val="white"/>
        </w:rPr>
        <w:t xml:space="preserve">ano3P-seq (orange). </w:t>
      </w:r>
      <w:r>
        <w:rPr>
          <w:b/>
          <w:sz w:val="18"/>
          <w:szCs w:val="18"/>
          <w:highlight w:val="white"/>
        </w:rPr>
        <w:t xml:space="preserve">(D) </w:t>
      </w:r>
      <w:r>
        <w:rPr>
          <w:sz w:val="18"/>
          <w:szCs w:val="18"/>
          <w:highlight w:val="white"/>
        </w:rPr>
        <w:t xml:space="preserve">Per-transcript </w:t>
      </w:r>
      <w:r>
        <w:rPr>
          <w:sz w:val="18"/>
          <w:szCs w:val="18"/>
        </w:rPr>
        <w:t xml:space="preserve">variance of poly(A) tail length estimations of sequins obtained using dRNAseq (green) and Nano3P-seq (orange). </w:t>
      </w:r>
      <w:r>
        <w:rPr>
          <w:b/>
          <w:sz w:val="18"/>
          <w:szCs w:val="18"/>
        </w:rPr>
        <w:t>(E)</w:t>
      </w:r>
      <w:r>
        <w:rPr>
          <w:sz w:val="18"/>
          <w:szCs w:val="18"/>
        </w:rPr>
        <w:t xml:space="preserve"> Distribution of poly(A) tail lengths in mRNAs across zebrafish developmental stages (2, 4 and 6hpf, sh</w:t>
      </w:r>
      <w:r>
        <w:rPr>
          <w:sz w:val="18"/>
          <w:szCs w:val="18"/>
        </w:rPr>
        <w:t xml:space="preserve">own in red, green and blue respectively) in two biological replicates (shown as full lines and dashed lines, respectively). </w:t>
      </w:r>
      <w:r>
        <w:rPr>
          <w:b/>
          <w:sz w:val="18"/>
          <w:szCs w:val="18"/>
        </w:rPr>
        <w:t xml:space="preserve">(F) </w:t>
      </w:r>
      <w:r>
        <w:rPr>
          <w:sz w:val="18"/>
          <w:szCs w:val="18"/>
        </w:rPr>
        <w:t>Median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poly(A) tail length distribution of mRNAs during the zebrafish MZT (t=2, 4 and 6hpf). </w:t>
      </w:r>
      <w:r>
        <w:rPr>
          <w:b/>
          <w:sz w:val="18"/>
          <w:szCs w:val="18"/>
        </w:rPr>
        <w:t>(G)</w:t>
      </w:r>
      <w:r>
        <w:rPr>
          <w:sz w:val="18"/>
          <w:szCs w:val="18"/>
        </w:rPr>
        <w:t xml:space="preserve"> IGV snapshot of reads </w:t>
      </w:r>
      <w:r>
        <w:rPr>
          <w:sz w:val="18"/>
          <w:szCs w:val="18"/>
        </w:rPr>
        <w:t xml:space="preserve">mapping to hist1h2a6 mRNA, which do not contain poly(A) tails. </w:t>
      </w:r>
    </w:p>
    <w:p w14:paraId="524B418E" w14:textId="77777777" w:rsidR="001225B5" w:rsidRDefault="001225B5">
      <w:pPr>
        <w:pStyle w:val="normal0"/>
        <w:jc w:val="both"/>
        <w:rPr>
          <w:sz w:val="18"/>
          <w:szCs w:val="18"/>
        </w:rPr>
      </w:pPr>
    </w:p>
    <w:p w14:paraId="2C1ECDB6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4C692E3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616D51BE" wp14:editId="39E5D06C">
            <wp:extent cx="5731200" cy="34417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DEB27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8330517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br w:type="page"/>
      </w:r>
    </w:p>
    <w:p w14:paraId="08573FF7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Figure S4. Comparison of poly(A) tail length estimations using PAL-Seq and Nano3P-seq. (A) </w:t>
      </w:r>
      <w:r>
        <w:rPr>
          <w:sz w:val="18"/>
          <w:szCs w:val="18"/>
        </w:rPr>
        <w:t>Scatterplots of per-gene poly(A) tail length estimations using Nano3P-seq and PAL-seq from zeb</w:t>
      </w:r>
      <w:r>
        <w:rPr>
          <w:sz w:val="18"/>
          <w:szCs w:val="18"/>
        </w:rPr>
        <w:t>rafish mRNAs at 2 hpf (left), 4 hpf (middle) and 6 hpf (right). Each dot represents the median poly(A) tail length of a given gene.</w:t>
      </w:r>
      <w:r>
        <w:rPr>
          <w:b/>
          <w:sz w:val="18"/>
          <w:szCs w:val="18"/>
        </w:rPr>
        <w:t xml:space="preserve"> (B) </w:t>
      </w:r>
      <w:r>
        <w:rPr>
          <w:sz w:val="18"/>
          <w:szCs w:val="18"/>
        </w:rPr>
        <w:t xml:space="preserve">Boxplots depicting the distribution of poly(A) tail lengths during the zebrafish MZT, estimated using PAL-Seq (left) or Nano3P-seq (right). Statistical comparison of means was made using Kruskal Wallis test. </w:t>
      </w:r>
      <w:r>
        <w:rPr>
          <w:b/>
          <w:sz w:val="18"/>
          <w:szCs w:val="18"/>
        </w:rPr>
        <w:t>(C)</w:t>
      </w:r>
      <w:r>
        <w:rPr>
          <w:sz w:val="18"/>
          <w:szCs w:val="18"/>
        </w:rPr>
        <w:t xml:space="preserve"> Comparative analysis of the mRNA abundance (</w:t>
      </w:r>
      <w:r>
        <w:rPr>
          <w:sz w:val="18"/>
          <w:szCs w:val="18"/>
        </w:rPr>
        <w:t>shown as log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 xml:space="preserve"> RPKM) for the 4 groups of zebrafish mRNAs (maternal, miR-430, zygotic and rest) during embryogenesis (t= 2, 4 and 6 hpf) using PAL-seq data. Statistical comparison of means was performed using Kruskal-Wallis test. </w:t>
      </w:r>
      <w:r>
        <w:rPr>
          <w:b/>
          <w:sz w:val="18"/>
          <w:szCs w:val="18"/>
        </w:rPr>
        <w:t>(D)</w:t>
      </w:r>
      <w:r>
        <w:rPr>
          <w:sz w:val="18"/>
          <w:szCs w:val="18"/>
        </w:rPr>
        <w:t xml:space="preserve"> Median tail length estim</w:t>
      </w:r>
      <w:r>
        <w:rPr>
          <w:sz w:val="18"/>
          <w:szCs w:val="18"/>
        </w:rPr>
        <w:t>ations of the 4 groups of zebrafish mRNAs (maternal, miR-430, zygotic and rest) at 2, 4 and 6 hpf using PAL-seq data. Statistical analyses were performed using Kruskal-Wallis test.</w:t>
      </w:r>
    </w:p>
    <w:p w14:paraId="163D9CD5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4B65066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71373BA8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40799660" wp14:editId="138AC43C">
            <wp:extent cx="5731200" cy="34036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89DBB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2C7F8F5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CA6A9BE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00CAB698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7BCB8D27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AF30A41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br w:type="page"/>
      </w:r>
    </w:p>
    <w:p w14:paraId="68DD3302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Figure S5.  Analysis of Isoform-specific poly(A) tail dynamics u</w:t>
      </w:r>
      <w:r>
        <w:rPr>
          <w:b/>
          <w:sz w:val="18"/>
          <w:szCs w:val="18"/>
        </w:rPr>
        <w:t xml:space="preserve">sing Nano3P-seq. </w:t>
      </w:r>
      <w:r>
        <w:rPr>
          <w:sz w:val="18"/>
          <w:szCs w:val="18"/>
        </w:rPr>
        <w:t>Examples of genes with differentially polyadenylated isoforms between 2 and 6 hpf.</w:t>
      </w:r>
    </w:p>
    <w:p w14:paraId="08FAB3F0" w14:textId="77777777" w:rsidR="001225B5" w:rsidRDefault="001225B5">
      <w:pPr>
        <w:pStyle w:val="normal0"/>
        <w:jc w:val="center"/>
        <w:rPr>
          <w:sz w:val="18"/>
          <w:szCs w:val="18"/>
        </w:rPr>
      </w:pPr>
    </w:p>
    <w:p w14:paraId="14D5BA5C" w14:textId="77777777" w:rsidR="001225B5" w:rsidRDefault="00E66793">
      <w:pPr>
        <w:pStyle w:val="normal0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4D96DFBA" wp14:editId="3011C9AC">
            <wp:extent cx="5731200" cy="43307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B096D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D8588AB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6D8DB72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867574B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F8C9889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FC493C3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365916F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A8910E3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759ABD5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0621DC48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C0C57B9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br w:type="page"/>
      </w:r>
    </w:p>
    <w:p w14:paraId="608E3C6E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Figure S6. Comparison of poly(A) tail length estimations using poly(A)-selected and ribodepleted samples. (A) </w:t>
      </w:r>
      <w:r>
        <w:rPr>
          <w:sz w:val="18"/>
          <w:szCs w:val="18"/>
        </w:rPr>
        <w:t>Distribution of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mRNA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poly(A) tail lengths from 4 hpf zebrafish embryos, isolated using either poly(A) selection (red) or ribo-depletion (cyan).</w:t>
      </w:r>
      <w:r>
        <w:rPr>
          <w:b/>
          <w:sz w:val="18"/>
          <w:szCs w:val="18"/>
        </w:rPr>
        <w:t xml:space="preserve"> (B) </w:t>
      </w:r>
      <w:r>
        <w:rPr>
          <w:sz w:val="18"/>
          <w:szCs w:val="18"/>
        </w:rPr>
        <w:t>Comparison of median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poly(A) tail length estimation between poly(A) selected and ribo-depleted zebrafish mRNAs isolated </w:t>
      </w:r>
      <w:r>
        <w:rPr>
          <w:sz w:val="18"/>
          <w:szCs w:val="18"/>
        </w:rPr>
        <w:t xml:space="preserve">at 4 hpf. Each dot represents a gene. </w:t>
      </w:r>
      <w:r>
        <w:rPr>
          <w:b/>
          <w:sz w:val="18"/>
          <w:szCs w:val="18"/>
        </w:rPr>
        <w:t>(C)</w:t>
      </w:r>
      <w:r>
        <w:rPr>
          <w:sz w:val="18"/>
          <w:szCs w:val="18"/>
        </w:rPr>
        <w:t xml:space="preserve"> Comparison of median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poly(A) tail length estimation of mRNAs in zebrafish ribo-depleted samples (replicate 1 and 2) isolated at 4 hpf. Each dot represents a gene.</w:t>
      </w:r>
    </w:p>
    <w:p w14:paraId="4BB13B33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938FB4D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A0DA8C4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3572A2ED" wp14:editId="09E136F7">
            <wp:extent cx="5731200" cy="1765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04158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4FA79426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6AEB6512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br w:type="page"/>
      </w:r>
    </w:p>
    <w:p w14:paraId="639159A0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Figure S7. Analysis of tail compos</w:t>
      </w:r>
      <w:r>
        <w:rPr>
          <w:b/>
          <w:sz w:val="18"/>
          <w:szCs w:val="18"/>
        </w:rPr>
        <w:t>ition using Nano3P-seq. (A)</w:t>
      </w:r>
      <w:r>
        <w:rPr>
          <w:sz w:val="18"/>
          <w:szCs w:val="18"/>
        </w:rPr>
        <w:t xml:space="preserve"> Tail composition of the last 10 nucleotides of the reads enriched for A and U bases. The last nucleotide is labeled as 0.  The Y axis is log scaled.</w:t>
      </w:r>
      <w:r>
        <w:rPr>
          <w:b/>
          <w:sz w:val="18"/>
          <w:szCs w:val="18"/>
        </w:rPr>
        <w:t xml:space="preserve"> (B)</w:t>
      </w:r>
      <w:r>
        <w:rPr>
          <w:sz w:val="18"/>
          <w:szCs w:val="18"/>
        </w:rPr>
        <w:t xml:space="preserve"> IGV snapshots of the reads mapping to </w:t>
      </w:r>
      <w:r>
        <w:rPr>
          <w:i/>
          <w:sz w:val="18"/>
          <w:szCs w:val="18"/>
        </w:rPr>
        <w:t>actb1</w:t>
      </w:r>
      <w:r>
        <w:rPr>
          <w:sz w:val="18"/>
          <w:szCs w:val="18"/>
        </w:rPr>
        <w:t xml:space="preserve"> gene in zebrafish samples (t=2,</w:t>
      </w:r>
      <w:r>
        <w:rPr>
          <w:sz w:val="18"/>
          <w:szCs w:val="18"/>
        </w:rPr>
        <w:t xml:space="preserve"> 4 and 6hpf). Reads ending with A nucleotide are grouped as “A-ended tail”, whereas reads ending with U nucleotide are grouped as “U-ended tail”. </w:t>
      </w:r>
    </w:p>
    <w:p w14:paraId="5A283327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33F4BD0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3E4C52F0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2006658B" wp14:editId="307247BC">
            <wp:extent cx="5731200" cy="66294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2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69C01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br w:type="page"/>
      </w:r>
    </w:p>
    <w:p w14:paraId="2B6B8B89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Figure S8. Comparison of poly(A) tail length estimations between dRNAseq and Nano3P-seq. (A) </w:t>
      </w:r>
      <w:r>
        <w:rPr>
          <w:sz w:val="18"/>
          <w:szCs w:val="18"/>
        </w:rPr>
        <w:t>Distributi</w:t>
      </w:r>
      <w:r>
        <w:rPr>
          <w:sz w:val="18"/>
          <w:szCs w:val="18"/>
        </w:rPr>
        <w:t>on of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mRNA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poly(A) tail lengths from 4 hpf zebrafish embryos isolated using poly(A) selection and sequenced with dRNAseq (green) or Nano3P-seq (orange).</w:t>
      </w:r>
      <w:r>
        <w:rPr>
          <w:b/>
          <w:sz w:val="18"/>
          <w:szCs w:val="18"/>
        </w:rPr>
        <w:t xml:space="preserve"> (B) </w:t>
      </w:r>
      <w:r>
        <w:rPr>
          <w:sz w:val="18"/>
          <w:szCs w:val="18"/>
        </w:rPr>
        <w:t>Comparison of median per-gene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poly(A) tail length estimation of poly(A)-selected mRNAs iso</w:t>
      </w:r>
      <w:r>
        <w:rPr>
          <w:sz w:val="18"/>
          <w:szCs w:val="18"/>
        </w:rPr>
        <w:t>lated at 4 hpf with dRNAseq (green) or Nano3P-seq (orange). Each dot represents an mRNA.</w:t>
      </w:r>
    </w:p>
    <w:p w14:paraId="57D4D0F3" w14:textId="77777777" w:rsidR="001225B5" w:rsidRDefault="001225B5">
      <w:pPr>
        <w:pStyle w:val="normal0"/>
        <w:jc w:val="both"/>
        <w:rPr>
          <w:sz w:val="18"/>
          <w:szCs w:val="18"/>
        </w:rPr>
      </w:pPr>
    </w:p>
    <w:p w14:paraId="1A60CD60" w14:textId="77777777" w:rsidR="001225B5" w:rsidRDefault="001225B5">
      <w:pPr>
        <w:pStyle w:val="normal0"/>
        <w:jc w:val="both"/>
        <w:rPr>
          <w:sz w:val="18"/>
          <w:szCs w:val="18"/>
        </w:rPr>
      </w:pPr>
    </w:p>
    <w:p w14:paraId="0EB3A037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1C160445" w14:textId="77777777" w:rsidR="001225B5" w:rsidRDefault="00E6679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2B36C0A7" wp14:editId="6E8999D6">
            <wp:extent cx="4738688" cy="1897049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1897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E9DF1" w14:textId="77777777" w:rsidR="001225B5" w:rsidRDefault="001225B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8"/>
          <w:szCs w:val="18"/>
        </w:rPr>
      </w:pPr>
    </w:p>
    <w:p w14:paraId="2CEDD5FB" w14:textId="77777777" w:rsidR="001225B5" w:rsidRDefault="00E6679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18"/>
          <w:szCs w:val="18"/>
        </w:rPr>
      </w:pPr>
      <w:r>
        <w:br w:type="page"/>
      </w:r>
    </w:p>
    <w:p w14:paraId="3B36D733" w14:textId="77777777" w:rsidR="001225B5" w:rsidRDefault="00E66793">
      <w:pPr>
        <w:pStyle w:val="normal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Figure S9. Comparison of read ends mapping to </w:t>
      </w:r>
      <w:r>
        <w:rPr>
          <w:b/>
          <w:i/>
          <w:sz w:val="18"/>
          <w:szCs w:val="18"/>
        </w:rPr>
        <w:t>actb1</w:t>
      </w:r>
      <w:r>
        <w:rPr>
          <w:b/>
          <w:sz w:val="18"/>
          <w:szCs w:val="18"/>
        </w:rPr>
        <w:t xml:space="preserve"> gene before and after filtering by A/U enrichment. </w:t>
      </w:r>
      <w:r>
        <w:rPr>
          <w:sz w:val="18"/>
          <w:szCs w:val="18"/>
        </w:rPr>
        <w:t xml:space="preserve">Left panel contains the reads that are trimmed with porechop. Right panel shows the same reads after removing incorrectly trimmed ones (filtered based on their A/U content).  Labeled part indicates the poly(A) tail. </w:t>
      </w:r>
    </w:p>
    <w:p w14:paraId="41EA9146" w14:textId="77777777" w:rsidR="001225B5" w:rsidRDefault="001225B5">
      <w:pPr>
        <w:pStyle w:val="normal0"/>
        <w:jc w:val="both"/>
        <w:rPr>
          <w:b/>
          <w:sz w:val="18"/>
          <w:szCs w:val="18"/>
        </w:rPr>
      </w:pPr>
    </w:p>
    <w:p w14:paraId="5ED40AC9" w14:textId="77777777" w:rsidR="001225B5" w:rsidRDefault="00E66793">
      <w:pPr>
        <w:pStyle w:val="normal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en-US"/>
        </w:rPr>
        <w:drawing>
          <wp:inline distT="114300" distB="114300" distL="114300" distR="114300" wp14:anchorId="2FDF9869" wp14:editId="2FE6BCC0">
            <wp:extent cx="5731200" cy="31115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25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225B5"/>
    <w:rsid w:val="001225B5"/>
    <w:rsid w:val="00E6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E03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79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7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79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7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1123</Words>
  <Characters>6405</Characters>
  <Application>Microsoft Macintosh Word</Application>
  <DocSecurity>0</DocSecurity>
  <Lines>53</Lines>
  <Paragraphs>15</Paragraphs>
  <ScaleCrop>false</ScaleCrop>
  <Company>Garvan Institute of Medical Research</Company>
  <LinksUpToDate>false</LinksUpToDate>
  <CharactersWithSpaces>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Oguzhan Begik</cp:lastModifiedBy>
  <cp:revision>2</cp:revision>
  <dcterms:created xsi:type="dcterms:W3CDTF">2021-10-15T13:52:00Z</dcterms:created>
  <dcterms:modified xsi:type="dcterms:W3CDTF">2021-10-15T13:52:00Z</dcterms:modified>
</cp:coreProperties>
</file>