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CDB9D" w14:textId="77777777" w:rsidR="00281830" w:rsidRDefault="00EB240D">
      <w:pPr>
        <w:rPr>
          <w:rFonts w:ascii="Times New Roman" w:hAnsi="Times New Roman"/>
          <w:b/>
          <w:bCs/>
          <w:sz w:val="24"/>
          <w:szCs w:val="24"/>
          <w:lang w:val="en-US"/>
        </w:rPr>
      </w:pPr>
      <w:r>
        <w:rPr>
          <w:rFonts w:ascii="Times New Roman" w:hAnsi="Times New Roman"/>
          <w:b/>
          <w:bCs/>
          <w:sz w:val="24"/>
          <w:szCs w:val="24"/>
          <w:lang w:val="en-US"/>
        </w:rPr>
        <w:t xml:space="preserve">                               </w:t>
      </w:r>
      <w:r w:rsidRPr="00EB240D">
        <w:rPr>
          <w:rFonts w:ascii="Times New Roman" w:hAnsi="Times New Roman"/>
          <w:b/>
          <w:bCs/>
          <w:sz w:val="24"/>
          <w:szCs w:val="24"/>
          <w:lang w:val="en-US"/>
        </w:rPr>
        <w:t>Supporting Information</w:t>
      </w:r>
    </w:p>
    <w:p w14:paraId="29B1F86B" w14:textId="77777777" w:rsidR="00EB240D" w:rsidRDefault="00EB240D">
      <w:pPr>
        <w:rPr>
          <w:rFonts w:ascii="Times New Roman" w:hAnsi="Times New Roman"/>
          <w:b/>
          <w:bCs/>
          <w:sz w:val="24"/>
          <w:szCs w:val="24"/>
          <w:lang w:val="en-US"/>
        </w:rPr>
      </w:pPr>
    </w:p>
    <w:p w14:paraId="2B93E74E" w14:textId="77777777" w:rsidR="00EB240D" w:rsidRPr="003828EB" w:rsidRDefault="00EB240D" w:rsidP="003828EB">
      <w:pPr>
        <w:spacing w:line="360" w:lineRule="auto"/>
        <w:rPr>
          <w:rStyle w:val="fontstyle01"/>
          <w:bCs/>
          <w:sz w:val="32"/>
          <w:szCs w:val="32"/>
        </w:rPr>
      </w:pPr>
      <w:r w:rsidRPr="003828EB">
        <w:rPr>
          <w:rStyle w:val="fontstyle01"/>
          <w:bCs/>
          <w:sz w:val="32"/>
          <w:szCs w:val="32"/>
        </w:rPr>
        <w:t>Hydrothermal Synthesis of Clove Buds-Derived Multifunctional Carbon Dots Passivated with PVP- Antioxidants, Catalysis, and Bioimaging Applications</w:t>
      </w:r>
    </w:p>
    <w:p w14:paraId="641D6B48" w14:textId="77777777" w:rsidR="00ED38AA" w:rsidRPr="00176283" w:rsidRDefault="00ED38AA" w:rsidP="00ED38AA">
      <w:pPr>
        <w:jc w:val="both"/>
        <w:rPr>
          <w:rFonts w:ascii="Times New Roman" w:hAnsi="Times New Roman"/>
          <w:sz w:val="24"/>
          <w:szCs w:val="24"/>
        </w:rPr>
      </w:pPr>
      <w:bookmarkStart w:id="0" w:name="_Hlk72650359"/>
      <w:r w:rsidRPr="00176283">
        <w:rPr>
          <w:rFonts w:ascii="Times New Roman" w:hAnsi="Times New Roman"/>
          <w:sz w:val="24"/>
          <w:szCs w:val="24"/>
        </w:rPr>
        <w:t xml:space="preserve">Anurag Kumar Pandey </w:t>
      </w:r>
      <w:r w:rsidRPr="00176283">
        <w:rPr>
          <w:rFonts w:ascii="Times New Roman" w:hAnsi="Times New Roman"/>
          <w:sz w:val="24"/>
          <w:szCs w:val="24"/>
          <w:vertAlign w:val="superscript"/>
        </w:rPr>
        <w:t>a</w:t>
      </w:r>
      <w:r w:rsidRPr="00176283">
        <w:rPr>
          <w:rFonts w:ascii="Times New Roman" w:hAnsi="Times New Roman"/>
          <w:sz w:val="24"/>
          <w:szCs w:val="24"/>
        </w:rPr>
        <w:t xml:space="preserve">, Kamakshi </w:t>
      </w:r>
      <w:proofErr w:type="spellStart"/>
      <w:r w:rsidRPr="00176283">
        <w:rPr>
          <w:rFonts w:ascii="Times New Roman" w:hAnsi="Times New Roman"/>
          <w:sz w:val="24"/>
          <w:szCs w:val="24"/>
        </w:rPr>
        <w:t>Bankoti</w:t>
      </w:r>
      <w:proofErr w:type="spellEnd"/>
      <w:r w:rsidRPr="00176283">
        <w:rPr>
          <w:rFonts w:ascii="Times New Roman" w:hAnsi="Times New Roman"/>
          <w:sz w:val="24"/>
          <w:szCs w:val="24"/>
        </w:rPr>
        <w:t xml:space="preserve"> </w:t>
      </w:r>
      <w:r w:rsidRPr="00176283">
        <w:rPr>
          <w:rFonts w:ascii="Times New Roman" w:hAnsi="Times New Roman"/>
          <w:sz w:val="24"/>
          <w:szCs w:val="24"/>
          <w:vertAlign w:val="superscript"/>
        </w:rPr>
        <w:t>b</w:t>
      </w:r>
      <w:r w:rsidRPr="00176283">
        <w:rPr>
          <w:rFonts w:ascii="Times New Roman" w:hAnsi="Times New Roman"/>
          <w:sz w:val="24"/>
          <w:szCs w:val="24"/>
        </w:rPr>
        <w:t xml:space="preserve">, </w:t>
      </w:r>
      <w:proofErr w:type="spellStart"/>
      <w:r w:rsidRPr="00176283">
        <w:rPr>
          <w:rFonts w:ascii="Times New Roman" w:hAnsi="Times New Roman"/>
          <w:sz w:val="24"/>
          <w:szCs w:val="24"/>
        </w:rPr>
        <w:t>Tapan</w:t>
      </w:r>
      <w:proofErr w:type="spellEnd"/>
      <w:r w:rsidRPr="00176283">
        <w:rPr>
          <w:rFonts w:ascii="Times New Roman" w:hAnsi="Times New Roman"/>
          <w:sz w:val="24"/>
          <w:szCs w:val="24"/>
        </w:rPr>
        <w:t xml:space="preserve"> Kumar Nath </w:t>
      </w:r>
      <w:r w:rsidRPr="00176283">
        <w:rPr>
          <w:rFonts w:ascii="Times New Roman" w:hAnsi="Times New Roman"/>
          <w:sz w:val="24"/>
          <w:szCs w:val="24"/>
          <w:vertAlign w:val="superscript"/>
        </w:rPr>
        <w:t>c</w:t>
      </w:r>
      <w:r w:rsidRPr="00176283">
        <w:rPr>
          <w:rFonts w:ascii="Times New Roman" w:hAnsi="Times New Roman"/>
          <w:sz w:val="24"/>
          <w:szCs w:val="24"/>
        </w:rPr>
        <w:t xml:space="preserve">, </w:t>
      </w:r>
      <w:proofErr w:type="spellStart"/>
      <w:r w:rsidRPr="00176283">
        <w:rPr>
          <w:rFonts w:ascii="Times New Roman" w:hAnsi="Times New Roman"/>
          <w:sz w:val="24"/>
          <w:szCs w:val="24"/>
        </w:rPr>
        <w:t>Santanu</w:t>
      </w:r>
      <w:proofErr w:type="spellEnd"/>
      <w:r w:rsidRPr="00176283">
        <w:rPr>
          <w:rFonts w:ascii="Times New Roman" w:hAnsi="Times New Roman"/>
          <w:sz w:val="24"/>
          <w:szCs w:val="24"/>
        </w:rPr>
        <w:t xml:space="preserve"> </w:t>
      </w:r>
      <w:proofErr w:type="spellStart"/>
      <w:r w:rsidRPr="00176283">
        <w:rPr>
          <w:rFonts w:ascii="Times New Roman" w:hAnsi="Times New Roman"/>
          <w:sz w:val="24"/>
          <w:szCs w:val="24"/>
        </w:rPr>
        <w:t>Dhara</w:t>
      </w:r>
      <w:proofErr w:type="spellEnd"/>
      <w:r w:rsidRPr="00176283">
        <w:rPr>
          <w:rFonts w:ascii="Times New Roman" w:hAnsi="Times New Roman"/>
          <w:sz w:val="24"/>
          <w:szCs w:val="24"/>
        </w:rPr>
        <w:t xml:space="preserve"> </w:t>
      </w:r>
      <w:r w:rsidRPr="00176283">
        <w:rPr>
          <w:rFonts w:ascii="Times New Roman" w:hAnsi="Times New Roman"/>
          <w:sz w:val="24"/>
          <w:szCs w:val="24"/>
          <w:vertAlign w:val="superscript"/>
        </w:rPr>
        <w:t>b *</w:t>
      </w:r>
    </w:p>
    <w:p w14:paraId="57A9A217" w14:textId="77777777" w:rsidR="00ED38AA" w:rsidRPr="00176283" w:rsidRDefault="00ED38AA" w:rsidP="00ED38AA">
      <w:pPr>
        <w:jc w:val="both"/>
        <w:rPr>
          <w:rFonts w:ascii="Times New Roman" w:hAnsi="Times New Roman"/>
          <w:sz w:val="24"/>
          <w:szCs w:val="24"/>
          <w:vertAlign w:val="superscript"/>
        </w:rPr>
      </w:pPr>
      <w:bookmarkStart w:id="1" w:name="__DdeLink__242_700376408"/>
      <w:bookmarkEnd w:id="0"/>
      <w:r w:rsidRPr="00176283">
        <w:rPr>
          <w:rFonts w:ascii="Times New Roman" w:hAnsi="Times New Roman"/>
          <w:sz w:val="24"/>
          <w:szCs w:val="24"/>
          <w:vertAlign w:val="superscript"/>
        </w:rPr>
        <w:t xml:space="preserve">a </w:t>
      </w:r>
      <w:r w:rsidRPr="00176283">
        <w:rPr>
          <w:rFonts w:ascii="Times New Roman" w:hAnsi="Times New Roman"/>
          <w:sz w:val="24"/>
          <w:szCs w:val="24"/>
        </w:rPr>
        <w:t>School of Nano Science and Technology, Indian Institute of Technology Kharagpur, Kharagpur, West Bengal – 721302</w:t>
      </w:r>
      <w:bookmarkEnd w:id="1"/>
    </w:p>
    <w:p w14:paraId="21BC2CA4" w14:textId="77777777" w:rsidR="00ED38AA" w:rsidRPr="00176283" w:rsidRDefault="00ED38AA" w:rsidP="00ED38AA">
      <w:pPr>
        <w:jc w:val="both"/>
        <w:rPr>
          <w:rFonts w:ascii="Times New Roman" w:hAnsi="Times New Roman"/>
          <w:sz w:val="24"/>
          <w:szCs w:val="24"/>
          <w:vertAlign w:val="superscript"/>
        </w:rPr>
      </w:pPr>
      <w:r w:rsidRPr="00176283">
        <w:rPr>
          <w:rFonts w:ascii="Times New Roman" w:hAnsi="Times New Roman"/>
          <w:sz w:val="24"/>
          <w:szCs w:val="24"/>
        </w:rPr>
        <w:t xml:space="preserve"> </w:t>
      </w:r>
      <w:r w:rsidRPr="00176283">
        <w:rPr>
          <w:rFonts w:ascii="Times New Roman" w:hAnsi="Times New Roman"/>
          <w:sz w:val="24"/>
          <w:szCs w:val="24"/>
          <w:vertAlign w:val="superscript"/>
        </w:rPr>
        <w:t xml:space="preserve">b </w:t>
      </w:r>
      <w:r w:rsidRPr="00176283">
        <w:rPr>
          <w:rFonts w:ascii="Times New Roman" w:hAnsi="Times New Roman"/>
          <w:sz w:val="24"/>
          <w:szCs w:val="24"/>
        </w:rPr>
        <w:t>School of Medical Science and Technology, Indian Institute of Technology Kharagpur, Kharagpur, West Bengal – 721302</w:t>
      </w:r>
    </w:p>
    <w:p w14:paraId="4B0952B7" w14:textId="77777777" w:rsidR="00ED38AA" w:rsidRPr="00176283" w:rsidRDefault="00ED38AA" w:rsidP="00ED38AA">
      <w:pPr>
        <w:jc w:val="both"/>
        <w:rPr>
          <w:rFonts w:ascii="Times New Roman" w:hAnsi="Times New Roman"/>
          <w:sz w:val="24"/>
          <w:szCs w:val="24"/>
        </w:rPr>
      </w:pPr>
      <w:r w:rsidRPr="00176283">
        <w:rPr>
          <w:rFonts w:ascii="Times New Roman" w:hAnsi="Times New Roman"/>
          <w:sz w:val="24"/>
          <w:szCs w:val="24"/>
          <w:vertAlign w:val="superscript"/>
        </w:rPr>
        <w:t xml:space="preserve">c </w:t>
      </w:r>
      <w:r w:rsidRPr="00176283">
        <w:rPr>
          <w:rFonts w:ascii="Times New Roman" w:hAnsi="Times New Roman"/>
          <w:sz w:val="24"/>
          <w:szCs w:val="24"/>
        </w:rPr>
        <w:t>Department of Physics, Indian Institute of Technology Kharagpur, Kharagpur, West Bengal – 721302</w:t>
      </w:r>
    </w:p>
    <w:p w14:paraId="3FB706BB" w14:textId="77777777" w:rsidR="00ED38AA" w:rsidRPr="00C810DA" w:rsidRDefault="00ED38AA" w:rsidP="00ED38AA">
      <w:pPr>
        <w:jc w:val="both"/>
        <w:rPr>
          <w:rStyle w:val="fontstyle01"/>
          <w:sz w:val="20"/>
          <w:szCs w:val="20"/>
        </w:rPr>
      </w:pPr>
    </w:p>
    <w:p w14:paraId="6B89FC03" w14:textId="77777777" w:rsidR="00ED38AA" w:rsidRDefault="00ED38AA" w:rsidP="00ED38AA">
      <w:pPr>
        <w:spacing w:line="480" w:lineRule="auto"/>
        <w:jc w:val="both"/>
        <w:rPr>
          <w:rStyle w:val="fontstyle01"/>
          <w:sz w:val="32"/>
          <w:szCs w:val="32"/>
        </w:rPr>
      </w:pPr>
    </w:p>
    <w:p w14:paraId="2795F541" w14:textId="77777777" w:rsidR="00ED38AA" w:rsidRDefault="00ED38AA" w:rsidP="00ED38AA">
      <w:pPr>
        <w:spacing w:line="480" w:lineRule="auto"/>
        <w:jc w:val="both"/>
        <w:rPr>
          <w:rStyle w:val="fontstyle01"/>
          <w:sz w:val="32"/>
          <w:szCs w:val="32"/>
        </w:rPr>
      </w:pPr>
    </w:p>
    <w:p w14:paraId="3EEE8353" w14:textId="77777777" w:rsidR="00ED38AA" w:rsidRDefault="00ED38AA" w:rsidP="00ED38AA">
      <w:pPr>
        <w:spacing w:line="480" w:lineRule="auto"/>
        <w:jc w:val="both"/>
        <w:rPr>
          <w:rStyle w:val="fontstyle01"/>
          <w:sz w:val="32"/>
          <w:szCs w:val="32"/>
        </w:rPr>
      </w:pPr>
    </w:p>
    <w:p w14:paraId="5F30D048" w14:textId="77777777" w:rsidR="00ED38AA" w:rsidRDefault="00ED38AA" w:rsidP="00ED38AA">
      <w:pPr>
        <w:spacing w:line="480" w:lineRule="auto"/>
        <w:jc w:val="both"/>
        <w:rPr>
          <w:rStyle w:val="fontstyle01"/>
          <w:sz w:val="32"/>
          <w:szCs w:val="32"/>
        </w:rPr>
      </w:pPr>
    </w:p>
    <w:p w14:paraId="6EB33EC8" w14:textId="77777777" w:rsidR="00ED38AA" w:rsidRDefault="00ED38AA" w:rsidP="00ED38AA">
      <w:pPr>
        <w:spacing w:line="480" w:lineRule="auto"/>
        <w:jc w:val="both"/>
        <w:rPr>
          <w:rStyle w:val="fontstyle01"/>
          <w:sz w:val="32"/>
          <w:szCs w:val="32"/>
        </w:rPr>
      </w:pPr>
    </w:p>
    <w:p w14:paraId="6D7C7CAF" w14:textId="77777777" w:rsidR="00ED38AA" w:rsidRDefault="00ED38AA" w:rsidP="00ED38AA">
      <w:pPr>
        <w:autoSpaceDE w:val="0"/>
        <w:autoSpaceDN w:val="0"/>
        <w:adjustRightInd w:val="0"/>
        <w:jc w:val="both"/>
        <w:rPr>
          <w:rStyle w:val="fontstyle01"/>
          <w:b w:val="0"/>
          <w:bCs/>
        </w:rPr>
      </w:pPr>
      <w:r>
        <w:rPr>
          <w:rStyle w:val="fontstyle01"/>
          <w:vertAlign w:val="superscript"/>
        </w:rPr>
        <w:t xml:space="preserve">* </w:t>
      </w:r>
      <w:r w:rsidRPr="005860FA">
        <w:rPr>
          <w:rStyle w:val="fontstyle01"/>
        </w:rPr>
        <w:t>Corresponding author</w:t>
      </w:r>
    </w:p>
    <w:p w14:paraId="5BC8337E" w14:textId="77777777" w:rsidR="00ED38AA" w:rsidRDefault="00ED38AA" w:rsidP="00ED38AA">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Prof. </w:t>
      </w:r>
      <w:proofErr w:type="spellStart"/>
      <w:r>
        <w:rPr>
          <w:rFonts w:ascii="Times New Roman" w:hAnsi="Times New Roman"/>
          <w:color w:val="000000"/>
          <w:sz w:val="24"/>
          <w:szCs w:val="24"/>
        </w:rPr>
        <w:t>Santanu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Dhara</w:t>
      </w:r>
      <w:proofErr w:type="spellEnd"/>
      <w:r>
        <w:rPr>
          <w:rFonts w:ascii="Times New Roman" w:hAnsi="Times New Roman"/>
          <w:color w:val="000000"/>
          <w:sz w:val="24"/>
          <w:szCs w:val="24"/>
        </w:rPr>
        <w:t xml:space="preserve"> (Professor) School of Medical Science and Technology IIT Kharagpur 721302, West Bengal., India Email: </w:t>
      </w:r>
      <w:bookmarkStart w:id="2" w:name="_Hlk72650506"/>
      <w:r>
        <w:rPr>
          <w:rFonts w:ascii="Times New Roman" w:hAnsi="Times New Roman"/>
          <w:sz w:val="24"/>
          <w:szCs w:val="24"/>
        </w:rPr>
        <w:fldChar w:fldCharType="begin"/>
      </w:r>
      <w:r>
        <w:rPr>
          <w:rFonts w:ascii="Times New Roman" w:hAnsi="Times New Roman"/>
          <w:sz w:val="24"/>
          <w:szCs w:val="24"/>
        </w:rPr>
        <w:instrText xml:space="preserve"> HYPERLINK "mailto:</w:instrText>
      </w:r>
      <w:r w:rsidRPr="00491055">
        <w:rPr>
          <w:rFonts w:ascii="Times New Roman" w:hAnsi="Times New Roman"/>
          <w:sz w:val="24"/>
          <w:szCs w:val="24"/>
        </w:rPr>
        <w:instrText>sdhara@smst.iitkgp.ac.in</w:instrText>
      </w:r>
      <w:r>
        <w:rPr>
          <w:rFonts w:ascii="Times New Roman" w:hAnsi="Times New Roman"/>
          <w:sz w:val="24"/>
          <w:szCs w:val="24"/>
        </w:rPr>
        <w:instrText xml:space="preserve">" </w:instrText>
      </w:r>
      <w:r>
        <w:rPr>
          <w:rFonts w:ascii="Times New Roman" w:hAnsi="Times New Roman"/>
          <w:sz w:val="24"/>
          <w:szCs w:val="24"/>
        </w:rPr>
        <w:fldChar w:fldCharType="separate"/>
      </w:r>
      <w:r w:rsidRPr="00AB1447">
        <w:rPr>
          <w:rStyle w:val="Hyperlink"/>
          <w:rFonts w:ascii="Times New Roman" w:hAnsi="Times New Roman"/>
          <w:sz w:val="24"/>
          <w:szCs w:val="24"/>
        </w:rPr>
        <w:t>sdhara@smst.iitkgp.ac.in</w:t>
      </w:r>
      <w:r>
        <w:rPr>
          <w:rFonts w:ascii="Times New Roman" w:hAnsi="Times New Roman"/>
          <w:sz w:val="24"/>
          <w:szCs w:val="24"/>
        </w:rPr>
        <w:fldChar w:fldCharType="end"/>
      </w:r>
      <w:bookmarkEnd w:id="2"/>
      <w:r>
        <w:rPr>
          <w:rFonts w:ascii="Times New Roman" w:hAnsi="Times New Roman"/>
          <w:color w:val="000000"/>
          <w:sz w:val="24"/>
          <w:szCs w:val="24"/>
        </w:rPr>
        <w:t xml:space="preserve"> Phone: </w:t>
      </w:r>
      <w:r w:rsidRPr="00491055">
        <w:rPr>
          <w:rFonts w:ascii="Times New Roman" w:hAnsi="Times New Roman"/>
          <w:sz w:val="24"/>
          <w:szCs w:val="24"/>
        </w:rPr>
        <w:t>+91-3222-282306</w:t>
      </w:r>
    </w:p>
    <w:p w14:paraId="2A6C5499" w14:textId="77777777" w:rsidR="00D516A8" w:rsidRDefault="00D516A8" w:rsidP="00EB240D">
      <w:pPr>
        <w:jc w:val="both"/>
        <w:rPr>
          <w:rFonts w:ascii="Times New Roman" w:hAnsi="Times New Roman"/>
          <w:sz w:val="20"/>
          <w:szCs w:val="20"/>
          <w:vertAlign w:val="superscript"/>
        </w:rPr>
      </w:pPr>
    </w:p>
    <w:p w14:paraId="18F633AC" w14:textId="77777777" w:rsidR="00D516A8" w:rsidRDefault="00D516A8" w:rsidP="00EB240D">
      <w:pPr>
        <w:jc w:val="both"/>
        <w:rPr>
          <w:rFonts w:ascii="Times New Roman" w:hAnsi="Times New Roman"/>
          <w:sz w:val="20"/>
          <w:szCs w:val="20"/>
          <w:vertAlign w:val="superscript"/>
        </w:rPr>
      </w:pPr>
    </w:p>
    <w:p w14:paraId="382908E7" w14:textId="77777777" w:rsidR="00D516A8" w:rsidRPr="00D516A8" w:rsidRDefault="00D516A8" w:rsidP="00EB240D">
      <w:pPr>
        <w:jc w:val="both"/>
        <w:rPr>
          <w:rFonts w:ascii="Times New Roman" w:hAnsi="Times New Roman"/>
          <w:sz w:val="24"/>
          <w:szCs w:val="24"/>
        </w:rPr>
      </w:pPr>
    </w:p>
    <w:p w14:paraId="19476155" w14:textId="3FE7C0EB" w:rsidR="00EB240D" w:rsidRDefault="00524340" w:rsidP="00597C3B">
      <w:pPr>
        <w:spacing w:line="480" w:lineRule="auto"/>
        <w:jc w:val="center"/>
        <w:rPr>
          <w:rFonts w:ascii="Times New Roman" w:hAnsi="Times New Roman"/>
          <w:sz w:val="20"/>
          <w:szCs w:val="20"/>
        </w:rPr>
      </w:pPr>
      <w:r>
        <w:rPr>
          <w:rFonts w:ascii="Times New Roman" w:hAnsi="Times New Roman"/>
          <w:noProof/>
          <w:sz w:val="20"/>
          <w:szCs w:val="20"/>
        </w:rPr>
        <w:lastRenderedPageBreak/>
        <w:drawing>
          <wp:inline distT="0" distB="0" distL="0" distR="0" wp14:anchorId="7E6119D1" wp14:editId="66FE2BEB">
            <wp:extent cx="5600700" cy="426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r="4999" b="13896"/>
                    <a:stretch>
                      <a:fillRect/>
                    </a:stretch>
                  </pic:blipFill>
                  <pic:spPr bwMode="auto">
                    <a:xfrm>
                      <a:off x="0" y="0"/>
                      <a:ext cx="5600700" cy="4267200"/>
                    </a:xfrm>
                    <a:prstGeom prst="rect">
                      <a:avLst/>
                    </a:prstGeom>
                    <a:noFill/>
                    <a:ln>
                      <a:noFill/>
                    </a:ln>
                  </pic:spPr>
                </pic:pic>
              </a:graphicData>
            </a:graphic>
          </wp:inline>
        </w:drawing>
      </w:r>
    </w:p>
    <w:p w14:paraId="626DC46E" w14:textId="77777777" w:rsidR="00773AD3" w:rsidRDefault="00773AD3" w:rsidP="00EB240D">
      <w:pPr>
        <w:spacing w:line="480" w:lineRule="auto"/>
        <w:rPr>
          <w:rStyle w:val="fontstyle01"/>
          <w:bCs/>
          <w:sz w:val="28"/>
          <w:szCs w:val="28"/>
        </w:rPr>
      </w:pPr>
      <w:r w:rsidRPr="00D516A8">
        <w:rPr>
          <w:rFonts w:ascii="Times New Roman" w:hAnsi="Times New Roman"/>
          <w:b/>
          <w:bCs/>
          <w:sz w:val="20"/>
          <w:szCs w:val="20"/>
        </w:rPr>
        <w:t>Fig. S.</w:t>
      </w:r>
      <w:r>
        <w:rPr>
          <w:rFonts w:ascii="Times New Roman" w:hAnsi="Times New Roman"/>
          <w:b/>
          <w:bCs/>
          <w:sz w:val="20"/>
          <w:szCs w:val="20"/>
        </w:rPr>
        <w:t>1</w:t>
      </w:r>
      <w:r w:rsidRPr="00D516A8">
        <w:rPr>
          <w:rFonts w:ascii="Times New Roman" w:hAnsi="Times New Roman"/>
          <w:b/>
          <w:bCs/>
          <w:sz w:val="20"/>
          <w:szCs w:val="20"/>
        </w:rPr>
        <w:t xml:space="preserve"> </w:t>
      </w:r>
      <w:r>
        <w:rPr>
          <w:rFonts w:ascii="Times New Roman" w:hAnsi="Times New Roman"/>
          <w:sz w:val="20"/>
          <w:szCs w:val="20"/>
        </w:rPr>
        <w:t>Schematic of process involve in synthesis of PVP-passivated clove-derived carbon dots (PPCCDs) and non-passivated clove-derived carbon dots (CCDs)</w:t>
      </w:r>
    </w:p>
    <w:p w14:paraId="2815A5E6" w14:textId="061C72A7" w:rsidR="00277915" w:rsidRPr="001D5099" w:rsidRDefault="00524340" w:rsidP="00277915">
      <w:pPr>
        <w:spacing w:line="480" w:lineRule="auto"/>
        <w:jc w:val="center"/>
        <w:rPr>
          <w:rStyle w:val="fontstyle01"/>
          <w:bCs/>
          <w:sz w:val="28"/>
          <w:szCs w:val="28"/>
        </w:rPr>
      </w:pPr>
      <w:r w:rsidRPr="00277915">
        <w:rPr>
          <w:rFonts w:ascii="Times New Roman" w:hAnsi="Times New Roman"/>
          <w:noProof/>
          <w:sz w:val="24"/>
          <w:szCs w:val="24"/>
        </w:rPr>
        <w:drawing>
          <wp:inline distT="0" distB="0" distL="0" distR="0" wp14:anchorId="6E285238" wp14:editId="266B86BB">
            <wp:extent cx="2141220" cy="242316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1220" cy="2423160"/>
                    </a:xfrm>
                    <a:prstGeom prst="rect">
                      <a:avLst/>
                    </a:prstGeom>
                    <a:noFill/>
                    <a:ln>
                      <a:noFill/>
                    </a:ln>
                  </pic:spPr>
                </pic:pic>
              </a:graphicData>
            </a:graphic>
          </wp:inline>
        </w:drawing>
      </w:r>
    </w:p>
    <w:p w14:paraId="618A3EA5" w14:textId="77777777" w:rsidR="00D516A8" w:rsidRPr="007D5F87" w:rsidRDefault="00277915" w:rsidP="00277915">
      <w:pPr>
        <w:rPr>
          <w:rFonts w:ascii="Times New Roman" w:hAnsi="Times New Roman"/>
          <w:sz w:val="20"/>
          <w:szCs w:val="20"/>
        </w:rPr>
      </w:pPr>
      <w:r>
        <w:rPr>
          <w:rFonts w:ascii="Times New Roman" w:hAnsi="Times New Roman"/>
          <w:b/>
          <w:bCs/>
          <w:sz w:val="24"/>
          <w:szCs w:val="24"/>
        </w:rPr>
        <w:t xml:space="preserve">   </w:t>
      </w:r>
      <w:r w:rsidR="00D516A8" w:rsidRPr="00D516A8">
        <w:rPr>
          <w:rFonts w:ascii="Times New Roman" w:hAnsi="Times New Roman"/>
          <w:b/>
          <w:bCs/>
          <w:sz w:val="20"/>
          <w:szCs w:val="20"/>
        </w:rPr>
        <w:t xml:space="preserve">Fig. </w:t>
      </w:r>
      <w:r w:rsidRPr="00D516A8">
        <w:rPr>
          <w:rFonts w:ascii="Times New Roman" w:hAnsi="Times New Roman"/>
          <w:b/>
          <w:bCs/>
          <w:sz w:val="20"/>
          <w:szCs w:val="20"/>
        </w:rPr>
        <w:t>S</w:t>
      </w:r>
      <w:r w:rsidR="00D516A8" w:rsidRPr="00D516A8">
        <w:rPr>
          <w:rFonts w:ascii="Times New Roman" w:hAnsi="Times New Roman"/>
          <w:b/>
          <w:bCs/>
          <w:sz w:val="20"/>
          <w:szCs w:val="20"/>
        </w:rPr>
        <w:t>.</w:t>
      </w:r>
      <w:r w:rsidRPr="00D516A8">
        <w:rPr>
          <w:rFonts w:ascii="Times New Roman" w:hAnsi="Times New Roman"/>
          <w:b/>
          <w:bCs/>
          <w:sz w:val="20"/>
          <w:szCs w:val="20"/>
        </w:rPr>
        <w:t xml:space="preserve">2 </w:t>
      </w:r>
      <w:r w:rsidRPr="00D516A8">
        <w:rPr>
          <w:rFonts w:ascii="Times New Roman" w:hAnsi="Times New Roman"/>
          <w:sz w:val="20"/>
          <w:szCs w:val="20"/>
        </w:rPr>
        <w:t>White light and ultraviolet light exposer of as-synthesized PPCCDs and CCDs.</w:t>
      </w:r>
    </w:p>
    <w:p w14:paraId="0F9234D5" w14:textId="2E6A9BF7" w:rsidR="00D516A8" w:rsidRDefault="00524340" w:rsidP="00597C3B">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1BE732BF" wp14:editId="0F93A697">
            <wp:extent cx="5661660" cy="4427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1660" cy="4427220"/>
                    </a:xfrm>
                    <a:prstGeom prst="rect">
                      <a:avLst/>
                    </a:prstGeom>
                    <a:noFill/>
                    <a:ln>
                      <a:noFill/>
                    </a:ln>
                  </pic:spPr>
                </pic:pic>
              </a:graphicData>
            </a:graphic>
          </wp:inline>
        </w:drawing>
      </w:r>
    </w:p>
    <w:p w14:paraId="770190A3" w14:textId="77777777" w:rsidR="00EB240D" w:rsidRDefault="00EB240D">
      <w:pPr>
        <w:rPr>
          <w:rFonts w:ascii="Times New Roman" w:hAnsi="Times New Roman"/>
          <w:b/>
          <w:bCs/>
          <w:sz w:val="24"/>
          <w:szCs w:val="24"/>
          <w:lang w:val="en-US"/>
        </w:rPr>
      </w:pPr>
    </w:p>
    <w:p w14:paraId="1216C570" w14:textId="77777777" w:rsidR="00D30C53" w:rsidRDefault="00D516A8" w:rsidP="00D516A8">
      <w:pPr>
        <w:rPr>
          <w:rFonts w:ascii="Times New Roman" w:hAnsi="Times New Roman"/>
          <w:bCs/>
          <w:color w:val="000000"/>
          <w:sz w:val="20"/>
          <w:szCs w:val="20"/>
        </w:rPr>
      </w:pPr>
      <w:r w:rsidRPr="00D516A8">
        <w:rPr>
          <w:rFonts w:ascii="Times New Roman" w:hAnsi="Times New Roman"/>
          <w:b/>
          <w:bCs/>
          <w:sz w:val="20"/>
          <w:szCs w:val="20"/>
        </w:rPr>
        <w:t>Fig. S.3</w:t>
      </w:r>
      <w:r>
        <w:rPr>
          <w:rFonts w:ascii="Times New Roman" w:hAnsi="Times New Roman"/>
          <w:b/>
          <w:bCs/>
          <w:sz w:val="24"/>
          <w:szCs w:val="24"/>
        </w:rPr>
        <w:t xml:space="preserve"> </w:t>
      </w:r>
      <w:r w:rsidRPr="00D516A8">
        <w:rPr>
          <w:rFonts w:ascii="Times New Roman" w:hAnsi="Times New Roman"/>
          <w:color w:val="000000"/>
          <w:sz w:val="20"/>
          <w:szCs w:val="20"/>
        </w:rPr>
        <w:t>The untreated fibroblast cells (without PPCCDs labelling) excited by laser of wavelength 405 nm, 488 nm, and 542 nm, respectively</w:t>
      </w:r>
      <w:r>
        <w:rPr>
          <w:rFonts w:ascii="Times New Roman" w:hAnsi="Times New Roman"/>
          <w:color w:val="000000"/>
          <w:sz w:val="24"/>
          <w:szCs w:val="24"/>
        </w:rPr>
        <w:t>.</w:t>
      </w:r>
      <w:r w:rsidRPr="00D516A8">
        <w:rPr>
          <w:rFonts w:ascii="Times New Roman" w:hAnsi="Times New Roman"/>
          <w:bCs/>
          <w:color w:val="000000"/>
          <w:sz w:val="20"/>
          <w:szCs w:val="20"/>
        </w:rPr>
        <w:t xml:space="preserve"> </w:t>
      </w:r>
      <w:r w:rsidRPr="005860FA">
        <w:rPr>
          <w:rFonts w:ascii="Times New Roman" w:hAnsi="Times New Roman"/>
          <w:bCs/>
          <w:color w:val="000000"/>
          <w:sz w:val="20"/>
          <w:szCs w:val="20"/>
        </w:rPr>
        <w:t xml:space="preserve">Scale bar: 100 </w:t>
      </w:r>
      <w:r w:rsidRPr="005860FA">
        <w:rPr>
          <w:rFonts w:ascii="Times New Roman" w:hAnsi="Times New Roman"/>
          <w:color w:val="000000"/>
          <w:sz w:val="20"/>
          <w:szCs w:val="20"/>
        </w:rPr>
        <w:t>µ</w:t>
      </w:r>
      <w:r w:rsidRPr="005860FA">
        <w:rPr>
          <w:rFonts w:ascii="Times New Roman" w:hAnsi="Times New Roman"/>
          <w:bCs/>
          <w:color w:val="000000"/>
          <w:sz w:val="20"/>
          <w:szCs w:val="20"/>
        </w:rPr>
        <w:t>m.</w:t>
      </w:r>
    </w:p>
    <w:p w14:paraId="0EA115DC" w14:textId="77777777" w:rsidR="002D3768" w:rsidRPr="009F1F79" w:rsidRDefault="002D3768" w:rsidP="00D516A8">
      <w:pPr>
        <w:rPr>
          <w:rFonts w:ascii="Times New Roman" w:hAnsi="Times New Roman"/>
          <w:bCs/>
          <w:color w:val="000000"/>
          <w:sz w:val="20"/>
          <w:szCs w:val="20"/>
          <w:highlight w:val="yellow"/>
        </w:rPr>
      </w:pPr>
    </w:p>
    <w:p w14:paraId="54D046ED" w14:textId="77777777" w:rsidR="002D3768" w:rsidRPr="009F1F79" w:rsidRDefault="002D3768" w:rsidP="00D516A8">
      <w:pPr>
        <w:rPr>
          <w:rFonts w:ascii="Times New Roman" w:hAnsi="Times New Roman"/>
          <w:bCs/>
          <w:color w:val="000000"/>
          <w:sz w:val="20"/>
          <w:szCs w:val="20"/>
          <w:highlight w:val="yellow"/>
        </w:rPr>
      </w:pPr>
    </w:p>
    <w:p w14:paraId="553DE02B" w14:textId="77777777" w:rsidR="002D3768" w:rsidRPr="00BB4D12" w:rsidRDefault="002D3768" w:rsidP="002D3768">
      <w:pPr>
        <w:spacing w:line="480" w:lineRule="auto"/>
        <w:jc w:val="both"/>
        <w:rPr>
          <w:rFonts w:ascii="Times New Roman" w:hAnsi="Times New Roman"/>
          <w:color w:val="000000"/>
          <w:sz w:val="24"/>
          <w:szCs w:val="24"/>
          <w:shd w:val="clear" w:color="auto" w:fill="FFFFFF"/>
        </w:rPr>
      </w:pPr>
      <w:r w:rsidRPr="00BB4D12">
        <w:rPr>
          <w:rFonts w:ascii="Times New Roman" w:hAnsi="Times New Roman"/>
          <w:b/>
          <w:bCs/>
          <w:color w:val="000000"/>
          <w:sz w:val="24"/>
          <w:szCs w:val="24"/>
          <w:shd w:val="clear" w:color="auto" w:fill="FFFFFF"/>
        </w:rPr>
        <w:t>Quantum yield-</w:t>
      </w:r>
      <w:r w:rsidRPr="00BB4D12">
        <w:rPr>
          <w:rFonts w:ascii="Times New Roman" w:hAnsi="Times New Roman"/>
          <w:color w:val="000000"/>
          <w:sz w:val="24"/>
          <w:szCs w:val="24"/>
          <w:shd w:val="clear" w:color="auto" w:fill="FFFFFF"/>
        </w:rPr>
        <w:t xml:space="preserve"> The quantum yield (Q) is ratio of photon absorb to photon emitted which help to determine the comparative yield of desired sample (CDs) with respect to standard sample. The quinine </w:t>
      </w:r>
      <w:proofErr w:type="spellStart"/>
      <w:r w:rsidRPr="00BB4D12">
        <w:rPr>
          <w:rFonts w:ascii="Times New Roman" w:hAnsi="Times New Roman"/>
          <w:color w:val="000000"/>
          <w:sz w:val="24"/>
          <w:szCs w:val="24"/>
          <w:shd w:val="clear" w:color="auto" w:fill="FFFFFF"/>
        </w:rPr>
        <w:t>sul</w:t>
      </w:r>
      <w:r w:rsidR="008905FD" w:rsidRPr="00BB4D12">
        <w:rPr>
          <w:rFonts w:ascii="Times New Roman" w:hAnsi="Times New Roman"/>
          <w:color w:val="000000"/>
          <w:sz w:val="24"/>
          <w:szCs w:val="24"/>
          <w:shd w:val="clear" w:color="auto" w:fill="FFFFFF"/>
        </w:rPr>
        <w:t>f</w:t>
      </w:r>
      <w:r w:rsidRPr="00BB4D12">
        <w:rPr>
          <w:rFonts w:ascii="Times New Roman" w:hAnsi="Times New Roman"/>
          <w:color w:val="000000"/>
          <w:sz w:val="24"/>
          <w:szCs w:val="24"/>
          <w:shd w:val="clear" w:color="auto" w:fill="FFFFFF"/>
        </w:rPr>
        <w:t>ate</w:t>
      </w:r>
      <w:proofErr w:type="spellEnd"/>
      <w:r w:rsidRPr="00BB4D12">
        <w:rPr>
          <w:rFonts w:ascii="Times New Roman" w:hAnsi="Times New Roman"/>
          <w:color w:val="000000"/>
          <w:sz w:val="24"/>
          <w:szCs w:val="24"/>
          <w:shd w:val="clear" w:color="auto" w:fill="FFFFFF"/>
        </w:rPr>
        <w:t xml:space="preserve"> used as standard sample in the experiment. The quantum yield of PPCCDs and CCDs were calculated using the following equation.</w:t>
      </w:r>
      <w:r w:rsidRPr="00BB4D12">
        <w:t xml:space="preserve"> </w:t>
      </w:r>
    </w:p>
    <w:p w14:paraId="41CDA4F1" w14:textId="22CA4B4F" w:rsidR="002D3768" w:rsidRPr="00BB4D12" w:rsidRDefault="002D3768" w:rsidP="002D3768">
      <w:pPr>
        <w:autoSpaceDE w:val="0"/>
        <w:autoSpaceDN w:val="0"/>
        <w:adjustRightInd w:val="0"/>
        <w:spacing w:after="0" w:line="480" w:lineRule="auto"/>
        <w:jc w:val="both"/>
        <w:rPr>
          <w:rFonts w:ascii="Times New Roman" w:hAnsi="Times New Roman"/>
          <w:b/>
          <w:bCs/>
          <w:sz w:val="24"/>
          <w:szCs w:val="24"/>
        </w:rPr>
      </w:pPr>
      <w:r w:rsidRPr="00BB4D12">
        <w:rPr>
          <w:rFonts w:ascii="Times New Roman" w:hAnsi="Times New Roman"/>
          <w:color w:val="000000"/>
          <w:sz w:val="24"/>
          <w:szCs w:val="24"/>
          <w:shd w:val="clear" w:color="auto" w:fill="FFFFFF"/>
        </w:rPr>
        <w:t xml:space="preserve">                        </w:t>
      </w:r>
      <w:r w:rsidRPr="00BB4D12">
        <w:rPr>
          <w:rFonts w:ascii="Times New Roman" w:hAnsi="Times New Roman"/>
          <w:b/>
          <w:bCs/>
          <w:sz w:val="24"/>
          <w:szCs w:val="24"/>
        </w:rPr>
        <w:t>Quantum Yield (Q) = Q</w:t>
      </w:r>
      <w:r w:rsidRPr="00BB4D12">
        <w:rPr>
          <w:rFonts w:ascii="Times New Roman" w:hAnsi="Times New Roman"/>
          <w:b/>
          <w:bCs/>
          <w:sz w:val="24"/>
          <w:szCs w:val="24"/>
          <w:vertAlign w:val="subscript"/>
        </w:rPr>
        <w:t xml:space="preserve">R </w:t>
      </w:r>
      <w:r w:rsidRPr="00BB4D12">
        <w:rPr>
          <w:rFonts w:ascii="Times New Roman" w:hAnsi="Times New Roman"/>
          <w:b/>
          <w:bCs/>
          <w:sz w:val="24"/>
          <w:szCs w:val="24"/>
        </w:rPr>
        <w:fldChar w:fldCharType="begin"/>
      </w:r>
      <w:r w:rsidRPr="00BB4D12">
        <w:rPr>
          <w:rFonts w:ascii="Times New Roman" w:hAnsi="Times New Roman"/>
          <w:b/>
          <w:bCs/>
          <w:sz w:val="24"/>
          <w:szCs w:val="24"/>
        </w:rPr>
        <w:instrText xml:space="preserve"> QUOTE </w:instrText>
      </w:r>
      <w:r w:rsidR="00524340" w:rsidRPr="00BB4D12">
        <w:rPr>
          <w:b/>
          <w:bCs/>
          <w:noProof/>
          <w:position w:val="-18"/>
          <w:sz w:val="24"/>
          <w:szCs w:val="24"/>
        </w:rPr>
        <w:drawing>
          <wp:inline distT="0" distB="0" distL="0" distR="0" wp14:anchorId="0F927B5E" wp14:editId="4C1A2A01">
            <wp:extent cx="883920" cy="297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3920" cy="297180"/>
                    </a:xfrm>
                    <a:prstGeom prst="rect">
                      <a:avLst/>
                    </a:prstGeom>
                    <a:noFill/>
                    <a:ln>
                      <a:noFill/>
                    </a:ln>
                  </pic:spPr>
                </pic:pic>
              </a:graphicData>
            </a:graphic>
          </wp:inline>
        </w:drawing>
      </w:r>
      <w:r w:rsidRPr="00BB4D12">
        <w:rPr>
          <w:rFonts w:ascii="Times New Roman" w:hAnsi="Times New Roman"/>
          <w:b/>
          <w:bCs/>
          <w:sz w:val="24"/>
          <w:szCs w:val="24"/>
        </w:rPr>
        <w:instrText xml:space="preserve"> </w:instrText>
      </w:r>
      <w:r w:rsidRPr="00BB4D12">
        <w:rPr>
          <w:rFonts w:ascii="Times New Roman" w:hAnsi="Times New Roman"/>
          <w:b/>
          <w:bCs/>
          <w:sz w:val="24"/>
          <w:szCs w:val="24"/>
        </w:rPr>
        <w:fldChar w:fldCharType="separate"/>
      </w:r>
      <w:r w:rsidR="00524340" w:rsidRPr="00BB4D12">
        <w:rPr>
          <w:b/>
          <w:bCs/>
          <w:noProof/>
          <w:position w:val="-18"/>
          <w:sz w:val="24"/>
          <w:szCs w:val="24"/>
        </w:rPr>
        <w:drawing>
          <wp:inline distT="0" distB="0" distL="0" distR="0" wp14:anchorId="01937E8C" wp14:editId="3CEF3B35">
            <wp:extent cx="883920" cy="2971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3920" cy="297180"/>
                    </a:xfrm>
                    <a:prstGeom prst="rect">
                      <a:avLst/>
                    </a:prstGeom>
                    <a:noFill/>
                    <a:ln>
                      <a:noFill/>
                    </a:ln>
                  </pic:spPr>
                </pic:pic>
              </a:graphicData>
            </a:graphic>
          </wp:inline>
        </w:drawing>
      </w:r>
      <w:r w:rsidRPr="00BB4D12">
        <w:rPr>
          <w:rFonts w:ascii="Times New Roman" w:hAnsi="Times New Roman"/>
          <w:b/>
          <w:bCs/>
          <w:sz w:val="24"/>
          <w:szCs w:val="24"/>
        </w:rPr>
        <w:fldChar w:fldCharType="end"/>
      </w:r>
      <w:r w:rsidRPr="00BB4D12">
        <w:rPr>
          <w:rFonts w:ascii="Times New Roman" w:hAnsi="Times New Roman"/>
          <w:b/>
          <w:bCs/>
          <w:sz w:val="24"/>
          <w:szCs w:val="24"/>
        </w:rPr>
        <w:t xml:space="preserve">                         </w:t>
      </w:r>
    </w:p>
    <w:p w14:paraId="093D8ACB" w14:textId="77777777" w:rsidR="002D3768" w:rsidRPr="00BB4D12" w:rsidRDefault="002D3768" w:rsidP="002D3768">
      <w:pPr>
        <w:spacing w:line="480" w:lineRule="auto"/>
        <w:jc w:val="both"/>
        <w:rPr>
          <w:rFonts w:ascii="Times New Roman" w:hAnsi="Times New Roman"/>
          <w:color w:val="000000"/>
          <w:sz w:val="24"/>
          <w:szCs w:val="24"/>
          <w:shd w:val="clear" w:color="auto" w:fill="FFFFFF"/>
        </w:rPr>
      </w:pPr>
      <w:r w:rsidRPr="00BB4D12">
        <w:rPr>
          <w:rFonts w:ascii="Times New Roman" w:hAnsi="Times New Roman"/>
          <w:color w:val="000000"/>
          <w:sz w:val="24"/>
          <w:szCs w:val="24"/>
          <w:shd w:val="clear" w:color="auto" w:fill="FFFFFF"/>
        </w:rPr>
        <w:lastRenderedPageBreak/>
        <w:t>Where, A and A</w:t>
      </w:r>
      <w:r w:rsidRPr="00BB4D12">
        <w:rPr>
          <w:rFonts w:ascii="Times New Roman" w:hAnsi="Times New Roman"/>
          <w:color w:val="000000"/>
          <w:sz w:val="24"/>
          <w:szCs w:val="24"/>
          <w:shd w:val="clear" w:color="auto" w:fill="FFFFFF"/>
          <w:vertAlign w:val="subscript"/>
        </w:rPr>
        <w:t>R</w:t>
      </w:r>
      <w:r w:rsidRPr="00BB4D12">
        <w:rPr>
          <w:rFonts w:ascii="Times New Roman" w:hAnsi="Times New Roman"/>
          <w:color w:val="000000"/>
          <w:sz w:val="24"/>
          <w:szCs w:val="24"/>
          <w:shd w:val="clear" w:color="auto" w:fill="FFFFFF"/>
        </w:rPr>
        <w:t xml:space="preserve"> belongs to absorbance, I and I</w:t>
      </w:r>
      <w:r w:rsidRPr="00BB4D12">
        <w:rPr>
          <w:rFonts w:ascii="Times New Roman" w:hAnsi="Times New Roman"/>
          <w:color w:val="000000"/>
          <w:sz w:val="24"/>
          <w:szCs w:val="24"/>
          <w:shd w:val="clear" w:color="auto" w:fill="FFFFFF"/>
          <w:vertAlign w:val="subscript"/>
        </w:rPr>
        <w:t xml:space="preserve">R </w:t>
      </w:r>
      <w:r w:rsidRPr="00BB4D12">
        <w:rPr>
          <w:rFonts w:ascii="Times New Roman" w:hAnsi="Times New Roman"/>
          <w:color w:val="000000"/>
          <w:sz w:val="24"/>
          <w:szCs w:val="24"/>
          <w:shd w:val="clear" w:color="auto" w:fill="FFFFFF"/>
        </w:rPr>
        <w:t xml:space="preserve">is integrated emission intensity, n and </w:t>
      </w:r>
      <w:proofErr w:type="spellStart"/>
      <w:r w:rsidRPr="00BB4D12">
        <w:rPr>
          <w:rFonts w:ascii="Times New Roman" w:hAnsi="Times New Roman"/>
          <w:color w:val="000000"/>
          <w:sz w:val="24"/>
          <w:szCs w:val="24"/>
          <w:shd w:val="clear" w:color="auto" w:fill="FFFFFF"/>
        </w:rPr>
        <w:t>n</w:t>
      </w:r>
      <w:r w:rsidRPr="00BB4D12">
        <w:rPr>
          <w:rFonts w:ascii="Times New Roman" w:hAnsi="Times New Roman"/>
          <w:color w:val="000000"/>
          <w:sz w:val="24"/>
          <w:szCs w:val="24"/>
          <w:shd w:val="clear" w:color="auto" w:fill="FFFFFF"/>
          <w:vertAlign w:val="subscript"/>
        </w:rPr>
        <w:t>R</w:t>
      </w:r>
      <w:proofErr w:type="spellEnd"/>
      <w:r w:rsidRPr="00BB4D12">
        <w:rPr>
          <w:rFonts w:ascii="Times New Roman" w:hAnsi="Times New Roman"/>
          <w:color w:val="000000"/>
          <w:sz w:val="24"/>
          <w:szCs w:val="24"/>
          <w:shd w:val="clear" w:color="auto" w:fill="FFFFFF"/>
        </w:rPr>
        <w:t xml:space="preserve"> is refractive index of solvent used for both CDs and reference, and Q</w:t>
      </w:r>
      <w:r w:rsidRPr="00BB4D12">
        <w:rPr>
          <w:rFonts w:ascii="Times New Roman" w:hAnsi="Times New Roman"/>
          <w:color w:val="000000"/>
          <w:sz w:val="24"/>
          <w:szCs w:val="24"/>
          <w:shd w:val="clear" w:color="auto" w:fill="FFFFFF"/>
          <w:vertAlign w:val="subscript"/>
        </w:rPr>
        <w:t>R</w:t>
      </w:r>
      <w:r w:rsidRPr="00BB4D12">
        <w:rPr>
          <w:rFonts w:ascii="Times New Roman" w:hAnsi="Times New Roman"/>
          <w:color w:val="000000"/>
          <w:sz w:val="24"/>
          <w:szCs w:val="24"/>
          <w:shd w:val="clear" w:color="auto" w:fill="FFFFFF"/>
        </w:rPr>
        <w:t xml:space="preserve"> refers the quantum yield of standard quinine </w:t>
      </w:r>
      <w:proofErr w:type="spellStart"/>
      <w:r w:rsidRPr="00BB4D12">
        <w:rPr>
          <w:rFonts w:ascii="Times New Roman" w:hAnsi="Times New Roman"/>
          <w:color w:val="000000"/>
          <w:sz w:val="24"/>
          <w:szCs w:val="24"/>
          <w:shd w:val="clear" w:color="auto" w:fill="FFFFFF"/>
        </w:rPr>
        <w:t>sul</w:t>
      </w:r>
      <w:r w:rsidR="008905FD" w:rsidRPr="00BB4D12">
        <w:rPr>
          <w:rFonts w:ascii="Times New Roman" w:hAnsi="Times New Roman"/>
          <w:color w:val="000000"/>
          <w:sz w:val="24"/>
          <w:szCs w:val="24"/>
          <w:shd w:val="clear" w:color="auto" w:fill="FFFFFF"/>
        </w:rPr>
        <w:t>f</w:t>
      </w:r>
      <w:r w:rsidRPr="00BB4D12">
        <w:rPr>
          <w:rFonts w:ascii="Times New Roman" w:hAnsi="Times New Roman"/>
          <w:color w:val="000000"/>
          <w:sz w:val="24"/>
          <w:szCs w:val="24"/>
          <w:shd w:val="clear" w:color="auto" w:fill="FFFFFF"/>
        </w:rPr>
        <w:t>ate</w:t>
      </w:r>
      <w:proofErr w:type="spellEnd"/>
      <w:r w:rsidRPr="00BB4D12">
        <w:rPr>
          <w:rFonts w:ascii="Times New Roman" w:hAnsi="Times New Roman"/>
          <w:color w:val="000000"/>
          <w:sz w:val="24"/>
          <w:szCs w:val="24"/>
          <w:shd w:val="clear" w:color="auto" w:fill="FFFFFF"/>
        </w:rPr>
        <w:t xml:space="preserve">. The calculation of quantum yield of CCDs and PPCCDs were obtain from the slope of </w:t>
      </w:r>
      <w:r w:rsidRPr="00BB4D12">
        <w:rPr>
          <w:rFonts w:ascii="Times New Roman" w:hAnsi="Times New Roman"/>
          <w:b/>
          <w:bCs/>
          <w:color w:val="000000"/>
          <w:sz w:val="24"/>
          <w:szCs w:val="24"/>
          <w:shd w:val="clear" w:color="auto" w:fill="FFFFFF"/>
        </w:rPr>
        <w:t>Fig S</w:t>
      </w:r>
      <w:r w:rsidR="009E6FCD" w:rsidRPr="00BB4D12">
        <w:rPr>
          <w:rFonts w:ascii="Times New Roman" w:hAnsi="Times New Roman"/>
          <w:b/>
          <w:bCs/>
          <w:color w:val="000000"/>
          <w:sz w:val="24"/>
          <w:szCs w:val="24"/>
          <w:shd w:val="clear" w:color="auto" w:fill="FFFFFF"/>
        </w:rPr>
        <w:t>4</w:t>
      </w:r>
      <w:r w:rsidRPr="00BB4D12">
        <w:rPr>
          <w:rFonts w:ascii="Times New Roman" w:hAnsi="Times New Roman"/>
          <w:color w:val="000000"/>
          <w:sz w:val="24"/>
          <w:szCs w:val="24"/>
          <w:shd w:val="clear" w:color="auto" w:fill="FFFFFF"/>
        </w:rPr>
        <w:t xml:space="preserve"> and are shown in </w:t>
      </w:r>
      <w:r w:rsidRPr="00BB4D12">
        <w:rPr>
          <w:rFonts w:ascii="Times New Roman" w:hAnsi="Times New Roman"/>
          <w:b/>
          <w:bCs/>
          <w:color w:val="000000"/>
          <w:sz w:val="24"/>
          <w:szCs w:val="24"/>
          <w:shd w:val="clear" w:color="auto" w:fill="FFFFFF"/>
        </w:rPr>
        <w:t>Table</w:t>
      </w:r>
      <w:r w:rsidR="00FF0E25" w:rsidRPr="00BB4D12">
        <w:rPr>
          <w:rFonts w:ascii="Times New Roman" w:hAnsi="Times New Roman"/>
          <w:b/>
          <w:bCs/>
          <w:color w:val="000000"/>
          <w:sz w:val="24"/>
          <w:szCs w:val="24"/>
          <w:shd w:val="clear" w:color="auto" w:fill="FFFFFF"/>
        </w:rPr>
        <w:t xml:space="preserve"> S1</w:t>
      </w:r>
      <w:r w:rsidRPr="00BB4D12">
        <w:rPr>
          <w:rFonts w:ascii="Times New Roman" w:hAnsi="Times New Roman"/>
          <w:color w:val="000000"/>
          <w:sz w:val="24"/>
          <w:szCs w:val="24"/>
          <w:shd w:val="clear" w:color="auto" w:fill="FFFFFF"/>
        </w:rPr>
        <w:t>.</w:t>
      </w:r>
    </w:p>
    <w:p w14:paraId="19024E0A" w14:textId="494F31B5" w:rsidR="002D3768" w:rsidRPr="00BB4D12" w:rsidRDefault="00524340" w:rsidP="002D3768">
      <w:pPr>
        <w:spacing w:line="480" w:lineRule="auto"/>
        <w:jc w:val="center"/>
        <w:rPr>
          <w:rFonts w:ascii="Times New Roman" w:hAnsi="Times New Roman"/>
          <w:b/>
          <w:bCs/>
          <w:sz w:val="24"/>
          <w:szCs w:val="24"/>
        </w:rPr>
      </w:pPr>
      <w:r w:rsidRPr="00BB4D12">
        <w:rPr>
          <w:rFonts w:ascii="Times New Roman" w:hAnsi="Times New Roman"/>
          <w:b/>
          <w:bCs/>
          <w:noProof/>
          <w:sz w:val="24"/>
          <w:szCs w:val="24"/>
        </w:rPr>
        <w:drawing>
          <wp:inline distT="0" distB="0" distL="0" distR="0" wp14:anchorId="126A7995" wp14:editId="760F702C">
            <wp:extent cx="5021580" cy="3550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1580" cy="3550920"/>
                    </a:xfrm>
                    <a:prstGeom prst="rect">
                      <a:avLst/>
                    </a:prstGeom>
                    <a:noFill/>
                    <a:ln>
                      <a:noFill/>
                    </a:ln>
                  </pic:spPr>
                </pic:pic>
              </a:graphicData>
            </a:graphic>
          </wp:inline>
        </w:drawing>
      </w:r>
    </w:p>
    <w:p w14:paraId="08788345" w14:textId="77777777" w:rsidR="002D3768" w:rsidRPr="00BB4D12" w:rsidRDefault="002D3768" w:rsidP="002D3768">
      <w:pPr>
        <w:spacing w:line="480" w:lineRule="auto"/>
        <w:rPr>
          <w:rFonts w:ascii="Times New Roman" w:hAnsi="Times New Roman"/>
          <w:b/>
          <w:bCs/>
          <w:sz w:val="24"/>
          <w:szCs w:val="24"/>
        </w:rPr>
      </w:pPr>
      <w:r w:rsidRPr="00BB4D12">
        <w:rPr>
          <w:rFonts w:ascii="Times New Roman" w:hAnsi="Times New Roman"/>
          <w:b/>
          <w:bCs/>
        </w:rPr>
        <w:t xml:space="preserve">Fig. S4 </w:t>
      </w:r>
      <w:r w:rsidRPr="00BB4D12">
        <w:rPr>
          <w:rFonts w:ascii="Times New Roman" w:hAnsi="Times New Roman"/>
        </w:rPr>
        <w:t xml:space="preserve">Quantum yield plot of PPCCDs and CCDs considering quinine </w:t>
      </w:r>
      <w:proofErr w:type="spellStart"/>
      <w:r w:rsidRPr="00BB4D12">
        <w:rPr>
          <w:rFonts w:ascii="Times New Roman" w:hAnsi="Times New Roman"/>
        </w:rPr>
        <w:t>sul</w:t>
      </w:r>
      <w:r w:rsidR="0038578B" w:rsidRPr="00BB4D12">
        <w:rPr>
          <w:rFonts w:ascii="Times New Roman" w:hAnsi="Times New Roman"/>
        </w:rPr>
        <w:t>f</w:t>
      </w:r>
      <w:r w:rsidRPr="00BB4D12">
        <w:rPr>
          <w:rFonts w:ascii="Times New Roman" w:hAnsi="Times New Roman"/>
        </w:rPr>
        <w:t>ate</w:t>
      </w:r>
      <w:proofErr w:type="spellEnd"/>
      <w:r w:rsidRPr="00BB4D12">
        <w:rPr>
          <w:rFonts w:ascii="Times New Roman" w:hAnsi="Times New Roman"/>
        </w:rPr>
        <w:t xml:space="preserve"> as standard.</w:t>
      </w:r>
    </w:p>
    <w:p w14:paraId="125092EF" w14:textId="77777777" w:rsidR="002D3768" w:rsidRPr="00BB4D12" w:rsidRDefault="002D3768" w:rsidP="002D3768">
      <w:pPr>
        <w:spacing w:line="480" w:lineRule="auto"/>
        <w:jc w:val="both"/>
        <w:rPr>
          <w:rFonts w:ascii="Times New Roman" w:hAnsi="Times New Roman"/>
          <w:b/>
          <w:bCs/>
          <w:sz w:val="24"/>
          <w:szCs w:val="24"/>
        </w:rPr>
      </w:pPr>
      <w:r w:rsidRPr="00BB4D12">
        <w:rPr>
          <w:rFonts w:ascii="Times New Roman" w:hAnsi="Times New Roman"/>
          <w:b/>
          <w:bCs/>
          <w:sz w:val="24"/>
          <w:szCs w:val="24"/>
        </w:rPr>
        <w:t xml:space="preserve">Table S.1 </w:t>
      </w:r>
      <w:r w:rsidRPr="00BB4D12">
        <w:rPr>
          <w:rFonts w:ascii="Times New Roman" w:hAnsi="Times New Roman"/>
          <w:sz w:val="24"/>
          <w:szCs w:val="24"/>
        </w:rPr>
        <w:t xml:space="preserve">Calculation of Quantum yield of CCDs and PPCCDs considering quinine </w:t>
      </w:r>
      <w:proofErr w:type="spellStart"/>
      <w:r w:rsidRPr="00BB4D12">
        <w:rPr>
          <w:rFonts w:ascii="Times New Roman" w:hAnsi="Times New Roman"/>
          <w:sz w:val="24"/>
          <w:szCs w:val="24"/>
        </w:rPr>
        <w:t>sul</w:t>
      </w:r>
      <w:r w:rsidR="0038578B" w:rsidRPr="00BB4D12">
        <w:rPr>
          <w:rFonts w:ascii="Times New Roman" w:hAnsi="Times New Roman"/>
          <w:sz w:val="24"/>
          <w:szCs w:val="24"/>
        </w:rPr>
        <w:t>f</w:t>
      </w:r>
      <w:r w:rsidRPr="00BB4D12">
        <w:rPr>
          <w:rFonts w:ascii="Times New Roman" w:hAnsi="Times New Roman"/>
          <w:sz w:val="24"/>
          <w:szCs w:val="24"/>
        </w:rPr>
        <w:t>ate</w:t>
      </w:r>
      <w:proofErr w:type="spellEnd"/>
      <w:r w:rsidRPr="00BB4D12">
        <w:rPr>
          <w:rFonts w:ascii="Times New Roman" w:hAnsi="Times New Roman"/>
          <w:sz w:val="24"/>
          <w:szCs w:val="24"/>
        </w:rPr>
        <w:t xml:space="preserve"> as standard.</w:t>
      </w:r>
    </w:p>
    <w:tbl>
      <w:tblPr>
        <w:tblStyle w:val="TableGrid"/>
        <w:tblW w:w="0" w:type="auto"/>
        <w:tblLayout w:type="fixed"/>
        <w:tblLook w:val="04A0" w:firstRow="1" w:lastRow="0" w:firstColumn="1" w:lastColumn="0" w:noHBand="0" w:noVBand="1"/>
      </w:tblPr>
      <w:tblGrid>
        <w:gridCol w:w="959"/>
        <w:gridCol w:w="1984"/>
        <w:gridCol w:w="1134"/>
        <w:gridCol w:w="3119"/>
        <w:gridCol w:w="2327"/>
      </w:tblGrid>
      <w:tr w:rsidR="002D3768" w:rsidRPr="00BB4D12" w14:paraId="57A2CA97" w14:textId="77777777" w:rsidTr="008F00A6">
        <w:tc>
          <w:tcPr>
            <w:tcW w:w="959" w:type="dxa"/>
          </w:tcPr>
          <w:p w14:paraId="38219C63" w14:textId="77777777" w:rsidR="002D3768" w:rsidRPr="00BB4D12" w:rsidRDefault="002D3768" w:rsidP="008F00A6">
            <w:pPr>
              <w:spacing w:line="480" w:lineRule="auto"/>
              <w:jc w:val="both"/>
              <w:rPr>
                <w:rFonts w:ascii="Times New Roman" w:hAnsi="Times New Roman"/>
                <w:b/>
                <w:bCs/>
                <w:sz w:val="24"/>
                <w:szCs w:val="24"/>
              </w:rPr>
            </w:pPr>
            <w:r w:rsidRPr="00BB4D12">
              <w:rPr>
                <w:rFonts w:ascii="Times New Roman" w:hAnsi="Times New Roman"/>
                <w:b/>
                <w:bCs/>
                <w:sz w:val="24"/>
                <w:szCs w:val="24"/>
              </w:rPr>
              <w:t>S. No.</w:t>
            </w:r>
          </w:p>
        </w:tc>
        <w:tc>
          <w:tcPr>
            <w:tcW w:w="1984" w:type="dxa"/>
          </w:tcPr>
          <w:p w14:paraId="7C795954" w14:textId="77777777" w:rsidR="002D3768" w:rsidRPr="00BB4D12" w:rsidRDefault="002D3768" w:rsidP="008F00A6">
            <w:pPr>
              <w:spacing w:line="480" w:lineRule="auto"/>
              <w:jc w:val="both"/>
              <w:rPr>
                <w:rFonts w:ascii="Times New Roman" w:hAnsi="Times New Roman"/>
                <w:b/>
                <w:bCs/>
                <w:sz w:val="24"/>
                <w:szCs w:val="24"/>
              </w:rPr>
            </w:pPr>
            <w:r w:rsidRPr="00BB4D12">
              <w:rPr>
                <w:rFonts w:ascii="Times New Roman" w:hAnsi="Times New Roman"/>
                <w:b/>
                <w:bCs/>
                <w:sz w:val="24"/>
                <w:szCs w:val="24"/>
              </w:rPr>
              <w:t>Sample</w:t>
            </w:r>
          </w:p>
        </w:tc>
        <w:tc>
          <w:tcPr>
            <w:tcW w:w="1134" w:type="dxa"/>
          </w:tcPr>
          <w:p w14:paraId="5664E3C6" w14:textId="77777777" w:rsidR="002D3768" w:rsidRPr="00BB4D12" w:rsidRDefault="002D3768" w:rsidP="008F00A6">
            <w:pPr>
              <w:spacing w:line="480" w:lineRule="auto"/>
              <w:jc w:val="both"/>
              <w:rPr>
                <w:rFonts w:ascii="Times New Roman" w:hAnsi="Times New Roman"/>
                <w:b/>
                <w:bCs/>
                <w:sz w:val="24"/>
                <w:szCs w:val="24"/>
              </w:rPr>
            </w:pPr>
            <w:r w:rsidRPr="00BB4D12">
              <w:rPr>
                <w:rFonts w:ascii="Times New Roman" w:hAnsi="Times New Roman"/>
                <w:b/>
                <w:bCs/>
                <w:sz w:val="24"/>
                <w:szCs w:val="24"/>
              </w:rPr>
              <w:t xml:space="preserve">Slope </w:t>
            </w:r>
          </w:p>
        </w:tc>
        <w:tc>
          <w:tcPr>
            <w:tcW w:w="3119" w:type="dxa"/>
          </w:tcPr>
          <w:p w14:paraId="7783114C" w14:textId="77777777" w:rsidR="002D3768" w:rsidRPr="00BB4D12" w:rsidRDefault="002D3768" w:rsidP="008F00A6">
            <w:pPr>
              <w:spacing w:line="480" w:lineRule="auto"/>
              <w:jc w:val="both"/>
              <w:rPr>
                <w:rFonts w:ascii="Times New Roman" w:hAnsi="Times New Roman"/>
                <w:b/>
                <w:bCs/>
                <w:sz w:val="24"/>
                <w:szCs w:val="24"/>
              </w:rPr>
            </w:pPr>
            <w:r w:rsidRPr="00BB4D12">
              <w:rPr>
                <w:rFonts w:ascii="Times New Roman" w:hAnsi="Times New Roman"/>
                <w:b/>
                <w:bCs/>
                <w:sz w:val="24"/>
                <w:szCs w:val="24"/>
              </w:rPr>
              <w:t>Refractive index solvent (ɳ)</w:t>
            </w:r>
          </w:p>
        </w:tc>
        <w:tc>
          <w:tcPr>
            <w:tcW w:w="2327" w:type="dxa"/>
          </w:tcPr>
          <w:p w14:paraId="7A3B7FCD" w14:textId="77777777" w:rsidR="002D3768" w:rsidRPr="00BB4D12" w:rsidRDefault="002D3768" w:rsidP="008F00A6">
            <w:pPr>
              <w:spacing w:line="480" w:lineRule="auto"/>
              <w:jc w:val="both"/>
              <w:rPr>
                <w:rFonts w:ascii="Times New Roman" w:hAnsi="Times New Roman"/>
                <w:b/>
                <w:bCs/>
                <w:sz w:val="24"/>
                <w:szCs w:val="24"/>
              </w:rPr>
            </w:pPr>
            <w:r w:rsidRPr="00BB4D12">
              <w:rPr>
                <w:rFonts w:ascii="Times New Roman" w:hAnsi="Times New Roman"/>
                <w:b/>
                <w:bCs/>
                <w:sz w:val="24"/>
                <w:szCs w:val="24"/>
              </w:rPr>
              <w:t>Quantum Yield (%)</w:t>
            </w:r>
          </w:p>
        </w:tc>
      </w:tr>
      <w:tr w:rsidR="002D3768" w:rsidRPr="00BB4D12" w14:paraId="224C7598" w14:textId="77777777" w:rsidTr="008F00A6">
        <w:tc>
          <w:tcPr>
            <w:tcW w:w="959" w:type="dxa"/>
          </w:tcPr>
          <w:p w14:paraId="1B42EB15" w14:textId="77777777" w:rsidR="002D3768" w:rsidRPr="00BB4D12" w:rsidRDefault="002D3768" w:rsidP="008F00A6">
            <w:pPr>
              <w:spacing w:line="480" w:lineRule="auto"/>
              <w:jc w:val="both"/>
              <w:rPr>
                <w:rFonts w:ascii="Times New Roman" w:hAnsi="Times New Roman"/>
                <w:b/>
                <w:bCs/>
                <w:sz w:val="24"/>
                <w:szCs w:val="24"/>
              </w:rPr>
            </w:pPr>
            <w:r w:rsidRPr="00BB4D12">
              <w:rPr>
                <w:rFonts w:ascii="Times New Roman" w:hAnsi="Times New Roman"/>
                <w:b/>
                <w:bCs/>
                <w:sz w:val="24"/>
                <w:szCs w:val="24"/>
              </w:rPr>
              <w:t>1</w:t>
            </w:r>
          </w:p>
        </w:tc>
        <w:tc>
          <w:tcPr>
            <w:tcW w:w="1984" w:type="dxa"/>
          </w:tcPr>
          <w:p w14:paraId="71415181" w14:textId="77777777" w:rsidR="002D3768" w:rsidRPr="00BB4D12" w:rsidRDefault="002D3768" w:rsidP="008F00A6">
            <w:pPr>
              <w:spacing w:line="480" w:lineRule="auto"/>
              <w:jc w:val="both"/>
              <w:rPr>
                <w:rFonts w:ascii="Times New Roman" w:hAnsi="Times New Roman"/>
                <w:sz w:val="24"/>
                <w:szCs w:val="24"/>
              </w:rPr>
            </w:pPr>
            <w:r w:rsidRPr="00BB4D12">
              <w:rPr>
                <w:rFonts w:ascii="Times New Roman" w:hAnsi="Times New Roman"/>
                <w:sz w:val="24"/>
                <w:szCs w:val="24"/>
              </w:rPr>
              <w:t xml:space="preserve">Quinine </w:t>
            </w:r>
            <w:proofErr w:type="spellStart"/>
            <w:r w:rsidRPr="00BB4D12">
              <w:rPr>
                <w:rFonts w:ascii="Times New Roman" w:hAnsi="Times New Roman"/>
                <w:sz w:val="24"/>
                <w:szCs w:val="24"/>
              </w:rPr>
              <w:t>sul</w:t>
            </w:r>
            <w:r w:rsidR="008905FD" w:rsidRPr="00BB4D12">
              <w:rPr>
                <w:rFonts w:ascii="Times New Roman" w:hAnsi="Times New Roman"/>
                <w:sz w:val="24"/>
                <w:szCs w:val="24"/>
              </w:rPr>
              <w:t>f</w:t>
            </w:r>
            <w:r w:rsidRPr="00BB4D12">
              <w:rPr>
                <w:rFonts w:ascii="Times New Roman" w:hAnsi="Times New Roman"/>
                <w:sz w:val="24"/>
                <w:szCs w:val="24"/>
              </w:rPr>
              <w:t>ate</w:t>
            </w:r>
            <w:proofErr w:type="spellEnd"/>
          </w:p>
        </w:tc>
        <w:tc>
          <w:tcPr>
            <w:tcW w:w="1134" w:type="dxa"/>
          </w:tcPr>
          <w:p w14:paraId="71E0A9A3" w14:textId="77777777" w:rsidR="002D3768" w:rsidRPr="00BB4D12" w:rsidRDefault="002D3768" w:rsidP="008F00A6">
            <w:pPr>
              <w:spacing w:line="480" w:lineRule="auto"/>
              <w:jc w:val="both"/>
              <w:rPr>
                <w:rFonts w:ascii="Times New Roman" w:hAnsi="Times New Roman"/>
                <w:sz w:val="24"/>
                <w:szCs w:val="24"/>
              </w:rPr>
            </w:pPr>
            <w:r w:rsidRPr="00BB4D12">
              <w:rPr>
                <w:rFonts w:ascii="Times New Roman" w:hAnsi="Times New Roman"/>
                <w:sz w:val="24"/>
                <w:szCs w:val="24"/>
              </w:rPr>
              <w:t>2315780</w:t>
            </w:r>
          </w:p>
        </w:tc>
        <w:tc>
          <w:tcPr>
            <w:tcW w:w="3119" w:type="dxa"/>
          </w:tcPr>
          <w:p w14:paraId="52D8C215" w14:textId="77777777" w:rsidR="002D3768" w:rsidRPr="00BB4D12" w:rsidRDefault="002D3768" w:rsidP="008F00A6">
            <w:pPr>
              <w:spacing w:line="480" w:lineRule="auto"/>
              <w:jc w:val="both"/>
              <w:rPr>
                <w:rFonts w:ascii="Times New Roman" w:hAnsi="Times New Roman"/>
                <w:sz w:val="24"/>
                <w:szCs w:val="24"/>
              </w:rPr>
            </w:pPr>
            <w:r w:rsidRPr="00BB4D12">
              <w:rPr>
                <w:rFonts w:ascii="Times New Roman" w:hAnsi="Times New Roman"/>
                <w:sz w:val="24"/>
                <w:szCs w:val="24"/>
              </w:rPr>
              <w:t>1.33</w:t>
            </w:r>
          </w:p>
        </w:tc>
        <w:tc>
          <w:tcPr>
            <w:tcW w:w="2327" w:type="dxa"/>
          </w:tcPr>
          <w:p w14:paraId="609A80CF" w14:textId="77777777" w:rsidR="002D3768" w:rsidRPr="00BB4D12" w:rsidRDefault="002D3768" w:rsidP="008F00A6">
            <w:pPr>
              <w:spacing w:line="480" w:lineRule="auto"/>
              <w:jc w:val="both"/>
              <w:rPr>
                <w:rFonts w:ascii="Times New Roman" w:hAnsi="Times New Roman"/>
                <w:sz w:val="24"/>
                <w:szCs w:val="24"/>
              </w:rPr>
            </w:pPr>
            <w:r w:rsidRPr="00BB4D12">
              <w:rPr>
                <w:rFonts w:ascii="Times New Roman" w:hAnsi="Times New Roman"/>
                <w:sz w:val="24"/>
                <w:szCs w:val="24"/>
              </w:rPr>
              <w:t>54</w:t>
            </w:r>
          </w:p>
        </w:tc>
      </w:tr>
      <w:tr w:rsidR="002D3768" w:rsidRPr="00BB4D12" w14:paraId="22185ECA" w14:textId="77777777" w:rsidTr="008F00A6">
        <w:tc>
          <w:tcPr>
            <w:tcW w:w="959" w:type="dxa"/>
          </w:tcPr>
          <w:p w14:paraId="6A480D60" w14:textId="77777777" w:rsidR="002D3768" w:rsidRPr="00BB4D12" w:rsidRDefault="002D3768" w:rsidP="008F00A6">
            <w:pPr>
              <w:spacing w:line="480" w:lineRule="auto"/>
              <w:jc w:val="both"/>
              <w:rPr>
                <w:rFonts w:ascii="Times New Roman" w:hAnsi="Times New Roman"/>
                <w:b/>
                <w:bCs/>
                <w:sz w:val="24"/>
                <w:szCs w:val="24"/>
              </w:rPr>
            </w:pPr>
            <w:r w:rsidRPr="00BB4D12">
              <w:rPr>
                <w:rFonts w:ascii="Times New Roman" w:hAnsi="Times New Roman"/>
                <w:b/>
                <w:bCs/>
                <w:sz w:val="24"/>
                <w:szCs w:val="24"/>
              </w:rPr>
              <w:t>2</w:t>
            </w:r>
          </w:p>
        </w:tc>
        <w:tc>
          <w:tcPr>
            <w:tcW w:w="1984" w:type="dxa"/>
          </w:tcPr>
          <w:p w14:paraId="69360ED0" w14:textId="77777777" w:rsidR="002D3768" w:rsidRPr="00BB4D12" w:rsidRDefault="002D3768" w:rsidP="008F00A6">
            <w:pPr>
              <w:spacing w:line="480" w:lineRule="auto"/>
              <w:jc w:val="both"/>
              <w:rPr>
                <w:rFonts w:ascii="Times New Roman" w:hAnsi="Times New Roman"/>
                <w:sz w:val="24"/>
                <w:szCs w:val="24"/>
              </w:rPr>
            </w:pPr>
            <w:r w:rsidRPr="00BB4D12">
              <w:rPr>
                <w:rFonts w:ascii="Times New Roman" w:hAnsi="Times New Roman"/>
                <w:sz w:val="24"/>
                <w:szCs w:val="24"/>
              </w:rPr>
              <w:t>CCDs</w:t>
            </w:r>
          </w:p>
        </w:tc>
        <w:tc>
          <w:tcPr>
            <w:tcW w:w="1134" w:type="dxa"/>
          </w:tcPr>
          <w:p w14:paraId="59E333D4" w14:textId="77777777" w:rsidR="002D3768" w:rsidRPr="00BB4D12" w:rsidRDefault="002D3768" w:rsidP="008F00A6">
            <w:pPr>
              <w:spacing w:line="480" w:lineRule="auto"/>
              <w:jc w:val="both"/>
              <w:rPr>
                <w:rFonts w:ascii="Times New Roman" w:hAnsi="Times New Roman"/>
                <w:sz w:val="24"/>
                <w:szCs w:val="24"/>
              </w:rPr>
            </w:pPr>
            <w:r w:rsidRPr="00BB4D12">
              <w:rPr>
                <w:rFonts w:ascii="Times New Roman" w:hAnsi="Times New Roman"/>
                <w:sz w:val="24"/>
                <w:szCs w:val="24"/>
              </w:rPr>
              <w:t>327486</w:t>
            </w:r>
          </w:p>
        </w:tc>
        <w:tc>
          <w:tcPr>
            <w:tcW w:w="3119" w:type="dxa"/>
          </w:tcPr>
          <w:p w14:paraId="7C4825ED" w14:textId="77777777" w:rsidR="002D3768" w:rsidRPr="00BB4D12" w:rsidRDefault="002D3768" w:rsidP="008F00A6">
            <w:pPr>
              <w:spacing w:line="480" w:lineRule="auto"/>
              <w:jc w:val="both"/>
              <w:rPr>
                <w:rFonts w:ascii="Times New Roman" w:hAnsi="Times New Roman"/>
                <w:sz w:val="24"/>
                <w:szCs w:val="24"/>
              </w:rPr>
            </w:pPr>
            <w:r w:rsidRPr="00BB4D12">
              <w:rPr>
                <w:rFonts w:ascii="Times New Roman" w:hAnsi="Times New Roman"/>
                <w:sz w:val="24"/>
                <w:szCs w:val="24"/>
              </w:rPr>
              <w:t>1.33</w:t>
            </w:r>
          </w:p>
        </w:tc>
        <w:tc>
          <w:tcPr>
            <w:tcW w:w="2327" w:type="dxa"/>
          </w:tcPr>
          <w:p w14:paraId="76E3F419" w14:textId="77777777" w:rsidR="002D3768" w:rsidRPr="00BB4D12" w:rsidRDefault="002D3768" w:rsidP="008F00A6">
            <w:pPr>
              <w:spacing w:line="480" w:lineRule="auto"/>
              <w:jc w:val="both"/>
              <w:rPr>
                <w:rFonts w:ascii="Times New Roman" w:hAnsi="Times New Roman"/>
                <w:sz w:val="24"/>
                <w:szCs w:val="24"/>
              </w:rPr>
            </w:pPr>
            <w:r w:rsidRPr="00BB4D12">
              <w:rPr>
                <w:rFonts w:ascii="Times New Roman" w:hAnsi="Times New Roman"/>
                <w:sz w:val="24"/>
                <w:szCs w:val="24"/>
              </w:rPr>
              <w:t>7.6</w:t>
            </w:r>
          </w:p>
        </w:tc>
      </w:tr>
      <w:tr w:rsidR="002D3768" w:rsidRPr="00BB4D12" w14:paraId="01564405" w14:textId="77777777" w:rsidTr="008F00A6">
        <w:tc>
          <w:tcPr>
            <w:tcW w:w="959" w:type="dxa"/>
          </w:tcPr>
          <w:p w14:paraId="1BF94107" w14:textId="77777777" w:rsidR="002D3768" w:rsidRPr="00BB4D12" w:rsidRDefault="002D3768" w:rsidP="008F00A6">
            <w:pPr>
              <w:spacing w:line="480" w:lineRule="auto"/>
              <w:jc w:val="both"/>
              <w:rPr>
                <w:rFonts w:ascii="Times New Roman" w:hAnsi="Times New Roman"/>
                <w:b/>
                <w:bCs/>
                <w:sz w:val="24"/>
                <w:szCs w:val="24"/>
              </w:rPr>
            </w:pPr>
            <w:r w:rsidRPr="00BB4D12">
              <w:rPr>
                <w:rFonts w:ascii="Times New Roman" w:hAnsi="Times New Roman"/>
                <w:b/>
                <w:bCs/>
                <w:sz w:val="24"/>
                <w:szCs w:val="24"/>
              </w:rPr>
              <w:t>3</w:t>
            </w:r>
          </w:p>
        </w:tc>
        <w:tc>
          <w:tcPr>
            <w:tcW w:w="1984" w:type="dxa"/>
          </w:tcPr>
          <w:p w14:paraId="4440749F" w14:textId="77777777" w:rsidR="002D3768" w:rsidRPr="00BB4D12" w:rsidRDefault="002D3768" w:rsidP="008F00A6">
            <w:pPr>
              <w:spacing w:line="480" w:lineRule="auto"/>
              <w:jc w:val="both"/>
              <w:rPr>
                <w:rFonts w:ascii="Times New Roman" w:hAnsi="Times New Roman"/>
                <w:sz w:val="24"/>
                <w:szCs w:val="24"/>
              </w:rPr>
            </w:pPr>
            <w:r w:rsidRPr="00BB4D12">
              <w:rPr>
                <w:rFonts w:ascii="Times New Roman" w:hAnsi="Times New Roman"/>
                <w:sz w:val="24"/>
                <w:szCs w:val="24"/>
              </w:rPr>
              <w:t>PPCCDs</w:t>
            </w:r>
          </w:p>
        </w:tc>
        <w:tc>
          <w:tcPr>
            <w:tcW w:w="1134" w:type="dxa"/>
          </w:tcPr>
          <w:p w14:paraId="77C6D1BF" w14:textId="77777777" w:rsidR="002D3768" w:rsidRPr="00BB4D12" w:rsidRDefault="002D3768" w:rsidP="008F00A6">
            <w:pPr>
              <w:spacing w:line="480" w:lineRule="auto"/>
              <w:jc w:val="both"/>
              <w:rPr>
                <w:rFonts w:ascii="Times New Roman" w:hAnsi="Times New Roman"/>
                <w:sz w:val="24"/>
                <w:szCs w:val="24"/>
              </w:rPr>
            </w:pPr>
            <w:r w:rsidRPr="00BB4D12">
              <w:rPr>
                <w:rFonts w:ascii="Times New Roman" w:hAnsi="Times New Roman"/>
                <w:sz w:val="24"/>
                <w:szCs w:val="24"/>
              </w:rPr>
              <w:t>468711</w:t>
            </w:r>
          </w:p>
        </w:tc>
        <w:tc>
          <w:tcPr>
            <w:tcW w:w="3119" w:type="dxa"/>
          </w:tcPr>
          <w:p w14:paraId="2169925C" w14:textId="77777777" w:rsidR="002D3768" w:rsidRPr="00BB4D12" w:rsidRDefault="002D3768" w:rsidP="008F00A6">
            <w:pPr>
              <w:spacing w:line="480" w:lineRule="auto"/>
              <w:jc w:val="both"/>
              <w:rPr>
                <w:rFonts w:ascii="Times New Roman" w:hAnsi="Times New Roman"/>
                <w:sz w:val="24"/>
                <w:szCs w:val="24"/>
              </w:rPr>
            </w:pPr>
            <w:r w:rsidRPr="00BB4D12">
              <w:rPr>
                <w:rFonts w:ascii="Times New Roman" w:hAnsi="Times New Roman"/>
                <w:sz w:val="24"/>
                <w:szCs w:val="24"/>
              </w:rPr>
              <w:t>1.33</w:t>
            </w:r>
          </w:p>
        </w:tc>
        <w:tc>
          <w:tcPr>
            <w:tcW w:w="2327" w:type="dxa"/>
          </w:tcPr>
          <w:p w14:paraId="6A20A491" w14:textId="77777777" w:rsidR="002D3768" w:rsidRPr="00BB4D12" w:rsidRDefault="002D3768" w:rsidP="008F00A6">
            <w:pPr>
              <w:spacing w:line="480" w:lineRule="auto"/>
              <w:jc w:val="both"/>
              <w:rPr>
                <w:rFonts w:ascii="Times New Roman" w:hAnsi="Times New Roman"/>
                <w:sz w:val="24"/>
                <w:szCs w:val="24"/>
              </w:rPr>
            </w:pPr>
            <w:r w:rsidRPr="00BB4D12">
              <w:rPr>
                <w:rFonts w:ascii="Times New Roman" w:hAnsi="Times New Roman"/>
                <w:sz w:val="24"/>
                <w:szCs w:val="24"/>
              </w:rPr>
              <w:t>10.9</w:t>
            </w:r>
          </w:p>
        </w:tc>
      </w:tr>
    </w:tbl>
    <w:p w14:paraId="657C1229" w14:textId="77777777" w:rsidR="002D3768" w:rsidRPr="00BB4D12" w:rsidRDefault="002D3768" w:rsidP="00D516A8">
      <w:pPr>
        <w:rPr>
          <w:rFonts w:ascii="Times New Roman" w:hAnsi="Times New Roman"/>
          <w:bCs/>
          <w:color w:val="000000"/>
          <w:sz w:val="20"/>
          <w:szCs w:val="20"/>
        </w:rPr>
      </w:pPr>
    </w:p>
    <w:p w14:paraId="63D19E63" w14:textId="77777777" w:rsidR="007F6512" w:rsidRPr="00BB4D12" w:rsidRDefault="007F6512" w:rsidP="00D516A8">
      <w:pPr>
        <w:rPr>
          <w:rFonts w:ascii="Times New Roman" w:hAnsi="Times New Roman"/>
          <w:bCs/>
          <w:color w:val="000000"/>
          <w:sz w:val="20"/>
          <w:szCs w:val="20"/>
        </w:rPr>
      </w:pPr>
    </w:p>
    <w:p w14:paraId="7BB62C0E" w14:textId="529C41F4" w:rsidR="007F6512" w:rsidRPr="00BB4D12" w:rsidRDefault="00524340" w:rsidP="007F6512">
      <w:pPr>
        <w:spacing w:line="480" w:lineRule="auto"/>
      </w:pPr>
      <w:r w:rsidRPr="00BB4D12">
        <w:rPr>
          <w:noProof/>
        </w:rPr>
        <w:drawing>
          <wp:inline distT="0" distB="0" distL="0" distR="0" wp14:anchorId="19C70FDD" wp14:editId="10F99A2C">
            <wp:extent cx="5585460" cy="22783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5460" cy="2278380"/>
                    </a:xfrm>
                    <a:prstGeom prst="rect">
                      <a:avLst/>
                    </a:prstGeom>
                    <a:noFill/>
                    <a:ln>
                      <a:noFill/>
                    </a:ln>
                  </pic:spPr>
                </pic:pic>
              </a:graphicData>
            </a:graphic>
          </wp:inline>
        </w:drawing>
      </w:r>
    </w:p>
    <w:p w14:paraId="16C50B1A" w14:textId="77777777" w:rsidR="007F6512" w:rsidRPr="00BB4D12" w:rsidRDefault="007F6512" w:rsidP="007F6512">
      <w:pPr>
        <w:spacing w:line="480" w:lineRule="auto"/>
        <w:rPr>
          <w:rFonts w:ascii="Times New Roman" w:hAnsi="Times New Roman"/>
        </w:rPr>
      </w:pPr>
      <w:r w:rsidRPr="00BB4D12">
        <w:t xml:space="preserve">        </w:t>
      </w:r>
      <w:r w:rsidRPr="00BB4D12">
        <w:rPr>
          <w:rFonts w:ascii="Times New Roman" w:hAnsi="Times New Roman"/>
          <w:b/>
          <w:bCs/>
        </w:rPr>
        <w:t>Fig. S.</w:t>
      </w:r>
      <w:r w:rsidR="009E6FCD" w:rsidRPr="00BB4D12">
        <w:rPr>
          <w:rFonts w:ascii="Times New Roman" w:hAnsi="Times New Roman"/>
          <w:b/>
          <w:bCs/>
        </w:rPr>
        <w:t>5</w:t>
      </w:r>
      <w:r w:rsidRPr="00BB4D12">
        <w:rPr>
          <w:rFonts w:ascii="Times New Roman" w:hAnsi="Times New Roman"/>
        </w:rPr>
        <w:t xml:space="preserve"> (a) XRD spectra (b) TEM image of clove derived carbon dots (CCDs).</w:t>
      </w:r>
    </w:p>
    <w:p w14:paraId="20479B38" w14:textId="34E77D01" w:rsidR="00A5250D" w:rsidRPr="00BB4D12" w:rsidRDefault="00524340" w:rsidP="00A5250D">
      <w:pPr>
        <w:spacing w:line="480" w:lineRule="auto"/>
        <w:jc w:val="center"/>
        <w:rPr>
          <w:rFonts w:ascii="Times New Roman" w:hAnsi="Times New Roman"/>
        </w:rPr>
      </w:pPr>
      <w:r w:rsidRPr="00BB4D12">
        <w:rPr>
          <w:noProof/>
        </w:rPr>
        <w:drawing>
          <wp:inline distT="0" distB="0" distL="0" distR="0" wp14:anchorId="04B86240" wp14:editId="5788C481">
            <wp:extent cx="4488180" cy="3177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8180" cy="3177540"/>
                    </a:xfrm>
                    <a:prstGeom prst="rect">
                      <a:avLst/>
                    </a:prstGeom>
                    <a:noFill/>
                    <a:ln>
                      <a:noFill/>
                    </a:ln>
                  </pic:spPr>
                </pic:pic>
              </a:graphicData>
            </a:graphic>
          </wp:inline>
        </w:drawing>
      </w:r>
    </w:p>
    <w:p w14:paraId="761A84B7" w14:textId="77777777" w:rsidR="00A5250D" w:rsidRPr="00BB4D12" w:rsidRDefault="00A5250D" w:rsidP="007F6512">
      <w:pPr>
        <w:spacing w:line="480" w:lineRule="auto"/>
        <w:rPr>
          <w:rFonts w:ascii="Times New Roman" w:hAnsi="Times New Roman"/>
        </w:rPr>
      </w:pPr>
      <w:r w:rsidRPr="00BB4D12">
        <w:rPr>
          <w:rFonts w:ascii="Times New Roman" w:hAnsi="Times New Roman"/>
          <w:b/>
          <w:bCs/>
        </w:rPr>
        <w:t xml:space="preserve">                         Fig. S.</w:t>
      </w:r>
      <w:r w:rsidR="009E6FCD" w:rsidRPr="00BB4D12">
        <w:rPr>
          <w:rFonts w:ascii="Times New Roman" w:hAnsi="Times New Roman"/>
          <w:b/>
          <w:bCs/>
        </w:rPr>
        <w:t>6</w:t>
      </w:r>
      <w:r w:rsidRPr="00BB4D12">
        <w:rPr>
          <w:rFonts w:ascii="Times New Roman" w:hAnsi="Times New Roman"/>
          <w:b/>
          <w:bCs/>
        </w:rPr>
        <w:t xml:space="preserve"> </w:t>
      </w:r>
      <w:r w:rsidRPr="00BB4D12">
        <w:rPr>
          <w:rFonts w:ascii="Times New Roman" w:hAnsi="Times New Roman"/>
        </w:rPr>
        <w:t>Cell viability study of PPCCDs over 3T3 cells</w:t>
      </w:r>
    </w:p>
    <w:p w14:paraId="7262445B" w14:textId="77777777" w:rsidR="007F6512" w:rsidRPr="00BB4D12" w:rsidRDefault="007F6512" w:rsidP="007F6512">
      <w:pPr>
        <w:spacing w:line="480" w:lineRule="auto"/>
        <w:rPr>
          <w:rFonts w:ascii="Times New Roman" w:hAnsi="Times New Roman"/>
          <w:b/>
          <w:bCs/>
        </w:rPr>
      </w:pPr>
      <w:r w:rsidRPr="00BB4D12">
        <w:rPr>
          <w:rFonts w:ascii="Times New Roman" w:hAnsi="Times New Roman"/>
          <w:b/>
          <w:bCs/>
        </w:rPr>
        <w:t xml:space="preserve">Table S.2 </w:t>
      </w:r>
      <w:r w:rsidRPr="00BB4D12">
        <w:rPr>
          <w:rFonts w:ascii="Times New Roman" w:hAnsi="Times New Roman"/>
        </w:rPr>
        <w:t>Comparison of antioxidant efficacy of various carbon dots from derived from different carbon precursors.</w:t>
      </w:r>
    </w:p>
    <w:tbl>
      <w:tblPr>
        <w:tblStyle w:val="TableGrid"/>
        <w:tblW w:w="0" w:type="auto"/>
        <w:tblLook w:val="04A0" w:firstRow="1" w:lastRow="0" w:firstColumn="1" w:lastColumn="0" w:noHBand="0" w:noVBand="1"/>
      </w:tblPr>
      <w:tblGrid>
        <w:gridCol w:w="3926"/>
        <w:gridCol w:w="2208"/>
        <w:gridCol w:w="2466"/>
        <w:gridCol w:w="750"/>
      </w:tblGrid>
      <w:tr w:rsidR="00BE5B3D" w:rsidRPr="00BB4D12" w14:paraId="4A506597" w14:textId="77777777" w:rsidTr="00667850">
        <w:trPr>
          <w:trHeight w:val="699"/>
        </w:trPr>
        <w:tc>
          <w:tcPr>
            <w:tcW w:w="4077" w:type="dxa"/>
          </w:tcPr>
          <w:p w14:paraId="3EE55C35" w14:textId="77777777" w:rsidR="00BE5B3D" w:rsidRPr="00BB4D12" w:rsidRDefault="00BE5B3D" w:rsidP="00667850">
            <w:pPr>
              <w:spacing w:line="360" w:lineRule="auto"/>
              <w:jc w:val="center"/>
              <w:rPr>
                <w:rFonts w:ascii="Times New Roman" w:hAnsi="Times New Roman"/>
                <w:b/>
                <w:bCs/>
                <w:sz w:val="24"/>
                <w:szCs w:val="24"/>
              </w:rPr>
            </w:pPr>
            <w:bookmarkStart w:id="3" w:name="_Hlk85145757"/>
            <w:r w:rsidRPr="00BB4D12">
              <w:rPr>
                <w:rFonts w:ascii="Times New Roman" w:hAnsi="Times New Roman"/>
                <w:b/>
                <w:bCs/>
                <w:sz w:val="24"/>
                <w:szCs w:val="24"/>
              </w:rPr>
              <w:lastRenderedPageBreak/>
              <w:t>Carbon precursor</w:t>
            </w:r>
          </w:p>
        </w:tc>
        <w:tc>
          <w:tcPr>
            <w:tcW w:w="2268" w:type="dxa"/>
          </w:tcPr>
          <w:p w14:paraId="000F2E8E" w14:textId="77777777" w:rsidR="00BE5B3D" w:rsidRPr="00BB4D12" w:rsidRDefault="00BE5B3D" w:rsidP="00667850">
            <w:pPr>
              <w:spacing w:line="360" w:lineRule="auto"/>
              <w:jc w:val="center"/>
              <w:rPr>
                <w:rFonts w:ascii="Times New Roman" w:hAnsi="Times New Roman"/>
                <w:b/>
                <w:bCs/>
                <w:sz w:val="24"/>
                <w:szCs w:val="24"/>
              </w:rPr>
            </w:pPr>
            <w:r w:rsidRPr="00BB4D12">
              <w:rPr>
                <w:rFonts w:ascii="Times New Roman" w:hAnsi="Times New Roman"/>
                <w:b/>
                <w:bCs/>
                <w:sz w:val="24"/>
                <w:szCs w:val="24"/>
              </w:rPr>
              <w:t>DPPH Antioxidant Activity (%)</w:t>
            </w:r>
          </w:p>
        </w:tc>
        <w:tc>
          <w:tcPr>
            <w:tcW w:w="2552" w:type="dxa"/>
          </w:tcPr>
          <w:p w14:paraId="6179B422" w14:textId="77777777" w:rsidR="00BE5B3D" w:rsidRPr="00BB4D12" w:rsidRDefault="00BE5B3D" w:rsidP="00667850">
            <w:pPr>
              <w:spacing w:line="360" w:lineRule="auto"/>
              <w:jc w:val="center"/>
              <w:rPr>
                <w:rFonts w:ascii="Times New Roman" w:hAnsi="Times New Roman"/>
                <w:b/>
                <w:bCs/>
                <w:sz w:val="24"/>
                <w:szCs w:val="24"/>
              </w:rPr>
            </w:pPr>
            <w:r w:rsidRPr="00BB4D12">
              <w:rPr>
                <w:rFonts w:ascii="Times New Roman" w:hAnsi="Times New Roman"/>
                <w:b/>
                <w:bCs/>
                <w:sz w:val="24"/>
                <w:szCs w:val="24"/>
              </w:rPr>
              <w:t>Superoxide</w:t>
            </w:r>
            <w:r w:rsidR="00667850" w:rsidRPr="00BB4D12">
              <w:rPr>
                <w:rFonts w:ascii="Times New Roman" w:hAnsi="Times New Roman"/>
                <w:b/>
                <w:bCs/>
                <w:sz w:val="24"/>
                <w:szCs w:val="24"/>
              </w:rPr>
              <w:t xml:space="preserve"> </w:t>
            </w:r>
            <w:r w:rsidRPr="00BB4D12">
              <w:rPr>
                <w:rFonts w:ascii="Times New Roman" w:hAnsi="Times New Roman"/>
                <w:b/>
                <w:bCs/>
                <w:sz w:val="24"/>
                <w:szCs w:val="24"/>
              </w:rPr>
              <w:t xml:space="preserve">Radical </w:t>
            </w:r>
            <w:r w:rsidR="00667850" w:rsidRPr="00BB4D12">
              <w:rPr>
                <w:rFonts w:ascii="Times New Roman" w:hAnsi="Times New Roman"/>
                <w:b/>
                <w:bCs/>
                <w:sz w:val="24"/>
                <w:szCs w:val="24"/>
              </w:rPr>
              <w:t>I</w:t>
            </w:r>
            <w:r w:rsidRPr="00BB4D12">
              <w:rPr>
                <w:rFonts w:ascii="Times New Roman" w:hAnsi="Times New Roman"/>
                <w:b/>
                <w:bCs/>
                <w:sz w:val="24"/>
                <w:szCs w:val="24"/>
              </w:rPr>
              <w:t>nhibition (%)</w:t>
            </w:r>
          </w:p>
        </w:tc>
        <w:tc>
          <w:tcPr>
            <w:tcW w:w="679" w:type="dxa"/>
          </w:tcPr>
          <w:p w14:paraId="15005F30" w14:textId="77777777" w:rsidR="00BE5B3D" w:rsidRPr="00BB4D12" w:rsidRDefault="00BE5B3D" w:rsidP="00667850">
            <w:pPr>
              <w:spacing w:line="360" w:lineRule="auto"/>
              <w:jc w:val="center"/>
              <w:rPr>
                <w:rFonts w:ascii="Times New Roman" w:hAnsi="Times New Roman"/>
                <w:b/>
                <w:bCs/>
                <w:sz w:val="24"/>
                <w:szCs w:val="24"/>
              </w:rPr>
            </w:pPr>
            <w:r w:rsidRPr="00BB4D12">
              <w:rPr>
                <w:rFonts w:ascii="Times New Roman" w:hAnsi="Times New Roman"/>
                <w:b/>
                <w:bCs/>
                <w:sz w:val="24"/>
                <w:szCs w:val="24"/>
              </w:rPr>
              <w:t>Ref.</w:t>
            </w:r>
          </w:p>
        </w:tc>
      </w:tr>
      <w:tr w:rsidR="00BE5B3D" w:rsidRPr="00BB4D12" w14:paraId="7CC5E689" w14:textId="77777777" w:rsidTr="00667850">
        <w:tc>
          <w:tcPr>
            <w:tcW w:w="4077" w:type="dxa"/>
          </w:tcPr>
          <w:p w14:paraId="095631B1" w14:textId="77777777" w:rsidR="00BE5B3D" w:rsidRPr="00BB4D12" w:rsidRDefault="00BE5B3D" w:rsidP="00667850">
            <w:pPr>
              <w:spacing w:line="360" w:lineRule="auto"/>
              <w:jc w:val="center"/>
              <w:rPr>
                <w:rFonts w:ascii="Times New Roman" w:hAnsi="Times New Roman"/>
                <w:sz w:val="24"/>
                <w:szCs w:val="24"/>
              </w:rPr>
            </w:pPr>
            <w:r w:rsidRPr="00BB4D12">
              <w:rPr>
                <w:rFonts w:ascii="Times New Roman" w:hAnsi="Times New Roman"/>
                <w:sz w:val="24"/>
                <w:szCs w:val="24"/>
              </w:rPr>
              <w:t>Pomelo and ammonium persulfate</w:t>
            </w:r>
          </w:p>
        </w:tc>
        <w:tc>
          <w:tcPr>
            <w:tcW w:w="2268" w:type="dxa"/>
          </w:tcPr>
          <w:p w14:paraId="4ABD12FD" w14:textId="77777777" w:rsidR="00BE5B3D" w:rsidRPr="00BB4D12" w:rsidRDefault="00BE5B3D" w:rsidP="00667850">
            <w:pPr>
              <w:spacing w:line="360" w:lineRule="auto"/>
              <w:jc w:val="center"/>
              <w:rPr>
                <w:rFonts w:ascii="Times New Roman" w:hAnsi="Times New Roman"/>
                <w:sz w:val="24"/>
                <w:szCs w:val="24"/>
              </w:rPr>
            </w:pPr>
            <w:r w:rsidRPr="00BB4D12">
              <w:rPr>
                <w:rFonts w:ascii="Times New Roman" w:hAnsi="Times New Roman"/>
                <w:sz w:val="24"/>
                <w:szCs w:val="24"/>
              </w:rPr>
              <w:t>56</w:t>
            </w:r>
          </w:p>
        </w:tc>
        <w:tc>
          <w:tcPr>
            <w:tcW w:w="2552" w:type="dxa"/>
          </w:tcPr>
          <w:p w14:paraId="528E5CE2" w14:textId="77777777" w:rsidR="00BE5B3D" w:rsidRPr="00BB4D12" w:rsidRDefault="00BE5B3D" w:rsidP="00667850">
            <w:pPr>
              <w:spacing w:line="360" w:lineRule="auto"/>
              <w:jc w:val="center"/>
              <w:rPr>
                <w:rFonts w:ascii="Times New Roman" w:hAnsi="Times New Roman"/>
                <w:sz w:val="24"/>
                <w:szCs w:val="24"/>
              </w:rPr>
            </w:pPr>
            <w:r w:rsidRPr="00BB4D12">
              <w:rPr>
                <w:rFonts w:ascii="Times New Roman" w:hAnsi="Times New Roman"/>
                <w:sz w:val="24"/>
                <w:szCs w:val="24"/>
              </w:rPr>
              <w:t>88</w:t>
            </w:r>
          </w:p>
        </w:tc>
        <w:tc>
          <w:tcPr>
            <w:tcW w:w="679" w:type="dxa"/>
          </w:tcPr>
          <w:p w14:paraId="3A8E364C" w14:textId="77777777" w:rsidR="00BE5B3D" w:rsidRPr="00BB4D12" w:rsidRDefault="00BE5B3D" w:rsidP="00667850">
            <w:pPr>
              <w:spacing w:line="360" w:lineRule="auto"/>
              <w:jc w:val="center"/>
              <w:rPr>
                <w:rFonts w:ascii="Times New Roman" w:hAnsi="Times New Roman"/>
                <w:sz w:val="24"/>
                <w:szCs w:val="24"/>
              </w:rPr>
            </w:pPr>
            <w:r w:rsidRPr="00BB4D12">
              <w:rPr>
                <w:rFonts w:ascii="Times New Roman" w:hAnsi="Times New Roman"/>
                <w:sz w:val="24"/>
                <w:szCs w:val="24"/>
              </w:rPr>
              <w:fldChar w:fldCharType="begin" w:fldLock="1"/>
            </w:r>
            <w:r w:rsidRPr="00BB4D12">
              <w:rPr>
                <w:rFonts w:ascii="Times New Roman" w:hAnsi="Times New Roman"/>
                <w:sz w:val="24"/>
                <w:szCs w:val="24"/>
              </w:rPr>
              <w:instrText>ADDIN CSL_CITATION {"citationItems":[{"id":"ITEM-1","itemData":{"DOI":"10.1016/j.snb.2017.03.123","ISSN":"09254005","abstract":"In this study, a facile synthesis of N, S-co-doped carbon dots (N, SCDs) from biomass was developed by hydrothermal treatment, using ammonium persulfate as passivator. The N, SCDs have favorable fluorescent properties including high quantum yield (18.7%) and idea fluorescent stability. In addition, the N, SCDs exhibit excellent radical scavenging activities against DPPH radicals, hydroxyl radicals and superoxide anion radicals. It is found that the fluorescence of N, SCDs can be effectively quenched by Cr (VI). The quenching mechanism could be explained due to the antioxidation of N, SCDs. Based on this feature, the selective and sensitive detection of Cr (VI) was performed, showing that a good linear relationship between fluorescence intensity of N, SCDs and Cr (VI) was achieved at the concentration from 1 to 40 μM. Furthermore, the detection was applied in real water samples (Taihu and tap waters), resulting in high sensitivity and good recoveries. In a word, this study provides more applications of N, SCDs in antioxidant fields and environmental fields for Cr (VI) detection.","author":[{"dropping-particle":"","family":"Shen","given":"Jie","non-dropping-particle":"","parse-names":false,"suffix":""},{"dropping-particle":"","family":"Shang","given":"Shaoming","non-dropping-particle":"","parse-names":false,"suffix":""},{"dropping-particle":"","family":"Chen","given":"Xiuying","non-dropping-particle":"","parse-names":false,"suffix":""},{"dropping-particle":"","family":"Wang","given":"Dan","non-dropping-particle":"","parse-names":false,"suffix":""},{"dropping-particle":"","family":"Cai","given":"Yan","non-dropping-particle":"","parse-names":false,"suffix":""}],"container-title":"Sensors and Actuators, B: Chemical","id":"ITEM-1","issued":{"date-parts":[["2017"]]},"page":"92-100","publisher":"Elsevier B.V.","title":"Highly fluorescent N, S-co-doped carbon dots and their potential applications as antioxidants and sensitive probes for Cr (VI) detection","type":"article-journal","volume":"248"},"uris":["http://www.mendeley.com/documents/?uuid=091dcb7c-2e34-4ffb-a85a-341c602e5651"]}],"mendeley":{"formattedCitation":"[1]","plainTextFormattedCitation":"[1]","previouslyFormattedCitation":"[1]"},"properties":{"noteIndex":0},"schema":"https://github.com/citation-style-language/schema/raw/master/csl-citation.json"}</w:instrText>
            </w:r>
            <w:r w:rsidRPr="00BB4D12">
              <w:rPr>
                <w:rFonts w:ascii="Times New Roman" w:hAnsi="Times New Roman"/>
                <w:sz w:val="24"/>
                <w:szCs w:val="24"/>
              </w:rPr>
              <w:fldChar w:fldCharType="separate"/>
            </w:r>
            <w:r w:rsidRPr="00BB4D12">
              <w:rPr>
                <w:rFonts w:ascii="Times New Roman" w:hAnsi="Times New Roman"/>
                <w:noProof/>
                <w:sz w:val="24"/>
                <w:szCs w:val="24"/>
              </w:rPr>
              <w:t>[1]</w:t>
            </w:r>
            <w:r w:rsidRPr="00BB4D12">
              <w:rPr>
                <w:rFonts w:ascii="Times New Roman" w:hAnsi="Times New Roman"/>
                <w:sz w:val="24"/>
                <w:szCs w:val="24"/>
              </w:rPr>
              <w:fldChar w:fldCharType="end"/>
            </w:r>
          </w:p>
        </w:tc>
      </w:tr>
      <w:tr w:rsidR="00BE5B3D" w:rsidRPr="00BB4D12" w14:paraId="6A91E107" w14:textId="77777777" w:rsidTr="00667850">
        <w:tc>
          <w:tcPr>
            <w:tcW w:w="4077" w:type="dxa"/>
          </w:tcPr>
          <w:p w14:paraId="4F2A094F" w14:textId="77777777" w:rsidR="00BE5B3D" w:rsidRPr="00BB4D12" w:rsidRDefault="00BE5B3D" w:rsidP="00667850">
            <w:pPr>
              <w:spacing w:line="360" w:lineRule="auto"/>
              <w:jc w:val="center"/>
              <w:rPr>
                <w:rFonts w:ascii="Times New Roman" w:hAnsi="Times New Roman"/>
                <w:sz w:val="24"/>
                <w:szCs w:val="24"/>
              </w:rPr>
            </w:pPr>
            <w:r w:rsidRPr="00BB4D12">
              <w:rPr>
                <w:rFonts w:ascii="Times New Roman" w:hAnsi="Times New Roman"/>
                <w:sz w:val="24"/>
                <w:szCs w:val="24"/>
              </w:rPr>
              <w:t>Pomelo juice and sulfamic acid</w:t>
            </w:r>
          </w:p>
        </w:tc>
        <w:tc>
          <w:tcPr>
            <w:tcW w:w="2268" w:type="dxa"/>
          </w:tcPr>
          <w:p w14:paraId="1AB3F923" w14:textId="77777777" w:rsidR="00BE5B3D" w:rsidRPr="00BB4D12" w:rsidRDefault="00BE5B3D" w:rsidP="00667850">
            <w:pPr>
              <w:spacing w:line="360" w:lineRule="auto"/>
              <w:jc w:val="center"/>
              <w:rPr>
                <w:rFonts w:ascii="Times New Roman" w:hAnsi="Times New Roman"/>
                <w:sz w:val="24"/>
                <w:szCs w:val="24"/>
              </w:rPr>
            </w:pPr>
            <w:r w:rsidRPr="00BB4D12">
              <w:rPr>
                <w:rFonts w:ascii="Times New Roman" w:hAnsi="Times New Roman"/>
                <w:sz w:val="24"/>
                <w:szCs w:val="24"/>
              </w:rPr>
              <w:t>62</w:t>
            </w:r>
          </w:p>
        </w:tc>
        <w:tc>
          <w:tcPr>
            <w:tcW w:w="2552" w:type="dxa"/>
          </w:tcPr>
          <w:p w14:paraId="05697A9A" w14:textId="77777777" w:rsidR="00BE5B3D" w:rsidRPr="00BB4D12" w:rsidRDefault="00BE5B3D" w:rsidP="00667850">
            <w:pPr>
              <w:spacing w:line="360" w:lineRule="auto"/>
              <w:jc w:val="center"/>
              <w:rPr>
                <w:rFonts w:ascii="Times New Roman" w:hAnsi="Times New Roman"/>
                <w:sz w:val="24"/>
                <w:szCs w:val="24"/>
              </w:rPr>
            </w:pPr>
            <w:r w:rsidRPr="00BB4D12">
              <w:rPr>
                <w:rFonts w:ascii="Times New Roman" w:hAnsi="Times New Roman"/>
                <w:sz w:val="24"/>
                <w:szCs w:val="24"/>
              </w:rPr>
              <w:t>82</w:t>
            </w:r>
          </w:p>
        </w:tc>
        <w:tc>
          <w:tcPr>
            <w:tcW w:w="679" w:type="dxa"/>
          </w:tcPr>
          <w:p w14:paraId="3A9112FA" w14:textId="77777777" w:rsidR="00BE5B3D" w:rsidRPr="00BB4D12" w:rsidRDefault="00BE5B3D" w:rsidP="00667850">
            <w:pPr>
              <w:spacing w:line="360" w:lineRule="auto"/>
              <w:jc w:val="center"/>
              <w:rPr>
                <w:rFonts w:ascii="Times New Roman" w:hAnsi="Times New Roman"/>
                <w:sz w:val="24"/>
                <w:szCs w:val="24"/>
              </w:rPr>
            </w:pPr>
            <w:r w:rsidRPr="00BB4D12">
              <w:rPr>
                <w:rFonts w:ascii="Times New Roman" w:hAnsi="Times New Roman"/>
                <w:sz w:val="24"/>
                <w:szCs w:val="24"/>
              </w:rPr>
              <w:fldChar w:fldCharType="begin" w:fldLock="1"/>
            </w:r>
            <w:r w:rsidRPr="00BB4D12">
              <w:rPr>
                <w:rFonts w:ascii="Times New Roman" w:hAnsi="Times New Roman"/>
                <w:sz w:val="24"/>
                <w:szCs w:val="24"/>
              </w:rPr>
              <w:instrText>ADDIN CSL_CITATION {"citationItems":[{"id":"ITEM-1","itemData":{"DOI":"10.1039/c7nj00505a","ISSN":"13699261","abstract":"In this study, N and S co-doped carbon dots (N,S-CDs) were synthesized from biomass, using sulfamic acid as a passivator. The N,S-CDs have satisfying fluorescence properties with a quantum yield of 24.1%. It has been shown that the N,S-CDs have low cytotoxicity and can be used as multicolor probes for cell imaging. In addition, the N,S-CDs have excellent antioxidant abilities for scavenging DPPH free radicals, hydroxyl free radicals and superoxide anion free radicals. Moreover, the fluorescence of the N,S-CDs can be quenched by Cr(vi) because of the inner filter effect (IFE). Accordingly, the fluorescence response for this Cr(vi) assay leads to a broad linear range of 1 to 200 μM, associated with a limit of detection of 0.76 μM. Furthermore, this N,S-CD-based fluorescence platform for Cr(vi) detection was successfully applied in real lake water, human serum and living cells.","author":[{"dropping-particle":"","family":"Shen","given":"Jie","non-dropping-particle":"","parse-names":false,"suffix":""},{"dropping-particle":"","family":"Zhang","given":"Ting","non-dropping-particle":"","parse-names":false,"suffix":""},{"dropping-particle":"","family":"Cai","given":"Yan","non-dropping-particle":"","parse-names":false,"suffix":""},{"dropping-particle":"","family":"Chen","given":"Xiuying","non-dropping-particle":"","parse-names":false,"suffix":""},{"dropping-particle":"","family":"Shang","given":"Shaoming","non-dropping-particle":"","parse-names":false,"suffix":""},{"dropping-particle":"","family":"Li","given":"Juan","non-dropping-particle":"","parse-names":false,"suffix":""}],"container-title":"New Journal of Chemistry","id":"ITEM-1","issue":"19","issued":{"date-parts":[["2017"]]},"page":"11125-11137","publisher":"Royal Society of Chemistry","title":"Highly fluorescent N,S-co-doped carbon dots: Synthesis and multiple applications","type":"article-journal","volume":"41"},"uris":["http://www.mendeley.com/documents/?uuid=330cc611-c593-4b70-a986-840c7dd36b82"]}],"mendeley":{"formattedCitation":"[2]","plainTextFormattedCitation":"[2]","previouslyFormattedCitation":"[2]"},"properties":{"noteIndex":0},"schema":"https://github.com/citation-style-language/schema/raw/master/csl-citation.json"}</w:instrText>
            </w:r>
            <w:r w:rsidRPr="00BB4D12">
              <w:rPr>
                <w:rFonts w:ascii="Times New Roman" w:hAnsi="Times New Roman"/>
                <w:sz w:val="24"/>
                <w:szCs w:val="24"/>
              </w:rPr>
              <w:fldChar w:fldCharType="separate"/>
            </w:r>
            <w:r w:rsidRPr="00BB4D12">
              <w:rPr>
                <w:rFonts w:ascii="Times New Roman" w:hAnsi="Times New Roman"/>
                <w:noProof/>
                <w:sz w:val="24"/>
                <w:szCs w:val="24"/>
              </w:rPr>
              <w:t>[2]</w:t>
            </w:r>
            <w:r w:rsidRPr="00BB4D12">
              <w:rPr>
                <w:rFonts w:ascii="Times New Roman" w:hAnsi="Times New Roman"/>
                <w:sz w:val="24"/>
                <w:szCs w:val="24"/>
              </w:rPr>
              <w:fldChar w:fldCharType="end"/>
            </w:r>
          </w:p>
        </w:tc>
      </w:tr>
      <w:tr w:rsidR="00BE5B3D" w:rsidRPr="00BB4D12" w14:paraId="11568A4B" w14:textId="77777777" w:rsidTr="00667850">
        <w:tc>
          <w:tcPr>
            <w:tcW w:w="4077" w:type="dxa"/>
          </w:tcPr>
          <w:p w14:paraId="7972AC12" w14:textId="77777777" w:rsidR="00BE5B3D" w:rsidRPr="00BB4D12" w:rsidRDefault="00BE5B3D" w:rsidP="00667850">
            <w:pPr>
              <w:spacing w:line="360" w:lineRule="auto"/>
              <w:jc w:val="center"/>
              <w:rPr>
                <w:rFonts w:ascii="Times New Roman" w:hAnsi="Times New Roman"/>
                <w:sz w:val="24"/>
                <w:szCs w:val="24"/>
              </w:rPr>
            </w:pPr>
            <w:proofErr w:type="spellStart"/>
            <w:r w:rsidRPr="00BB4D12">
              <w:rPr>
                <w:rFonts w:ascii="Times New Roman" w:hAnsi="Times New Roman"/>
                <w:sz w:val="24"/>
                <w:szCs w:val="24"/>
              </w:rPr>
              <w:t>Proanthocyanidin</w:t>
            </w:r>
            <w:proofErr w:type="spellEnd"/>
            <w:r w:rsidRPr="00BB4D12">
              <w:rPr>
                <w:rFonts w:ascii="Times New Roman" w:hAnsi="Times New Roman"/>
                <w:sz w:val="24"/>
                <w:szCs w:val="24"/>
              </w:rPr>
              <w:t xml:space="preserve"> and ethylenediamine</w:t>
            </w:r>
          </w:p>
        </w:tc>
        <w:tc>
          <w:tcPr>
            <w:tcW w:w="2268" w:type="dxa"/>
          </w:tcPr>
          <w:p w14:paraId="3F402946" w14:textId="77777777" w:rsidR="00BE5B3D" w:rsidRPr="00BB4D12" w:rsidRDefault="00BE5B3D" w:rsidP="00667850">
            <w:pPr>
              <w:spacing w:line="360" w:lineRule="auto"/>
              <w:jc w:val="center"/>
              <w:rPr>
                <w:rFonts w:ascii="Times New Roman" w:hAnsi="Times New Roman"/>
                <w:sz w:val="24"/>
                <w:szCs w:val="24"/>
              </w:rPr>
            </w:pPr>
            <w:r w:rsidRPr="00BB4D12">
              <w:rPr>
                <w:rFonts w:ascii="Times New Roman" w:hAnsi="Times New Roman"/>
                <w:sz w:val="24"/>
                <w:szCs w:val="24"/>
              </w:rPr>
              <w:t>30</w:t>
            </w:r>
          </w:p>
        </w:tc>
        <w:tc>
          <w:tcPr>
            <w:tcW w:w="2552" w:type="dxa"/>
          </w:tcPr>
          <w:p w14:paraId="1B7C2A4A" w14:textId="77777777" w:rsidR="00BE5B3D" w:rsidRPr="00BB4D12" w:rsidRDefault="00BE5B3D" w:rsidP="00667850">
            <w:pPr>
              <w:spacing w:line="360" w:lineRule="auto"/>
              <w:jc w:val="center"/>
              <w:rPr>
                <w:rFonts w:ascii="Times New Roman" w:hAnsi="Times New Roman"/>
                <w:sz w:val="24"/>
                <w:szCs w:val="24"/>
              </w:rPr>
            </w:pPr>
            <w:r w:rsidRPr="00BB4D12">
              <w:rPr>
                <w:rFonts w:ascii="Times New Roman" w:hAnsi="Times New Roman"/>
                <w:sz w:val="24"/>
                <w:szCs w:val="24"/>
              </w:rPr>
              <w:t>-</w:t>
            </w:r>
          </w:p>
        </w:tc>
        <w:tc>
          <w:tcPr>
            <w:tcW w:w="679" w:type="dxa"/>
          </w:tcPr>
          <w:p w14:paraId="056F13C8" w14:textId="77777777" w:rsidR="00BE5B3D" w:rsidRPr="00BB4D12" w:rsidRDefault="00BE5B3D" w:rsidP="00667850">
            <w:pPr>
              <w:spacing w:line="360" w:lineRule="auto"/>
              <w:jc w:val="center"/>
              <w:rPr>
                <w:rFonts w:ascii="Times New Roman" w:hAnsi="Times New Roman"/>
                <w:sz w:val="24"/>
                <w:szCs w:val="24"/>
              </w:rPr>
            </w:pPr>
            <w:r w:rsidRPr="00BB4D12">
              <w:rPr>
                <w:rFonts w:ascii="Times New Roman" w:hAnsi="Times New Roman"/>
                <w:sz w:val="24"/>
                <w:szCs w:val="24"/>
              </w:rPr>
              <w:fldChar w:fldCharType="begin" w:fldLock="1"/>
            </w:r>
            <w:r w:rsidRPr="00BB4D12">
              <w:rPr>
                <w:rFonts w:ascii="Times New Roman" w:hAnsi="Times New Roman"/>
                <w:sz w:val="24"/>
                <w:szCs w:val="24"/>
              </w:rPr>
              <w:instrText>ADDIN CSL_CITATION {"citationItems":[{"id":"ITEM-1","itemData":{"DOI":"10.1039/d0an02479a","ISSN":"13645528","PMID":"33624640","abstract":"The presence of excessive ROS can cause much harm to the human body and can even cause diseases. Therefore, it is important to detect and remove ROS, but there is no ideal method available for this at present. In this research, using procyanidins, a type of plant extract with strong reducibility, as raw materials, fluorescent carbon dots (CDs) were prepared by a hydrothermal method. The proanthocyanidin-based carbon dots (PCDs) emit a light-green colored light under UV irradiation. The PCDs retain the strong reducibility of procyanidins and are highly water-soluble compared with procyanidins. The PCDs, in addition to having good biocompatibility, also have the superior properties of radical scavenging activity and cell imaging. In in vitro experiments, 1,1-diphenyl-2-picrylhydrazyl (DPPH; 100 μM) was reduced by 30% when PCDs were added up to a concentration of 87.5 μg mL-1. At the same time, the fluorescence quenching correlates with the concentration of hypochlorite and hydrogen peroxide and has a good linearity in the range of 250-2250 nM and 60-180 μM with a detection limit of 3.676 nM and 0.602 μM, respectively. Based on the previously described advantages, PCDs have potential as a biomedicine.","author":[{"dropping-particle":"","family":"Yang","given":"Dian","non-dropping-particle":"","parse-names":false,"suffix":""},{"dropping-particle":"","family":"Li","given":"Li","non-dropping-particle":"","parse-names":false,"suffix":""},{"dropping-particle":"","family":"Cao","given":"Lei","non-dropping-particle":"","parse-names":false,"suffix":""},{"dropping-particle":"","family":"Zhang","given":"Yan","non-dropping-particle":"","parse-names":false,"suffix":""},{"dropping-particle":"","family":"Ge","given":"Mingfeng","non-dropping-particle":"","parse-names":false,"suffix":""},{"dropping-particle":"","family":"Yan","given":"Ruhong","non-dropping-particle":"","parse-names":false,"suffix":""},{"dropping-particle":"","family":"Dong","given":"Wen Fei","non-dropping-particle":"","parse-names":false,"suffix":""}],"container-title":"Analyst","id":"ITEM-1","issue":"7","issued":{"date-parts":[["2021"]]},"page":"2330-2338","publisher":"Royal Society of Chemistry","title":"Superior reducing carbon dots from proanthocyanidin for free-radical scavenging and for cell imaging","type":"article-journal","volume":"146"},"uris":["http://www.mendeley.com/documents/?uuid=d3bbdd37-75ac-4088-8b90-7627fd9d7832"]}],"mendeley":{"formattedCitation":"[3]","plainTextFormattedCitation":"[3]","previouslyFormattedCitation":"[3]"},"properties":{"noteIndex":0},"schema":"https://github.com/citation-style-language/schema/raw/master/csl-citation.json"}</w:instrText>
            </w:r>
            <w:r w:rsidRPr="00BB4D12">
              <w:rPr>
                <w:rFonts w:ascii="Times New Roman" w:hAnsi="Times New Roman"/>
                <w:sz w:val="24"/>
                <w:szCs w:val="24"/>
              </w:rPr>
              <w:fldChar w:fldCharType="separate"/>
            </w:r>
            <w:r w:rsidRPr="00BB4D12">
              <w:rPr>
                <w:rFonts w:ascii="Times New Roman" w:hAnsi="Times New Roman"/>
                <w:noProof/>
                <w:sz w:val="24"/>
                <w:szCs w:val="24"/>
              </w:rPr>
              <w:t>[3]</w:t>
            </w:r>
            <w:r w:rsidRPr="00BB4D12">
              <w:rPr>
                <w:rFonts w:ascii="Times New Roman" w:hAnsi="Times New Roman"/>
                <w:sz w:val="24"/>
                <w:szCs w:val="24"/>
              </w:rPr>
              <w:fldChar w:fldCharType="end"/>
            </w:r>
          </w:p>
        </w:tc>
      </w:tr>
      <w:tr w:rsidR="00BE5B3D" w:rsidRPr="00BB4D12" w14:paraId="428E0C43" w14:textId="77777777" w:rsidTr="00667850">
        <w:tc>
          <w:tcPr>
            <w:tcW w:w="4077" w:type="dxa"/>
          </w:tcPr>
          <w:p w14:paraId="40042049" w14:textId="77777777" w:rsidR="00BE5B3D" w:rsidRPr="00BB4D12" w:rsidRDefault="00BE5B3D" w:rsidP="00667850">
            <w:pPr>
              <w:spacing w:line="360" w:lineRule="auto"/>
              <w:jc w:val="center"/>
              <w:rPr>
                <w:rFonts w:ascii="Times New Roman" w:hAnsi="Times New Roman"/>
                <w:sz w:val="24"/>
                <w:szCs w:val="24"/>
              </w:rPr>
            </w:pPr>
            <w:r w:rsidRPr="00BB4D12">
              <w:rPr>
                <w:rFonts w:ascii="Times New Roman" w:hAnsi="Times New Roman"/>
                <w:sz w:val="24"/>
                <w:szCs w:val="24"/>
              </w:rPr>
              <w:t>Polyethyleneimine and cysteine</w:t>
            </w:r>
          </w:p>
        </w:tc>
        <w:tc>
          <w:tcPr>
            <w:tcW w:w="2268" w:type="dxa"/>
          </w:tcPr>
          <w:p w14:paraId="79575D78" w14:textId="77777777" w:rsidR="00BE5B3D" w:rsidRPr="00BB4D12" w:rsidRDefault="00BE5B3D" w:rsidP="00667850">
            <w:pPr>
              <w:spacing w:line="360" w:lineRule="auto"/>
              <w:jc w:val="center"/>
              <w:rPr>
                <w:rFonts w:ascii="Times New Roman" w:hAnsi="Times New Roman"/>
                <w:sz w:val="24"/>
                <w:szCs w:val="24"/>
              </w:rPr>
            </w:pPr>
            <w:r w:rsidRPr="00BB4D12">
              <w:rPr>
                <w:rFonts w:ascii="Times New Roman" w:hAnsi="Times New Roman"/>
                <w:sz w:val="24"/>
                <w:szCs w:val="24"/>
              </w:rPr>
              <w:t>74.8</w:t>
            </w:r>
          </w:p>
        </w:tc>
        <w:tc>
          <w:tcPr>
            <w:tcW w:w="2552" w:type="dxa"/>
          </w:tcPr>
          <w:p w14:paraId="27A9B357" w14:textId="77777777" w:rsidR="00BE5B3D" w:rsidRPr="00BB4D12" w:rsidRDefault="00BE5B3D" w:rsidP="00667850">
            <w:pPr>
              <w:spacing w:line="360" w:lineRule="auto"/>
              <w:jc w:val="center"/>
              <w:rPr>
                <w:rFonts w:ascii="Times New Roman" w:hAnsi="Times New Roman"/>
                <w:sz w:val="24"/>
                <w:szCs w:val="24"/>
              </w:rPr>
            </w:pPr>
            <w:r w:rsidRPr="00BB4D12">
              <w:rPr>
                <w:rFonts w:ascii="Times New Roman" w:hAnsi="Times New Roman"/>
                <w:sz w:val="24"/>
                <w:szCs w:val="24"/>
              </w:rPr>
              <w:t>68</w:t>
            </w:r>
          </w:p>
        </w:tc>
        <w:tc>
          <w:tcPr>
            <w:tcW w:w="679" w:type="dxa"/>
          </w:tcPr>
          <w:p w14:paraId="3451D611" w14:textId="77777777" w:rsidR="00BE5B3D" w:rsidRPr="00BB4D12" w:rsidRDefault="00BE5B3D" w:rsidP="00667850">
            <w:pPr>
              <w:spacing w:line="360" w:lineRule="auto"/>
              <w:jc w:val="center"/>
              <w:rPr>
                <w:rFonts w:ascii="Times New Roman" w:hAnsi="Times New Roman"/>
                <w:sz w:val="24"/>
                <w:szCs w:val="24"/>
              </w:rPr>
            </w:pPr>
            <w:r w:rsidRPr="00BB4D12">
              <w:rPr>
                <w:rFonts w:ascii="Times New Roman" w:hAnsi="Times New Roman"/>
                <w:sz w:val="24"/>
                <w:szCs w:val="24"/>
              </w:rPr>
              <w:fldChar w:fldCharType="begin" w:fldLock="1"/>
            </w:r>
            <w:r w:rsidRPr="00BB4D12">
              <w:rPr>
                <w:rFonts w:ascii="Times New Roman" w:hAnsi="Times New Roman"/>
                <w:sz w:val="24"/>
                <w:szCs w:val="24"/>
              </w:rPr>
              <w:instrText>ADDIN CSL_CITATION {"citationItems":[{"id":"ITEM-1","itemData":{"DOI":"10.1021/acs.langmuir.1c00471","ISSN":"15205827","PMID":"33705147","abstract":"This work presents the facile synthesis of heteroatom-doped fluorescent carbon quantum dots (C-dots), which could serve as an antioxidant. Herein, nitrogen, phosphorous, and sulfur codoped carbon dots (NPSC-dots) have been synthesized by a single-step hydrothermal strategy. Owing to the radical scavenging activity of the NPSC-dots, they were tested against several methods as well as in practical applications. The antioxidant ability of the NPSC-dots was efficiently utilized on plastic films by coating with these NPSC-dots. For the very first time, NPSC-dots were immobilized onto nonpolar plastic films (polypropylene) via photochemical covalent grafting to extend the shelf life of food items or storage without affecting the quality of plastic films. The NPSC-dot-coated PP film with negligible deterioration of transparency was extensively studied using scanning electron microscopy (SEM), atomic force microscopy (AFM), Fourier transform infrared (FTIR) analysis, X-ray photoelectron spectroscopy (XPS), contact angle measurement, and thermogravimetric analysis (TGA). The fluorescent character, antioxidant ability, and durability under different solvent systems of the coated film were examined. Also, the coated films were extensively and rigorously evaluated against simulated drastic environmental conditions to ensure the durability and antifogging application.","author":[{"dropping-particle":"","family":"Das","given":"Poushali","non-dropping-particle":"","parse-names":false,"suffix":""},{"dropping-particle":"","family":"Ganguly","given":"Sayan","non-dropping-particle":"","parse-names":false,"suffix":""},{"dropping-particle":"","family":"Margel","given":"Shlomo","non-dropping-particle":"","parse-names":false,"suffix":""},{"dropping-particle":"","family":"Gedanken","given":"Aharon","non-dropping-particle":"","parse-names":false,"suffix":""}],"container-title":"Langmuir","id":"ITEM-1","issue":"11","issued":{"date-parts":[["2021"]]},"page":"3508-3520","title":"Immobilization of Heteroatom-Doped Carbon Dots onto Nonpolar Plastics for Antifogging, Antioxidant, and Food Monitoring Applications","type":"article-journal","volume":"37"},"uris":["http://www.mendeley.com/documents/?uuid=f6d2d6d1-b0eb-4e47-bdea-30f21cc9c5f0"]}],"mendeley":{"formattedCitation":"[4]","plainTextFormattedCitation":"[4]","previouslyFormattedCitation":"[4]"},"properties":{"noteIndex":0},"schema":"https://github.com/citation-style-language/schema/raw/master/csl-citation.json"}</w:instrText>
            </w:r>
            <w:r w:rsidRPr="00BB4D12">
              <w:rPr>
                <w:rFonts w:ascii="Times New Roman" w:hAnsi="Times New Roman"/>
                <w:sz w:val="24"/>
                <w:szCs w:val="24"/>
              </w:rPr>
              <w:fldChar w:fldCharType="separate"/>
            </w:r>
            <w:r w:rsidRPr="00BB4D12">
              <w:rPr>
                <w:rFonts w:ascii="Times New Roman" w:hAnsi="Times New Roman"/>
                <w:noProof/>
                <w:sz w:val="24"/>
                <w:szCs w:val="24"/>
              </w:rPr>
              <w:t>[4]</w:t>
            </w:r>
            <w:r w:rsidRPr="00BB4D12">
              <w:rPr>
                <w:rFonts w:ascii="Times New Roman" w:hAnsi="Times New Roman"/>
                <w:sz w:val="24"/>
                <w:szCs w:val="24"/>
              </w:rPr>
              <w:fldChar w:fldCharType="end"/>
            </w:r>
          </w:p>
        </w:tc>
      </w:tr>
      <w:tr w:rsidR="00BE5B3D" w:rsidRPr="00BB4D12" w14:paraId="35804350" w14:textId="77777777" w:rsidTr="00667850">
        <w:trPr>
          <w:trHeight w:val="420"/>
        </w:trPr>
        <w:tc>
          <w:tcPr>
            <w:tcW w:w="4077" w:type="dxa"/>
          </w:tcPr>
          <w:p w14:paraId="5E79481F" w14:textId="77777777" w:rsidR="00BE5B3D" w:rsidRPr="00BB4D12" w:rsidRDefault="00BE5B3D" w:rsidP="00667850">
            <w:pPr>
              <w:shd w:val="clear" w:color="auto" w:fill="FFFFFF"/>
              <w:spacing w:after="135" w:line="360" w:lineRule="auto"/>
              <w:jc w:val="center"/>
              <w:outlineLvl w:val="0"/>
              <w:rPr>
                <w:rFonts w:ascii="Times New Roman" w:hAnsi="Times New Roman"/>
                <w:sz w:val="24"/>
                <w:szCs w:val="24"/>
              </w:rPr>
            </w:pPr>
            <w:r w:rsidRPr="00BB4D12">
              <w:rPr>
                <w:rFonts w:ascii="Times New Roman" w:hAnsi="Times New Roman"/>
                <w:sz w:val="24"/>
                <w:szCs w:val="24"/>
              </w:rPr>
              <w:t>Selenocysteine</w:t>
            </w:r>
          </w:p>
        </w:tc>
        <w:tc>
          <w:tcPr>
            <w:tcW w:w="2268" w:type="dxa"/>
          </w:tcPr>
          <w:p w14:paraId="6DD0A8AC" w14:textId="77777777" w:rsidR="00BE5B3D" w:rsidRPr="00BB4D12" w:rsidRDefault="00BE5B3D" w:rsidP="00667850">
            <w:pPr>
              <w:spacing w:line="360" w:lineRule="auto"/>
              <w:jc w:val="center"/>
              <w:rPr>
                <w:rFonts w:ascii="Times New Roman" w:hAnsi="Times New Roman"/>
                <w:sz w:val="24"/>
                <w:szCs w:val="24"/>
              </w:rPr>
            </w:pPr>
            <w:r w:rsidRPr="00BB4D12">
              <w:rPr>
                <w:rFonts w:ascii="Times New Roman" w:hAnsi="Times New Roman"/>
                <w:sz w:val="24"/>
                <w:szCs w:val="24"/>
              </w:rPr>
              <w:t>70</w:t>
            </w:r>
          </w:p>
        </w:tc>
        <w:tc>
          <w:tcPr>
            <w:tcW w:w="2552" w:type="dxa"/>
          </w:tcPr>
          <w:p w14:paraId="78E3BF66" w14:textId="77777777" w:rsidR="00BE5B3D" w:rsidRPr="00BB4D12" w:rsidRDefault="00BE5B3D" w:rsidP="00667850">
            <w:pPr>
              <w:spacing w:line="360" w:lineRule="auto"/>
              <w:jc w:val="center"/>
              <w:rPr>
                <w:rFonts w:ascii="Times New Roman" w:hAnsi="Times New Roman"/>
                <w:sz w:val="24"/>
                <w:szCs w:val="24"/>
              </w:rPr>
            </w:pPr>
            <w:r w:rsidRPr="00BB4D12">
              <w:rPr>
                <w:rFonts w:ascii="Times New Roman" w:hAnsi="Times New Roman"/>
                <w:sz w:val="24"/>
                <w:szCs w:val="24"/>
              </w:rPr>
              <w:t>-</w:t>
            </w:r>
          </w:p>
        </w:tc>
        <w:tc>
          <w:tcPr>
            <w:tcW w:w="679" w:type="dxa"/>
          </w:tcPr>
          <w:p w14:paraId="5432A211" w14:textId="77777777" w:rsidR="00BE5B3D" w:rsidRPr="00BB4D12" w:rsidRDefault="00BE5B3D" w:rsidP="00667850">
            <w:pPr>
              <w:spacing w:line="360" w:lineRule="auto"/>
              <w:jc w:val="center"/>
              <w:rPr>
                <w:rFonts w:ascii="Times New Roman" w:hAnsi="Times New Roman"/>
                <w:sz w:val="24"/>
                <w:szCs w:val="24"/>
              </w:rPr>
            </w:pPr>
            <w:r w:rsidRPr="00BB4D12">
              <w:rPr>
                <w:rFonts w:ascii="Times New Roman" w:hAnsi="Times New Roman"/>
                <w:sz w:val="24"/>
                <w:szCs w:val="24"/>
              </w:rPr>
              <w:fldChar w:fldCharType="begin" w:fldLock="1"/>
            </w:r>
            <w:r w:rsidRPr="00BB4D12">
              <w:rPr>
                <w:rFonts w:ascii="Times New Roman" w:hAnsi="Times New Roman"/>
                <w:sz w:val="24"/>
                <w:szCs w:val="24"/>
              </w:rPr>
              <w:instrText>ADDIN CSL_CITATION {"citationItems":[{"id":"ITEM-1","itemData":{"DOI":"10.1021/acs.iecr.0c03402","ISSN":"15205045","abstract":"We report the process of intensified preparation of ultrasmall and monodisperse selenium-doped carbon dots (Se-CDs) by using an internal circulation rotating packed bed (IC-RPB) as the reactor, in which the micromixing and mass transfer for reactants are highly enhanced. Compared with the Se-CDs prepared in a typical autoclave (without stirring) and stirred tank reactors, the Se-CDs obtained in the IC-RPB reactor are significantly reduced in size (2 nm). The ultrasmall Se-CDs exhibit excellent monodispersity with bright green luminescence under irradiation of UV light. The quantum yield of newly developed ultrasmall Se-CDs is 11.35%, which achieves a new record on the basis of reports previously. The ultrasmall Se-CDs show low cytotoxicity and can easily get inside the cells, endowing with capacity for in vitro bioimaging. Furthermore, the Se-CDs could be used as favorable free radical scavengers due to the dose-dependent cytoprotective capability against oxidative damage induced by H2O2.","author":[{"dropping-particle":"","family":"Shi","given":"Jie","non-dropping-particle":"","parse-names":false,"suffix":""},{"dropping-particle":"","family":"Pu","given":"Yuan","non-dropping-particle":"","parse-names":false,"suffix":""},{"dropping-particle":"","family":"Wang","given":"Jie Xin","non-dropping-particle":"","parse-names":false,"suffix":""},{"dropping-particle":"","family":"Wang","given":"Dan","non-dropping-particle":"","parse-names":false,"suffix":""},{"dropping-particle":"","family":"Chen","given":"Jian Feng","non-dropping-particle":"","parse-names":false,"suffix":""}],"container-title":"Industrial and Engineering Chemistry Research","id":"ITEM-1","issue":"38","issued":{"date-parts":[["2020"]]},"page":"16876-16883","title":"Synthesis of ultrasmall and monodisperse selenium-doped carbon dots from amino acids for free radical scavenging Rina Su","type":"article-journal","volume":"59"},"uris":["http://www.mendeley.com/documents/?uuid=439c8253-40af-4ee2-9c91-37aeee1620cc"]}],"mendeley":{"formattedCitation":"[5]","plainTextFormattedCitation":"[5]","previouslyFormattedCitation":"[5]"},"properties":{"noteIndex":0},"schema":"https://github.com/citation-style-language/schema/raw/master/csl-citation.json"}</w:instrText>
            </w:r>
            <w:r w:rsidRPr="00BB4D12">
              <w:rPr>
                <w:rFonts w:ascii="Times New Roman" w:hAnsi="Times New Roman"/>
                <w:sz w:val="24"/>
                <w:szCs w:val="24"/>
              </w:rPr>
              <w:fldChar w:fldCharType="separate"/>
            </w:r>
            <w:r w:rsidRPr="00BB4D12">
              <w:rPr>
                <w:rFonts w:ascii="Times New Roman" w:hAnsi="Times New Roman"/>
                <w:noProof/>
                <w:sz w:val="24"/>
                <w:szCs w:val="24"/>
              </w:rPr>
              <w:t>[5]</w:t>
            </w:r>
            <w:r w:rsidRPr="00BB4D12">
              <w:rPr>
                <w:rFonts w:ascii="Times New Roman" w:hAnsi="Times New Roman"/>
                <w:sz w:val="24"/>
                <w:szCs w:val="24"/>
              </w:rPr>
              <w:fldChar w:fldCharType="end"/>
            </w:r>
          </w:p>
        </w:tc>
      </w:tr>
      <w:tr w:rsidR="00BE5B3D" w:rsidRPr="00BB4D12" w14:paraId="0C65A898" w14:textId="77777777" w:rsidTr="00667850">
        <w:tc>
          <w:tcPr>
            <w:tcW w:w="4077" w:type="dxa"/>
          </w:tcPr>
          <w:p w14:paraId="14A32570" w14:textId="77777777" w:rsidR="00BE5B3D" w:rsidRPr="00BB4D12" w:rsidRDefault="00BE5B3D" w:rsidP="00667850">
            <w:pPr>
              <w:shd w:val="clear" w:color="auto" w:fill="FFFFFF"/>
              <w:spacing w:after="135" w:line="360" w:lineRule="auto"/>
              <w:jc w:val="center"/>
              <w:outlineLvl w:val="0"/>
              <w:rPr>
                <w:rFonts w:ascii="Times New Roman" w:hAnsi="Times New Roman"/>
                <w:color w:val="000000"/>
                <w:kern w:val="36"/>
                <w:sz w:val="24"/>
                <w:szCs w:val="24"/>
              </w:rPr>
            </w:pPr>
            <w:r w:rsidRPr="00BB4D12">
              <w:rPr>
                <w:rFonts w:ascii="Times New Roman" w:hAnsi="Times New Roman"/>
                <w:sz w:val="24"/>
                <w:szCs w:val="24"/>
              </w:rPr>
              <w:t>Black soya beans</w:t>
            </w:r>
          </w:p>
        </w:tc>
        <w:tc>
          <w:tcPr>
            <w:tcW w:w="2268" w:type="dxa"/>
          </w:tcPr>
          <w:p w14:paraId="51DFF734" w14:textId="77777777" w:rsidR="00BE5B3D" w:rsidRPr="00BB4D12" w:rsidRDefault="00BE5B3D" w:rsidP="00667850">
            <w:pPr>
              <w:spacing w:line="360" w:lineRule="auto"/>
              <w:jc w:val="center"/>
              <w:rPr>
                <w:rFonts w:ascii="Times New Roman" w:hAnsi="Times New Roman"/>
                <w:sz w:val="24"/>
                <w:szCs w:val="24"/>
              </w:rPr>
            </w:pPr>
            <w:r w:rsidRPr="00BB4D12">
              <w:rPr>
                <w:rFonts w:ascii="Times New Roman" w:hAnsi="Times New Roman"/>
                <w:color w:val="2E2E2E"/>
                <w:sz w:val="24"/>
                <w:szCs w:val="24"/>
              </w:rPr>
              <w:t>62.8</w:t>
            </w:r>
          </w:p>
        </w:tc>
        <w:tc>
          <w:tcPr>
            <w:tcW w:w="2552" w:type="dxa"/>
          </w:tcPr>
          <w:p w14:paraId="181B649A" w14:textId="77777777" w:rsidR="00BE5B3D" w:rsidRPr="00BB4D12" w:rsidRDefault="00BE5B3D" w:rsidP="00667850">
            <w:pPr>
              <w:spacing w:line="360" w:lineRule="auto"/>
              <w:jc w:val="center"/>
              <w:rPr>
                <w:rFonts w:ascii="Times New Roman" w:hAnsi="Times New Roman"/>
                <w:sz w:val="24"/>
                <w:szCs w:val="24"/>
              </w:rPr>
            </w:pPr>
            <w:r w:rsidRPr="00BB4D12">
              <w:rPr>
                <w:rFonts w:ascii="Times New Roman" w:hAnsi="Times New Roman"/>
                <w:sz w:val="24"/>
                <w:szCs w:val="24"/>
              </w:rPr>
              <w:t>81.3</w:t>
            </w:r>
          </w:p>
        </w:tc>
        <w:tc>
          <w:tcPr>
            <w:tcW w:w="679" w:type="dxa"/>
          </w:tcPr>
          <w:p w14:paraId="6DEF3232" w14:textId="77777777" w:rsidR="00BE5B3D" w:rsidRPr="00BB4D12" w:rsidRDefault="00BE5B3D" w:rsidP="00667850">
            <w:pPr>
              <w:spacing w:line="360" w:lineRule="auto"/>
              <w:jc w:val="center"/>
              <w:rPr>
                <w:rFonts w:ascii="Times New Roman" w:hAnsi="Times New Roman"/>
                <w:sz w:val="24"/>
                <w:szCs w:val="24"/>
              </w:rPr>
            </w:pPr>
            <w:r w:rsidRPr="00BB4D12">
              <w:rPr>
                <w:rFonts w:ascii="Times New Roman" w:hAnsi="Times New Roman"/>
                <w:sz w:val="24"/>
                <w:szCs w:val="24"/>
              </w:rPr>
              <w:fldChar w:fldCharType="begin" w:fldLock="1"/>
            </w:r>
            <w:r w:rsidRPr="00BB4D12">
              <w:rPr>
                <w:rFonts w:ascii="Times New Roman" w:hAnsi="Times New Roman"/>
                <w:sz w:val="24"/>
                <w:szCs w:val="24"/>
              </w:rPr>
              <w:instrText>ADDIN CSL_CITATION {"citationItems":[{"id":"ITEM-1","itemData":{"DOI":"10.1016/j.saa.2018.12.034","ISSN":"13861425","PMID":"30593946","abstract":"The novel N doped carbon dots (N-CDs) were readily fabricated through one-step pyrolysis method from black soya beans. The obtained N-CDs possessed excellent photoluminescence properties with quantum yield of 38.7 ± 0.64% and dual responsive properties towards free radical and Fe3+. The N-CDs exhibited favorable radical scavenging activity (RSA) against 1,1-diphenyl-2-picrylhydrazyl (DPPH) and superoxide anion radicals. Fe3+ could induce photoluminescence quenching of N-CDs through static quenching characteristics. The possible quenching mechanism was presented. Combining with negligible toxicity and preferable biocompatibility, the N-CDs were extended to imaging intracellular Fe3+. As an attractive candidate, the N-CDs demonstrated a great potential in free radical scavenging, sensing and cellular imaging.","author":[{"dropping-particle":"","family":"Jia","given":"Jing","non-dropping-particle":"","parse-names":false,"suffix":""},{"dropping-particle":"","family":"Lin","given":"Bo","non-dropping-particle":"","parse-names":false,"suffix":""},{"dropping-particle":"","family":"Gao","given":"Yifang","non-dropping-particle":"","parse-names":false,"suffix":""},{"dropping-particle":"","family":"Jiao","given":"Yuan","non-dropping-particle":"","parse-names":false,"suffix":""},{"dropping-particle":"","family":"Li","given":"Lei","non-dropping-particle":"","parse-names":false,"suffix":""},{"dropping-particle":"","family":"Dong","given":"Chuan","non-dropping-particle":"","parse-names":false,"suffix":""},{"dropping-particle":"","family":"Shuang","given":"Shaomin","non-dropping-particle":"","parse-names":false,"suffix":""}],"container-title":"Spectrochimica Acta - Part A: Molecular and Biomolecular Spectroscopy","id":"ITEM-1","issued":{"date-parts":[["2019"]]},"page":"363-372","publisher":"Elsevier B.V.","title":"Highly luminescent N-doped carbon dots from black soya beans for free radical scavenging, Fe3+ sensing and cellular imaging","type":"article-journal","volume":"211"},"uris":["http://www.mendeley.com/documents/?uuid=0882eacc-0cb3-43a1-898d-82c5d778cf77"]}],"mendeley":{"formattedCitation":"[6]","plainTextFormattedCitation":"[6]","previouslyFormattedCitation":"[6]"},"properties":{"noteIndex":0},"schema":"https://github.com/citation-style-language/schema/raw/master/csl-citation.json"}</w:instrText>
            </w:r>
            <w:r w:rsidRPr="00BB4D12">
              <w:rPr>
                <w:rFonts w:ascii="Times New Roman" w:hAnsi="Times New Roman"/>
                <w:sz w:val="24"/>
                <w:szCs w:val="24"/>
              </w:rPr>
              <w:fldChar w:fldCharType="separate"/>
            </w:r>
            <w:r w:rsidRPr="00BB4D12">
              <w:rPr>
                <w:rFonts w:ascii="Times New Roman" w:hAnsi="Times New Roman"/>
                <w:noProof/>
                <w:sz w:val="24"/>
                <w:szCs w:val="24"/>
              </w:rPr>
              <w:t>[6]</w:t>
            </w:r>
            <w:r w:rsidRPr="00BB4D12">
              <w:rPr>
                <w:rFonts w:ascii="Times New Roman" w:hAnsi="Times New Roman"/>
                <w:sz w:val="24"/>
                <w:szCs w:val="24"/>
              </w:rPr>
              <w:fldChar w:fldCharType="end"/>
            </w:r>
          </w:p>
        </w:tc>
      </w:tr>
      <w:tr w:rsidR="00BE5B3D" w:rsidRPr="00BB4D12" w14:paraId="3376537D" w14:textId="77777777" w:rsidTr="00667850">
        <w:tc>
          <w:tcPr>
            <w:tcW w:w="4077" w:type="dxa"/>
          </w:tcPr>
          <w:p w14:paraId="33018F95" w14:textId="77777777" w:rsidR="00BE5B3D" w:rsidRPr="00BB4D12" w:rsidRDefault="00BE5B3D" w:rsidP="00667850">
            <w:pPr>
              <w:spacing w:line="360" w:lineRule="auto"/>
              <w:jc w:val="center"/>
              <w:rPr>
                <w:rFonts w:ascii="Times New Roman" w:hAnsi="Times New Roman"/>
                <w:b/>
                <w:bCs/>
                <w:sz w:val="24"/>
                <w:szCs w:val="24"/>
              </w:rPr>
            </w:pPr>
            <w:r w:rsidRPr="00BB4D12">
              <w:rPr>
                <w:rFonts w:ascii="Times New Roman" w:hAnsi="Times New Roman"/>
                <w:b/>
                <w:bCs/>
                <w:sz w:val="24"/>
                <w:szCs w:val="24"/>
              </w:rPr>
              <w:t>PPCCDs</w:t>
            </w:r>
          </w:p>
        </w:tc>
        <w:tc>
          <w:tcPr>
            <w:tcW w:w="2268" w:type="dxa"/>
          </w:tcPr>
          <w:p w14:paraId="5DEE2217" w14:textId="77777777" w:rsidR="00BE5B3D" w:rsidRPr="00BB4D12" w:rsidRDefault="00BE5B3D" w:rsidP="00667850">
            <w:pPr>
              <w:spacing w:line="360" w:lineRule="auto"/>
              <w:jc w:val="center"/>
              <w:rPr>
                <w:rFonts w:ascii="Times New Roman" w:hAnsi="Times New Roman"/>
                <w:b/>
                <w:bCs/>
                <w:sz w:val="24"/>
                <w:szCs w:val="24"/>
              </w:rPr>
            </w:pPr>
            <w:r w:rsidRPr="00BB4D12">
              <w:rPr>
                <w:rFonts w:ascii="Times New Roman" w:hAnsi="Times New Roman"/>
                <w:b/>
                <w:bCs/>
                <w:sz w:val="24"/>
                <w:szCs w:val="24"/>
              </w:rPr>
              <w:t>94</w:t>
            </w:r>
          </w:p>
        </w:tc>
        <w:tc>
          <w:tcPr>
            <w:tcW w:w="2552" w:type="dxa"/>
          </w:tcPr>
          <w:p w14:paraId="139EB9D4" w14:textId="77777777" w:rsidR="00BE5B3D" w:rsidRPr="00BB4D12" w:rsidRDefault="00BE5B3D" w:rsidP="00667850">
            <w:pPr>
              <w:spacing w:line="360" w:lineRule="auto"/>
              <w:jc w:val="center"/>
              <w:rPr>
                <w:rFonts w:ascii="Times New Roman" w:hAnsi="Times New Roman"/>
                <w:b/>
                <w:bCs/>
                <w:sz w:val="24"/>
                <w:szCs w:val="24"/>
              </w:rPr>
            </w:pPr>
            <w:r w:rsidRPr="00BB4D12">
              <w:rPr>
                <w:rFonts w:ascii="Times New Roman" w:hAnsi="Times New Roman"/>
                <w:b/>
                <w:bCs/>
                <w:sz w:val="24"/>
                <w:szCs w:val="24"/>
              </w:rPr>
              <w:t>89</w:t>
            </w:r>
          </w:p>
        </w:tc>
        <w:tc>
          <w:tcPr>
            <w:tcW w:w="679" w:type="dxa"/>
          </w:tcPr>
          <w:p w14:paraId="4B4BBBF4" w14:textId="77777777" w:rsidR="00BE5B3D" w:rsidRPr="00BB4D12" w:rsidRDefault="00BE5B3D" w:rsidP="00667850">
            <w:pPr>
              <w:spacing w:line="360" w:lineRule="auto"/>
              <w:jc w:val="center"/>
              <w:rPr>
                <w:rFonts w:ascii="Times New Roman" w:hAnsi="Times New Roman"/>
                <w:b/>
                <w:bCs/>
                <w:sz w:val="24"/>
                <w:szCs w:val="24"/>
              </w:rPr>
            </w:pPr>
            <w:r w:rsidRPr="00BB4D12">
              <w:rPr>
                <w:rFonts w:ascii="Times New Roman" w:hAnsi="Times New Roman"/>
                <w:b/>
                <w:bCs/>
                <w:sz w:val="24"/>
                <w:szCs w:val="24"/>
              </w:rPr>
              <w:t>This work</w:t>
            </w:r>
          </w:p>
        </w:tc>
      </w:tr>
      <w:bookmarkEnd w:id="3"/>
    </w:tbl>
    <w:p w14:paraId="5D6D9FB3" w14:textId="77777777" w:rsidR="007F6512" w:rsidRPr="00BB4D12" w:rsidRDefault="007F6512" w:rsidP="007F6512">
      <w:pPr>
        <w:spacing w:line="480" w:lineRule="auto"/>
        <w:rPr>
          <w:rFonts w:ascii="Times New Roman" w:hAnsi="Times New Roman"/>
        </w:rPr>
      </w:pPr>
    </w:p>
    <w:p w14:paraId="51948632" w14:textId="77777777" w:rsidR="007F6512" w:rsidRPr="00BB4D12" w:rsidRDefault="007F6512" w:rsidP="007F6512">
      <w:pPr>
        <w:spacing w:line="480" w:lineRule="auto"/>
        <w:rPr>
          <w:rFonts w:ascii="Times New Roman" w:hAnsi="Times New Roman"/>
          <w:b/>
          <w:bCs/>
          <w:color w:val="000000"/>
        </w:rPr>
      </w:pPr>
      <w:r w:rsidRPr="00BB4D12">
        <w:rPr>
          <w:rFonts w:ascii="Times New Roman" w:hAnsi="Times New Roman"/>
          <w:b/>
          <w:bCs/>
          <w:color w:val="000000"/>
        </w:rPr>
        <w:t xml:space="preserve">Table S.3 </w:t>
      </w:r>
      <w:r w:rsidRPr="00BB4D12">
        <w:rPr>
          <w:rFonts w:ascii="Times New Roman" w:hAnsi="Times New Roman"/>
          <w:color w:val="000000"/>
        </w:rPr>
        <w:t>Comparison of rate constant performances of various nano-catalyst over degradation of Rhodamine-B</w:t>
      </w:r>
    </w:p>
    <w:tbl>
      <w:tblPr>
        <w:tblStyle w:val="TableGrid"/>
        <w:tblW w:w="9554" w:type="dxa"/>
        <w:tblLook w:val="04A0" w:firstRow="1" w:lastRow="0" w:firstColumn="1" w:lastColumn="0" w:noHBand="0" w:noVBand="1"/>
      </w:tblPr>
      <w:tblGrid>
        <w:gridCol w:w="3667"/>
        <w:gridCol w:w="2227"/>
        <w:gridCol w:w="2011"/>
        <w:gridCol w:w="1649"/>
      </w:tblGrid>
      <w:tr w:rsidR="007F6512" w:rsidRPr="00BB4D12" w14:paraId="13DC6FA7" w14:textId="77777777" w:rsidTr="008F00A6">
        <w:trPr>
          <w:trHeight w:val="305"/>
        </w:trPr>
        <w:tc>
          <w:tcPr>
            <w:tcW w:w="3667" w:type="dxa"/>
          </w:tcPr>
          <w:p w14:paraId="49ED02C8" w14:textId="77777777" w:rsidR="007F6512" w:rsidRPr="00BB4D12" w:rsidRDefault="007F6512" w:rsidP="008F00A6">
            <w:pPr>
              <w:jc w:val="center"/>
              <w:rPr>
                <w:rFonts w:ascii="Times New Roman" w:hAnsi="Times New Roman"/>
                <w:b/>
                <w:bCs/>
                <w:sz w:val="24"/>
                <w:szCs w:val="24"/>
              </w:rPr>
            </w:pPr>
            <w:r w:rsidRPr="00BB4D12">
              <w:rPr>
                <w:rFonts w:ascii="Times New Roman" w:hAnsi="Times New Roman"/>
                <w:b/>
                <w:bCs/>
                <w:sz w:val="24"/>
                <w:szCs w:val="24"/>
              </w:rPr>
              <w:t>Nanomaterials</w:t>
            </w:r>
          </w:p>
        </w:tc>
        <w:tc>
          <w:tcPr>
            <w:tcW w:w="2227" w:type="dxa"/>
          </w:tcPr>
          <w:p w14:paraId="24908B99" w14:textId="77777777" w:rsidR="007F6512" w:rsidRPr="00BB4D12" w:rsidRDefault="007F6512" w:rsidP="008F00A6">
            <w:pPr>
              <w:jc w:val="center"/>
              <w:rPr>
                <w:rFonts w:ascii="Times New Roman" w:hAnsi="Times New Roman"/>
                <w:b/>
                <w:bCs/>
                <w:sz w:val="24"/>
                <w:szCs w:val="24"/>
              </w:rPr>
            </w:pPr>
            <w:r w:rsidRPr="00BB4D12">
              <w:rPr>
                <w:rFonts w:ascii="Times New Roman" w:hAnsi="Times New Roman"/>
                <w:b/>
                <w:bCs/>
                <w:sz w:val="24"/>
                <w:szCs w:val="24"/>
              </w:rPr>
              <w:t>K</w:t>
            </w:r>
            <w:r w:rsidRPr="00BB4D12">
              <w:rPr>
                <w:rFonts w:ascii="Times New Roman" w:hAnsi="Times New Roman"/>
                <w:b/>
                <w:bCs/>
                <w:sz w:val="24"/>
                <w:szCs w:val="24"/>
                <w:vertAlign w:val="subscript"/>
              </w:rPr>
              <w:t>app</w:t>
            </w:r>
            <w:r w:rsidRPr="00BB4D12">
              <w:rPr>
                <w:rFonts w:ascii="Times New Roman" w:hAnsi="Times New Roman"/>
                <w:b/>
                <w:bCs/>
                <w:sz w:val="24"/>
                <w:szCs w:val="24"/>
              </w:rPr>
              <w:t xml:space="preserve"> (10</w:t>
            </w:r>
            <w:r w:rsidRPr="00BB4D12">
              <w:rPr>
                <w:rFonts w:ascii="Times New Roman" w:hAnsi="Times New Roman"/>
                <w:b/>
                <w:bCs/>
                <w:sz w:val="24"/>
                <w:szCs w:val="24"/>
                <w:vertAlign w:val="superscript"/>
              </w:rPr>
              <w:t>-3</w:t>
            </w:r>
            <w:r w:rsidRPr="00BB4D12">
              <w:rPr>
                <w:rFonts w:ascii="Times New Roman" w:hAnsi="Times New Roman"/>
                <w:b/>
                <w:bCs/>
                <w:sz w:val="24"/>
                <w:szCs w:val="24"/>
              </w:rPr>
              <w:t xml:space="preserve"> min</w:t>
            </w:r>
            <w:r w:rsidRPr="00BB4D12">
              <w:rPr>
                <w:rFonts w:ascii="Times New Roman" w:hAnsi="Times New Roman"/>
                <w:b/>
                <w:bCs/>
                <w:sz w:val="24"/>
                <w:szCs w:val="24"/>
                <w:vertAlign w:val="superscript"/>
              </w:rPr>
              <w:t>-1</w:t>
            </w:r>
            <w:r w:rsidRPr="00BB4D12">
              <w:rPr>
                <w:rFonts w:ascii="Times New Roman" w:hAnsi="Times New Roman"/>
                <w:b/>
                <w:bCs/>
                <w:sz w:val="24"/>
                <w:szCs w:val="24"/>
              </w:rPr>
              <w:t>)</w:t>
            </w:r>
          </w:p>
        </w:tc>
        <w:tc>
          <w:tcPr>
            <w:tcW w:w="2011" w:type="dxa"/>
          </w:tcPr>
          <w:p w14:paraId="5848375C" w14:textId="77777777" w:rsidR="007F6512" w:rsidRPr="00BB4D12" w:rsidRDefault="007F6512" w:rsidP="008F00A6">
            <w:pPr>
              <w:jc w:val="center"/>
              <w:rPr>
                <w:rFonts w:ascii="Times New Roman" w:hAnsi="Times New Roman"/>
                <w:sz w:val="24"/>
                <w:szCs w:val="24"/>
              </w:rPr>
            </w:pPr>
            <w:r w:rsidRPr="00BB4D12">
              <w:rPr>
                <w:rFonts w:ascii="Times New Roman" w:hAnsi="Times New Roman"/>
                <w:b/>
                <w:bCs/>
                <w:sz w:val="24"/>
                <w:szCs w:val="24"/>
              </w:rPr>
              <w:t>K (s</w:t>
            </w:r>
            <w:r w:rsidRPr="00BB4D12">
              <w:rPr>
                <w:rFonts w:ascii="Times New Roman" w:hAnsi="Times New Roman"/>
                <w:b/>
                <w:bCs/>
                <w:sz w:val="24"/>
                <w:szCs w:val="24"/>
                <w:vertAlign w:val="superscript"/>
              </w:rPr>
              <w:t xml:space="preserve">-1 </w:t>
            </w:r>
            <w:r w:rsidRPr="00BB4D12">
              <w:rPr>
                <w:rFonts w:ascii="Times New Roman" w:hAnsi="Times New Roman"/>
                <w:b/>
                <w:bCs/>
                <w:sz w:val="24"/>
                <w:szCs w:val="24"/>
              </w:rPr>
              <w:t>g)</w:t>
            </w:r>
          </w:p>
        </w:tc>
        <w:tc>
          <w:tcPr>
            <w:tcW w:w="1649" w:type="dxa"/>
          </w:tcPr>
          <w:p w14:paraId="6580A8E6" w14:textId="77777777" w:rsidR="007F6512" w:rsidRPr="00BB4D12" w:rsidRDefault="00F81F73" w:rsidP="008F00A6">
            <w:pPr>
              <w:jc w:val="center"/>
              <w:rPr>
                <w:rFonts w:ascii="Times New Roman" w:hAnsi="Times New Roman"/>
                <w:b/>
                <w:bCs/>
                <w:sz w:val="24"/>
                <w:szCs w:val="24"/>
              </w:rPr>
            </w:pPr>
            <w:r w:rsidRPr="00BB4D12">
              <w:rPr>
                <w:rFonts w:ascii="Times New Roman" w:hAnsi="Times New Roman"/>
                <w:b/>
                <w:bCs/>
                <w:sz w:val="24"/>
                <w:szCs w:val="24"/>
              </w:rPr>
              <w:t>R</w:t>
            </w:r>
            <w:r w:rsidR="007F6512" w:rsidRPr="00BB4D12">
              <w:rPr>
                <w:rFonts w:ascii="Times New Roman" w:hAnsi="Times New Roman"/>
                <w:b/>
                <w:bCs/>
                <w:sz w:val="24"/>
                <w:szCs w:val="24"/>
              </w:rPr>
              <w:t>ef</w:t>
            </w:r>
            <w:r w:rsidRPr="00BB4D12">
              <w:rPr>
                <w:rFonts w:ascii="Times New Roman" w:hAnsi="Times New Roman"/>
                <w:b/>
                <w:bCs/>
                <w:sz w:val="24"/>
                <w:szCs w:val="24"/>
              </w:rPr>
              <w:t>.</w:t>
            </w:r>
          </w:p>
        </w:tc>
      </w:tr>
      <w:tr w:rsidR="007F6512" w:rsidRPr="00BB4D12" w14:paraId="784A82B8" w14:textId="77777777" w:rsidTr="008F00A6">
        <w:trPr>
          <w:trHeight w:val="305"/>
        </w:trPr>
        <w:tc>
          <w:tcPr>
            <w:tcW w:w="3667" w:type="dxa"/>
          </w:tcPr>
          <w:p w14:paraId="0AB402F5" w14:textId="77777777" w:rsidR="007F6512" w:rsidRPr="00BB4D12" w:rsidRDefault="007F6512" w:rsidP="008F00A6">
            <w:pPr>
              <w:jc w:val="center"/>
              <w:rPr>
                <w:rFonts w:ascii="Times New Roman" w:hAnsi="Times New Roman"/>
                <w:sz w:val="24"/>
                <w:szCs w:val="24"/>
              </w:rPr>
            </w:pPr>
            <w:r w:rsidRPr="00BB4D12">
              <w:rPr>
                <w:rFonts w:ascii="Times New Roman" w:hAnsi="Times New Roman"/>
                <w:sz w:val="24"/>
                <w:szCs w:val="24"/>
              </w:rPr>
              <w:t>Au/CeO</w:t>
            </w:r>
            <w:r w:rsidRPr="00BB4D12">
              <w:rPr>
                <w:rFonts w:ascii="Times New Roman" w:hAnsi="Times New Roman"/>
                <w:sz w:val="24"/>
                <w:szCs w:val="24"/>
                <w:vertAlign w:val="subscript"/>
              </w:rPr>
              <w:t>2</w:t>
            </w:r>
            <w:r w:rsidRPr="00BB4D12">
              <w:rPr>
                <w:rFonts w:ascii="Times New Roman" w:hAnsi="Times New Roman"/>
                <w:sz w:val="24"/>
                <w:szCs w:val="24"/>
              </w:rPr>
              <w:t>-TiO</w:t>
            </w:r>
            <w:r w:rsidRPr="00BB4D12">
              <w:rPr>
                <w:rFonts w:ascii="Times New Roman" w:hAnsi="Times New Roman"/>
                <w:sz w:val="24"/>
                <w:szCs w:val="24"/>
                <w:vertAlign w:val="subscript"/>
              </w:rPr>
              <w:t>2</w:t>
            </w:r>
            <w:r w:rsidRPr="00BB4D12">
              <w:rPr>
                <w:rFonts w:ascii="Times New Roman" w:hAnsi="Times New Roman"/>
                <w:sz w:val="24"/>
                <w:szCs w:val="24"/>
              </w:rPr>
              <w:t xml:space="preserve"> nano-hybrid</w:t>
            </w:r>
          </w:p>
        </w:tc>
        <w:tc>
          <w:tcPr>
            <w:tcW w:w="2227" w:type="dxa"/>
          </w:tcPr>
          <w:p w14:paraId="36E227B4" w14:textId="77777777" w:rsidR="007F6512" w:rsidRPr="00BB4D12" w:rsidRDefault="007F6512" w:rsidP="008F00A6">
            <w:pPr>
              <w:jc w:val="center"/>
              <w:rPr>
                <w:rFonts w:ascii="Times New Roman" w:hAnsi="Times New Roman"/>
                <w:sz w:val="24"/>
                <w:szCs w:val="24"/>
              </w:rPr>
            </w:pPr>
            <w:r w:rsidRPr="00BB4D12">
              <w:rPr>
                <w:rFonts w:ascii="Times New Roman" w:hAnsi="Times New Roman"/>
                <w:sz w:val="24"/>
                <w:szCs w:val="24"/>
              </w:rPr>
              <w:t>223.9</w:t>
            </w:r>
          </w:p>
        </w:tc>
        <w:tc>
          <w:tcPr>
            <w:tcW w:w="2011" w:type="dxa"/>
          </w:tcPr>
          <w:p w14:paraId="1D19EECC" w14:textId="77777777" w:rsidR="007F6512" w:rsidRPr="00BB4D12" w:rsidRDefault="007F6512" w:rsidP="008F00A6">
            <w:pPr>
              <w:jc w:val="center"/>
              <w:rPr>
                <w:rFonts w:ascii="Times New Roman" w:hAnsi="Times New Roman"/>
                <w:b/>
                <w:bCs/>
                <w:sz w:val="24"/>
                <w:szCs w:val="24"/>
              </w:rPr>
            </w:pPr>
            <w:r w:rsidRPr="00BB4D12">
              <w:rPr>
                <w:rFonts w:ascii="Times New Roman" w:hAnsi="Times New Roman"/>
                <w:sz w:val="24"/>
                <w:szCs w:val="24"/>
              </w:rPr>
              <w:t>0.196</w:t>
            </w:r>
          </w:p>
        </w:tc>
        <w:tc>
          <w:tcPr>
            <w:tcW w:w="1649" w:type="dxa"/>
          </w:tcPr>
          <w:p w14:paraId="06EAC9C0" w14:textId="77777777" w:rsidR="007F6512" w:rsidRPr="00BB4D12" w:rsidRDefault="00D86718" w:rsidP="008F00A6">
            <w:pPr>
              <w:jc w:val="center"/>
              <w:rPr>
                <w:rFonts w:ascii="Times New Roman" w:hAnsi="Times New Roman"/>
                <w:b/>
                <w:bCs/>
                <w:sz w:val="24"/>
                <w:szCs w:val="24"/>
              </w:rPr>
            </w:pPr>
            <w:r w:rsidRPr="00BB4D12">
              <w:rPr>
                <w:rFonts w:ascii="Times New Roman" w:hAnsi="Times New Roman"/>
                <w:b/>
                <w:bCs/>
                <w:sz w:val="24"/>
                <w:szCs w:val="24"/>
              </w:rPr>
              <w:fldChar w:fldCharType="begin" w:fldLock="1"/>
            </w:r>
            <w:r w:rsidRPr="00BB4D12">
              <w:rPr>
                <w:rFonts w:ascii="Times New Roman" w:hAnsi="Times New Roman"/>
                <w:b/>
                <w:bCs/>
                <w:sz w:val="24"/>
                <w:szCs w:val="24"/>
              </w:rPr>
              <w:instrText xml:space="preserve">ADDIN CSL_CITATION {"citationItems":[{"id":"ITEM-1","itemData":{"DOI":"10.1007/s12039-016-1203-0","ISBN":"1203901612030","ISSN":"09737103","abstract":"Highly improved catalytic reductive degradation of different organic dyes, in the presence of excess NaBH4 over Au/CeO2-TiO2 nano-hybrid as the catalyst is reported in this study. CeO2-TiO2 nanocomposite was prepared by a facile co-precipitation method using ultra-high dilute aqueous solutions. Small amount of Au (only 1 wt%) was loaded onto the nanocomposite material by deposition-precipitation with urea (DPU) method to fabricate the ternary Au/CeO2-TiO2 nano-hybrid. The catalysts were characterized by the representative techniques like XRD, BET surface area, ICP-AES, UV-Vis diffuse reflectance spectroscopy, TEM and XPS. The Au/CeO2-TiO2 nano-hybrid along with NaBH4 exhibited remarkable catalytic activities towards all the probed dyes, namely Methylene Blue, Methyl Orange, Congo Red, Rhodamine B and Malachite Green, with a degradation efficiency of </w:instrText>
            </w:r>
            <w:r w:rsidRPr="00BB4D12">
              <w:rPr>
                <w:rFonts w:ascii="Cambria Math" w:hAnsi="Cambria Math" w:cs="Cambria Math"/>
                <w:b/>
                <w:bCs/>
                <w:sz w:val="24"/>
                <w:szCs w:val="24"/>
              </w:rPr>
              <w:instrText>∼</w:instrText>
            </w:r>
            <w:r w:rsidRPr="00BB4D12">
              <w:rPr>
                <w:rFonts w:ascii="Times New Roman" w:hAnsi="Times New Roman"/>
                <w:b/>
                <w:bCs/>
                <w:sz w:val="24"/>
                <w:szCs w:val="24"/>
              </w:rPr>
              <w:instrText>100% in a short reaction time. The degradation reaction followed pseudo-first-order kinetics with respect to the concentration of the dye. Different parameters that affect the rate of the reaction are discussed. A plausible mechanism for methylene blue degradation has also been proposed. [Figure not available: see fulltext.]","author":[{"dropping-particle":"","family":"Saikia","given":"Pranjal","non-dropping-particle":"","parse-names":false,"suffix":""},{"dropping-particle":"","family":"Miah","given":"Abu T.","non-dropping-particle":"","parse-names":false,"suffix":""},{"dropping-particle":"","family":"Das","given":"Partha P.","non-dropping-particle":"","parse-names":false,"suffix":""}],"container-title":"Journal of Chemical Sciences","id":"ITEM-1","issue":"1","issued":{"date-parts":[["2017"]]},"page":"81-93","title":"Highly efficient catalytic reductive degradation of various organic dyes by Au/CeO2-TiO2 nano-hybrid","type":"article-journal","volume":"129"},"uris":["http://www.mendeley.com/documents/?uuid=993be6db-7829-447e-a139-95e025b10aa6"]}],"mendeley":{"formattedCitation":"[7]","plainTextFormattedCitation":"[7]","previouslyFormattedCitation":"[7]"},"properties":{"noteIndex":0},"schema":"https://github.com/citation-style-language/schema/raw/master/csl-citation.json"}</w:instrText>
            </w:r>
            <w:r w:rsidRPr="00BB4D12">
              <w:rPr>
                <w:rFonts w:ascii="Times New Roman" w:hAnsi="Times New Roman"/>
                <w:b/>
                <w:bCs/>
                <w:sz w:val="24"/>
                <w:szCs w:val="24"/>
              </w:rPr>
              <w:fldChar w:fldCharType="separate"/>
            </w:r>
            <w:r w:rsidR="00275BC6" w:rsidRPr="00BB4D12">
              <w:rPr>
                <w:rFonts w:ascii="Times New Roman" w:hAnsi="Times New Roman"/>
                <w:bCs/>
                <w:noProof/>
                <w:sz w:val="24"/>
                <w:szCs w:val="24"/>
              </w:rPr>
              <w:t>[7]</w:t>
            </w:r>
            <w:r w:rsidRPr="00BB4D12">
              <w:rPr>
                <w:rFonts w:ascii="Times New Roman" w:hAnsi="Times New Roman"/>
                <w:b/>
                <w:bCs/>
                <w:sz w:val="24"/>
                <w:szCs w:val="24"/>
              </w:rPr>
              <w:fldChar w:fldCharType="end"/>
            </w:r>
          </w:p>
        </w:tc>
      </w:tr>
      <w:tr w:rsidR="007F6512" w:rsidRPr="00BB4D12" w14:paraId="4B121BD8" w14:textId="77777777" w:rsidTr="008F00A6">
        <w:trPr>
          <w:trHeight w:val="598"/>
        </w:trPr>
        <w:tc>
          <w:tcPr>
            <w:tcW w:w="3667" w:type="dxa"/>
          </w:tcPr>
          <w:p w14:paraId="5D85C0FB" w14:textId="77777777" w:rsidR="007F6512" w:rsidRPr="00BB4D12" w:rsidRDefault="007F6512" w:rsidP="008F00A6">
            <w:pPr>
              <w:jc w:val="center"/>
              <w:rPr>
                <w:rFonts w:ascii="Times New Roman" w:hAnsi="Times New Roman"/>
                <w:sz w:val="24"/>
                <w:szCs w:val="24"/>
              </w:rPr>
            </w:pPr>
            <w:r w:rsidRPr="00BB4D12">
              <w:rPr>
                <w:rFonts w:ascii="Times New Roman" w:hAnsi="Times New Roman"/>
                <w:sz w:val="24"/>
                <w:szCs w:val="24"/>
              </w:rPr>
              <w:t>Au nanocrystal</w:t>
            </w:r>
          </w:p>
          <w:p w14:paraId="6F494C00" w14:textId="77777777" w:rsidR="007F6512" w:rsidRPr="00BB4D12" w:rsidRDefault="007F6512" w:rsidP="008F00A6">
            <w:pPr>
              <w:jc w:val="center"/>
              <w:rPr>
                <w:rFonts w:ascii="Times New Roman" w:hAnsi="Times New Roman"/>
                <w:sz w:val="24"/>
                <w:szCs w:val="24"/>
              </w:rPr>
            </w:pPr>
            <w:r w:rsidRPr="00BB4D12">
              <w:rPr>
                <w:rFonts w:ascii="Times New Roman" w:hAnsi="Times New Roman"/>
                <w:sz w:val="24"/>
                <w:szCs w:val="24"/>
              </w:rPr>
              <w:t>Ag nanocrystal</w:t>
            </w:r>
          </w:p>
        </w:tc>
        <w:tc>
          <w:tcPr>
            <w:tcW w:w="2227" w:type="dxa"/>
          </w:tcPr>
          <w:p w14:paraId="69F58EA3" w14:textId="77777777" w:rsidR="007F6512" w:rsidRPr="00BB4D12" w:rsidRDefault="007F6512" w:rsidP="008F00A6">
            <w:pPr>
              <w:jc w:val="center"/>
              <w:rPr>
                <w:rFonts w:ascii="Times New Roman" w:hAnsi="Times New Roman"/>
                <w:sz w:val="24"/>
                <w:szCs w:val="24"/>
              </w:rPr>
            </w:pPr>
            <w:r w:rsidRPr="00BB4D12">
              <w:rPr>
                <w:rFonts w:ascii="Times New Roman" w:hAnsi="Times New Roman"/>
                <w:sz w:val="24"/>
                <w:szCs w:val="24"/>
              </w:rPr>
              <w:t>0.033</w:t>
            </w:r>
          </w:p>
          <w:p w14:paraId="0C6E0020" w14:textId="77777777" w:rsidR="007F6512" w:rsidRPr="00BB4D12" w:rsidRDefault="007F6512" w:rsidP="008F00A6">
            <w:pPr>
              <w:jc w:val="center"/>
              <w:rPr>
                <w:rFonts w:ascii="Times New Roman" w:hAnsi="Times New Roman"/>
                <w:sz w:val="24"/>
                <w:szCs w:val="24"/>
              </w:rPr>
            </w:pPr>
            <w:r w:rsidRPr="00BB4D12">
              <w:rPr>
                <w:rFonts w:ascii="Times New Roman" w:hAnsi="Times New Roman"/>
                <w:sz w:val="24"/>
                <w:szCs w:val="24"/>
              </w:rPr>
              <w:t>0.007</w:t>
            </w:r>
          </w:p>
        </w:tc>
        <w:tc>
          <w:tcPr>
            <w:tcW w:w="2011" w:type="dxa"/>
          </w:tcPr>
          <w:p w14:paraId="7307773B" w14:textId="77777777" w:rsidR="007F6512" w:rsidRPr="00BB4D12" w:rsidRDefault="005C4551" w:rsidP="008F00A6">
            <w:pPr>
              <w:jc w:val="center"/>
              <w:rPr>
                <w:rFonts w:ascii="Times New Roman" w:hAnsi="Times New Roman"/>
                <w:sz w:val="24"/>
                <w:szCs w:val="24"/>
              </w:rPr>
            </w:pPr>
            <w:r w:rsidRPr="00BB4D12">
              <w:rPr>
                <w:rFonts w:ascii="Times New Roman" w:hAnsi="Times New Roman"/>
                <w:sz w:val="24"/>
                <w:szCs w:val="24"/>
              </w:rPr>
              <w:t>-</w:t>
            </w:r>
          </w:p>
        </w:tc>
        <w:tc>
          <w:tcPr>
            <w:tcW w:w="1649" w:type="dxa"/>
          </w:tcPr>
          <w:p w14:paraId="007607B3" w14:textId="77777777" w:rsidR="007F6512" w:rsidRPr="00BB4D12" w:rsidRDefault="00D86718" w:rsidP="008F00A6">
            <w:pPr>
              <w:jc w:val="center"/>
              <w:rPr>
                <w:rFonts w:ascii="Times New Roman" w:hAnsi="Times New Roman"/>
                <w:sz w:val="24"/>
                <w:szCs w:val="24"/>
              </w:rPr>
            </w:pPr>
            <w:r w:rsidRPr="00BB4D12">
              <w:rPr>
                <w:rFonts w:ascii="Times New Roman" w:hAnsi="Times New Roman"/>
                <w:sz w:val="24"/>
                <w:szCs w:val="24"/>
              </w:rPr>
              <w:fldChar w:fldCharType="begin" w:fldLock="1"/>
            </w:r>
            <w:r w:rsidRPr="00BB4D12">
              <w:rPr>
                <w:rFonts w:ascii="Times New Roman" w:hAnsi="Times New Roman"/>
                <w:sz w:val="24"/>
                <w:szCs w:val="24"/>
              </w:rPr>
              <w:instrText>ADDIN CSL_CITATION {"citationItems":[{"id":"ITEM-1","itemData":{"DOI":"10.1039/c7ta01328k","ISSN":"20507496","abstract":"We herein present a comprehensive study on how the catalytic performance and reusability of Au nanocrystals (NCs) are affected by systematic variations of crystal size, surface coating and composition. The reductions of different organic dyes (4-nitrophenol, rhodamine B and methylene blue) by borohydride ions were used as model catalytic reactions. The catalytic performance of the Au NCs ranged between 3.6 to 110 nm was found to be dependent on crystal size, indicating that Au surface atoms have a distinct size-dependent reactivity in this reaction. Similarly, the catalytic performance was found to be strongly dependent on the nature of the coating molecule, obtaining lower catalytic activities for molecules strongly bound to the Au surface. Finally, the catalytic performance was found to be dependent on the chemical composition of the NC (Au, Ag, Pt) and the model dye used as a testing system, with the highest degradation rate found for methylene blue, followed by 4-nitrophenol and rhodamine B. We believe that this study provides a better understanding of the catalytic performance of Au NCs upon controlled modifications of the structural and morphological parameters, and a working environment that can be used to facilitate the selection of the optimum NC size, coating molecule and evaluation system for a particular study of interest.","author":[{"dropping-particle":"","family":"Piella","given":"Jordi","non-dropping-particle":"","parse-names":false,"suffix":""},{"dropping-particle":"","family":"Merkoçi","given":"Florind","non-dropping-particle":"","parse-names":false,"suffix":""},{"dropping-particle":"","family":"Genç","given":"Aziz","non-dropping-particle":"","parse-names":false,"suffix":""},{"dropping-particle":"","family":"Arbiol","given":"Jordi","non-dropping-particle":"","parse-names":false,"suffix":""},{"dropping-particle":"","family":"Bastús","given":"Neus G.","non-dropping-particle":"","parse-names":false,"suffix":""},{"dropping-particle":"","family":"Puntes","given":"Victor","non-dropping-particle":"","parse-names":false,"suffix":""}],"container-title":"Journal of Materials Chemistry A","id":"ITEM-1","issue":"23","issued":{"date-parts":[["2017"]]},"page":"11917-11929","title":"Probing the surface reactivity of nanocrystals by the catalytic degradation of organic dyes: The effect of size, surface chemistry and composition","type":"article-journal","volume":"5"},"uris":["http://www.mendeley.com/documents/?uuid=3830291a-a5c2-4e2a-9598-e3e44d623f87"]}],"mendeley":{"formattedCitation":"[8]","plainTextFormattedCitation":"[8]","previouslyFormattedCitation":"[8]"},"properties":{"noteIndex":0},"schema":"https://github.com/citation-style-language/schema/raw/master/csl-citation.json"}</w:instrText>
            </w:r>
            <w:r w:rsidRPr="00BB4D12">
              <w:rPr>
                <w:rFonts w:ascii="Times New Roman" w:hAnsi="Times New Roman"/>
                <w:sz w:val="24"/>
                <w:szCs w:val="24"/>
              </w:rPr>
              <w:fldChar w:fldCharType="separate"/>
            </w:r>
            <w:r w:rsidRPr="00BB4D12">
              <w:rPr>
                <w:rFonts w:ascii="Times New Roman" w:hAnsi="Times New Roman"/>
                <w:noProof/>
                <w:sz w:val="24"/>
                <w:szCs w:val="24"/>
              </w:rPr>
              <w:t>[8]</w:t>
            </w:r>
            <w:r w:rsidRPr="00BB4D12">
              <w:rPr>
                <w:rFonts w:ascii="Times New Roman" w:hAnsi="Times New Roman"/>
                <w:sz w:val="24"/>
                <w:szCs w:val="24"/>
              </w:rPr>
              <w:fldChar w:fldCharType="end"/>
            </w:r>
          </w:p>
        </w:tc>
      </w:tr>
      <w:tr w:rsidR="007F6512" w:rsidRPr="00BB4D12" w14:paraId="485AE58B" w14:textId="77777777" w:rsidTr="008F00A6">
        <w:trPr>
          <w:trHeight w:val="305"/>
        </w:trPr>
        <w:tc>
          <w:tcPr>
            <w:tcW w:w="3667" w:type="dxa"/>
          </w:tcPr>
          <w:p w14:paraId="10C301B1" w14:textId="77777777" w:rsidR="007F6512" w:rsidRPr="00BB4D12" w:rsidRDefault="007F6512" w:rsidP="008F00A6">
            <w:pPr>
              <w:jc w:val="center"/>
              <w:rPr>
                <w:rFonts w:ascii="Times New Roman" w:hAnsi="Times New Roman"/>
                <w:sz w:val="24"/>
                <w:szCs w:val="24"/>
              </w:rPr>
            </w:pPr>
            <w:r w:rsidRPr="00BB4D12">
              <w:rPr>
                <w:rFonts w:ascii="Times New Roman" w:hAnsi="Times New Roman"/>
                <w:sz w:val="24"/>
                <w:szCs w:val="24"/>
              </w:rPr>
              <w:t>ZnCO</w:t>
            </w:r>
            <w:r w:rsidRPr="00BB4D12">
              <w:rPr>
                <w:rFonts w:ascii="Times New Roman" w:hAnsi="Times New Roman"/>
                <w:sz w:val="24"/>
                <w:szCs w:val="24"/>
                <w:vertAlign w:val="subscript"/>
              </w:rPr>
              <w:t>2</w:t>
            </w:r>
            <w:r w:rsidRPr="00BB4D12">
              <w:rPr>
                <w:rFonts w:ascii="Times New Roman" w:hAnsi="Times New Roman"/>
                <w:sz w:val="24"/>
                <w:szCs w:val="24"/>
              </w:rPr>
              <w:t>O</w:t>
            </w:r>
            <w:r w:rsidRPr="00BB4D12">
              <w:rPr>
                <w:rFonts w:ascii="Times New Roman" w:hAnsi="Times New Roman"/>
                <w:sz w:val="24"/>
                <w:szCs w:val="24"/>
                <w:vertAlign w:val="subscript"/>
              </w:rPr>
              <w:t>4</w:t>
            </w:r>
            <w:r w:rsidRPr="00BB4D12">
              <w:rPr>
                <w:rFonts w:ascii="Times New Roman" w:hAnsi="Times New Roman"/>
                <w:sz w:val="24"/>
                <w:szCs w:val="24"/>
              </w:rPr>
              <w:t xml:space="preserve"> nano-dice</w:t>
            </w:r>
          </w:p>
        </w:tc>
        <w:tc>
          <w:tcPr>
            <w:tcW w:w="2227" w:type="dxa"/>
          </w:tcPr>
          <w:p w14:paraId="2424A889" w14:textId="77777777" w:rsidR="007F6512" w:rsidRPr="00BB4D12" w:rsidRDefault="007F6512" w:rsidP="008F00A6">
            <w:pPr>
              <w:jc w:val="center"/>
              <w:rPr>
                <w:rFonts w:ascii="Times New Roman" w:hAnsi="Times New Roman"/>
                <w:sz w:val="24"/>
                <w:szCs w:val="24"/>
              </w:rPr>
            </w:pPr>
            <w:r w:rsidRPr="00BB4D12">
              <w:rPr>
                <w:rFonts w:ascii="Times New Roman" w:hAnsi="Times New Roman"/>
                <w:sz w:val="24"/>
                <w:szCs w:val="24"/>
              </w:rPr>
              <w:t>70.4</w:t>
            </w:r>
          </w:p>
        </w:tc>
        <w:tc>
          <w:tcPr>
            <w:tcW w:w="2011" w:type="dxa"/>
          </w:tcPr>
          <w:p w14:paraId="2D626351" w14:textId="77777777" w:rsidR="007F6512" w:rsidRPr="00BB4D12" w:rsidRDefault="005C4551" w:rsidP="008F00A6">
            <w:pPr>
              <w:jc w:val="center"/>
              <w:rPr>
                <w:rFonts w:ascii="Times New Roman" w:hAnsi="Times New Roman"/>
                <w:sz w:val="24"/>
                <w:szCs w:val="24"/>
              </w:rPr>
            </w:pPr>
            <w:r w:rsidRPr="00BB4D12">
              <w:rPr>
                <w:rFonts w:ascii="Times New Roman" w:hAnsi="Times New Roman"/>
                <w:sz w:val="24"/>
                <w:szCs w:val="24"/>
              </w:rPr>
              <w:t>-</w:t>
            </w:r>
          </w:p>
        </w:tc>
        <w:tc>
          <w:tcPr>
            <w:tcW w:w="1649" w:type="dxa"/>
          </w:tcPr>
          <w:p w14:paraId="3288E235" w14:textId="77777777" w:rsidR="007F6512" w:rsidRPr="00BB4D12" w:rsidRDefault="00D86718" w:rsidP="008F00A6">
            <w:pPr>
              <w:jc w:val="center"/>
              <w:rPr>
                <w:rFonts w:ascii="Times New Roman" w:hAnsi="Times New Roman"/>
                <w:sz w:val="24"/>
                <w:szCs w:val="24"/>
              </w:rPr>
            </w:pPr>
            <w:r w:rsidRPr="00BB4D12">
              <w:rPr>
                <w:rFonts w:ascii="Times New Roman" w:hAnsi="Times New Roman"/>
                <w:sz w:val="24"/>
                <w:szCs w:val="24"/>
              </w:rPr>
              <w:fldChar w:fldCharType="begin" w:fldLock="1"/>
            </w:r>
            <w:r w:rsidRPr="00BB4D12">
              <w:rPr>
                <w:rFonts w:ascii="Times New Roman" w:hAnsi="Times New Roman"/>
                <w:sz w:val="24"/>
                <w:szCs w:val="24"/>
              </w:rPr>
              <w:instrText xml:space="preserve">ADDIN CSL_CITATION {"citationItems":[{"id":"ITEM-1","itemData":{"DOI":"10.1088/2053-1591/ab3bbf","ISSN":"20531591","abstract":"In this work, we report catalytic degradation of rhodamine B (Rh B) using sodium borohydride (NaBH4) in the presence of ZnCo2O4 nanodice as a catalyst. ZnCo2O4 catalysts were synthesized using a microwave irradiation method with an optimized temperature of 180 C for different reaction times of 30 and 60 min and were named ZCo-30 and ZCo-60. HR-TEM and XRD results revealed that the synthesized ZnCo2O4 nanodice were cubic. Rh B dye degradation activity </w:instrText>
            </w:r>
            <w:r w:rsidRPr="00BB4D12">
              <w:rPr>
                <w:rFonts w:ascii="Cambria Math" w:hAnsi="Cambria Math" w:cs="Cambria Math"/>
                <w:sz w:val="24"/>
                <w:szCs w:val="24"/>
              </w:rPr>
              <w:instrText>∼</w:instrText>
            </w:r>
            <w:r w:rsidRPr="00BB4D12">
              <w:rPr>
                <w:rFonts w:ascii="Times New Roman" w:hAnsi="Times New Roman"/>
                <w:sz w:val="24"/>
                <w:szCs w:val="24"/>
              </w:rPr>
              <w:instrText>95% was achieved within 25 min when 60 μl of a 2 mg ml-1 ZCo-30 dispersion was used.","author":[{"dropping-particle":"","family":"Nagajyoyhi","given":"P. C.","non-dropping-particle":"","parse-names":false,"suffix":""},{"dropping-particle":"","family":"Devarayapalli","given":"K. C.","non-dropping-particle":"","parse-names":false,"suffix":""},{"dropping-particle":"","family":"Sreekanth","given":"T. V.M.","non-dropping-particle":"","parse-names":false,"suffix":""},{"dropping-particle":"","family":"Vattikuti","given":"S. V.Prabhakar","non-dropping-particle":"","parse-names":false,"suffix":""},{"dropping-particle":"","family":"Shim","given":"Jaesool","non-dropping-particle":"","parse-names":false,"suffix":""}],"container-title":"Materials Research Express","id":"ITEM-1","issue":"10","issued":{"date-parts":[["2019"]]},"page":"0-6","publisher":"IOP Publishing","title":"Effective catalytic degradation of rhodamine B using ZnCO2O4 nanodice","type":"article-journal","volume":"6"},"uris":["http://www.mendeley.com/documents/?uuid=9434b5f6-fe7e-4c12-9b80-07191b94d666"]}],"mendeley":{"formattedCitation":"[9]","plainTextFormattedCitation":"[9]","previouslyFormattedCitation":"[9]"},"properties":{"noteIndex":0},"schema":"https://github.com/citation-style-language/schema/raw/master/csl-citation.json"}</w:instrText>
            </w:r>
            <w:r w:rsidRPr="00BB4D12">
              <w:rPr>
                <w:rFonts w:ascii="Times New Roman" w:hAnsi="Times New Roman"/>
                <w:sz w:val="24"/>
                <w:szCs w:val="24"/>
              </w:rPr>
              <w:fldChar w:fldCharType="separate"/>
            </w:r>
            <w:r w:rsidRPr="00BB4D12">
              <w:rPr>
                <w:rFonts w:ascii="Times New Roman" w:hAnsi="Times New Roman"/>
                <w:noProof/>
                <w:sz w:val="24"/>
                <w:szCs w:val="24"/>
              </w:rPr>
              <w:t>[9]</w:t>
            </w:r>
            <w:r w:rsidRPr="00BB4D12">
              <w:rPr>
                <w:rFonts w:ascii="Times New Roman" w:hAnsi="Times New Roman"/>
                <w:sz w:val="24"/>
                <w:szCs w:val="24"/>
              </w:rPr>
              <w:fldChar w:fldCharType="end"/>
            </w:r>
          </w:p>
        </w:tc>
      </w:tr>
      <w:tr w:rsidR="007F6512" w:rsidRPr="00BB4D12" w14:paraId="1A753DAA" w14:textId="77777777" w:rsidTr="008F00A6">
        <w:trPr>
          <w:trHeight w:val="305"/>
        </w:trPr>
        <w:tc>
          <w:tcPr>
            <w:tcW w:w="3667" w:type="dxa"/>
          </w:tcPr>
          <w:p w14:paraId="6224DA9D" w14:textId="77777777" w:rsidR="007F6512" w:rsidRPr="00BB4D12" w:rsidRDefault="007F6512" w:rsidP="008F00A6">
            <w:pPr>
              <w:jc w:val="center"/>
              <w:rPr>
                <w:rFonts w:ascii="Times New Roman" w:hAnsi="Times New Roman"/>
                <w:sz w:val="24"/>
                <w:szCs w:val="24"/>
              </w:rPr>
            </w:pPr>
            <w:r w:rsidRPr="00BB4D12">
              <w:rPr>
                <w:rFonts w:ascii="Times New Roman" w:hAnsi="Times New Roman"/>
                <w:sz w:val="24"/>
                <w:szCs w:val="24"/>
              </w:rPr>
              <w:t>CDs</w:t>
            </w:r>
          </w:p>
        </w:tc>
        <w:tc>
          <w:tcPr>
            <w:tcW w:w="2227" w:type="dxa"/>
          </w:tcPr>
          <w:p w14:paraId="3AE3A010" w14:textId="77777777" w:rsidR="007F6512" w:rsidRPr="00BB4D12" w:rsidRDefault="007F6512" w:rsidP="008F00A6">
            <w:pPr>
              <w:jc w:val="center"/>
              <w:rPr>
                <w:rFonts w:ascii="Times New Roman" w:hAnsi="Times New Roman"/>
                <w:sz w:val="24"/>
                <w:szCs w:val="24"/>
              </w:rPr>
            </w:pPr>
            <w:r w:rsidRPr="00BB4D12">
              <w:rPr>
                <w:rFonts w:ascii="Times New Roman" w:hAnsi="Times New Roman"/>
                <w:sz w:val="24"/>
                <w:szCs w:val="24"/>
              </w:rPr>
              <w:t>34</w:t>
            </w:r>
          </w:p>
        </w:tc>
        <w:tc>
          <w:tcPr>
            <w:tcW w:w="2011" w:type="dxa"/>
          </w:tcPr>
          <w:p w14:paraId="49805649" w14:textId="77777777" w:rsidR="007F6512" w:rsidRPr="00BB4D12" w:rsidRDefault="005C4551" w:rsidP="008F00A6">
            <w:pPr>
              <w:jc w:val="center"/>
              <w:rPr>
                <w:rFonts w:ascii="Times New Roman" w:hAnsi="Times New Roman"/>
                <w:sz w:val="24"/>
                <w:szCs w:val="24"/>
              </w:rPr>
            </w:pPr>
            <w:r w:rsidRPr="00BB4D12">
              <w:rPr>
                <w:rFonts w:ascii="Times New Roman" w:hAnsi="Times New Roman"/>
                <w:sz w:val="24"/>
                <w:szCs w:val="24"/>
              </w:rPr>
              <w:t>-</w:t>
            </w:r>
          </w:p>
        </w:tc>
        <w:tc>
          <w:tcPr>
            <w:tcW w:w="1649" w:type="dxa"/>
          </w:tcPr>
          <w:p w14:paraId="5B7B0B81" w14:textId="77777777" w:rsidR="007F6512" w:rsidRPr="00BB4D12" w:rsidRDefault="00D86718" w:rsidP="008F00A6">
            <w:pPr>
              <w:jc w:val="center"/>
              <w:rPr>
                <w:rFonts w:ascii="Times New Roman" w:hAnsi="Times New Roman"/>
                <w:sz w:val="24"/>
                <w:szCs w:val="24"/>
              </w:rPr>
            </w:pPr>
            <w:r w:rsidRPr="00BB4D12">
              <w:rPr>
                <w:rFonts w:ascii="Times New Roman" w:hAnsi="Times New Roman"/>
                <w:sz w:val="24"/>
                <w:szCs w:val="24"/>
              </w:rPr>
              <w:fldChar w:fldCharType="begin" w:fldLock="1"/>
            </w:r>
            <w:r w:rsidRPr="00BB4D12">
              <w:rPr>
                <w:rFonts w:ascii="Times New Roman" w:hAnsi="Times New Roman"/>
                <w:sz w:val="24"/>
                <w:szCs w:val="24"/>
              </w:rPr>
              <w:instrText>ADDIN CSL_CITATION {"citationItems":[{"id":"ITEM-1","itemData":{"DOI":"10.1016/j.apcatb.2019.02.019","ISSN":"09263373","abstract":"Carbon dots (CDs) were synthesized by a microwave-mediated method and separated by size exclusion chromatography into three different size fractions. There was no correlation of CD size with photoluminescence (PL) emission wavelength, showing that the PL mechanism is not quantum-size dependent. UV/vis absorption and diffuse reflectance spectroscopies showed that the light absorption properties as well as the band gap of the CDs changed with the size of the particle. The combination of FTIR and XPS measurements revealed the composition on the surface of each fraction. The three CDs fractions were separately used in the photocatalytic degradation of organic dyes under simulated sunlight irradiation. The catalytic activity of the as-prepared CDs was found to increase as the size of the particles decreased. Complete degradation of both rhodamine B (RhB) and methylene blue (MB) was achieved in 150 min by the 2-nm CDs. The scavenger studies showed that the holes and superoxide radicals are the main species involved in the photocatalytic degradation of the dye by the 2-nm CDs. These CDs displayed high stability in the degradation of organic dyes for multiple cycles. The 2-nm CDs displayed promising photocatalytic degradation of p-nitrophenol (PNP). These results demonstrate for the first time the application of bare carbon dots in the degradation of environmental contaminants.","author":[{"dropping-particle":"","family":"Zhou","given":"Yiqun","non-dropping-particle":"","parse-names":false,"suffix":""},{"dropping-particle":"","family":"Zahran","given":"Elsayed M.","non-dropping-particle":"","parse-names":false,"suffix":""},{"dropping-particle":"","family":"Quiroga","given":"Bruno A.","non-dropping-particle":"","parse-names":false,"suffix":""},{"dropping-particle":"","family":"Perez","given":"Jennifer","non-dropping-particle":"","parse-names":false,"suffix":""},{"dropping-particle":"","family":"Mintz","given":"Keenan J.","non-dropping-particle":"","parse-names":false,"suffix":""},{"dropping-particle":"","family":"Peng","given":"Zhili","non-dropping-particle":"","parse-names":false,"suffix":""},{"dropping-particle":"","family":"Liyanage","given":"Piumi Y.","non-dropping-particle":"","parse-names":false,"suffix":""},{"dropping-particle":"","family":"Pandey","given":"Raja R.","non-dropping-particle":"","parse-names":false,"suffix":""},{"dropping-particle":"","family":"Chusuei","given":"Charles C.","non-dropping-particle":"","parse-names":false,"suffix":""},{"dropping-particle":"","family":"Leblanc","given":"Roger M.","non-dropping-particle":"","parse-names":false,"suffix":""}],"container-title":"Applied Catalysis B: Environmental","id":"ITEM-1","issue":"December 2018","issued":{"date-parts":[["2019"]]},"page":"157-166","publisher":"Elsevier","title":"Size-dependent photocatalytic activity of carbon dots with surface-state determined photoluminescence","type":"article-journal","volume":"248"},"uris":["http://www.mendeley.com/documents/?uuid=945149ca-0f2d-4705-b6e3-536ccc3340fa"]}],"mendeley":{"formattedCitation":"[10]","plainTextFormattedCitation":"[10]","previouslyFormattedCitation":"[10]"},"properties":{"noteIndex":0},"schema":"https://github.com/citation-style-language/schema/raw/master/csl-citation.json"}</w:instrText>
            </w:r>
            <w:r w:rsidRPr="00BB4D12">
              <w:rPr>
                <w:rFonts w:ascii="Times New Roman" w:hAnsi="Times New Roman"/>
                <w:sz w:val="24"/>
                <w:szCs w:val="24"/>
              </w:rPr>
              <w:fldChar w:fldCharType="separate"/>
            </w:r>
            <w:r w:rsidRPr="00BB4D12">
              <w:rPr>
                <w:rFonts w:ascii="Times New Roman" w:hAnsi="Times New Roman"/>
                <w:noProof/>
                <w:sz w:val="24"/>
                <w:szCs w:val="24"/>
              </w:rPr>
              <w:t>[10]</w:t>
            </w:r>
            <w:r w:rsidRPr="00BB4D12">
              <w:rPr>
                <w:rFonts w:ascii="Times New Roman" w:hAnsi="Times New Roman"/>
                <w:sz w:val="24"/>
                <w:szCs w:val="24"/>
              </w:rPr>
              <w:fldChar w:fldCharType="end"/>
            </w:r>
          </w:p>
        </w:tc>
      </w:tr>
      <w:tr w:rsidR="007F6512" w:rsidRPr="00BB4D12" w14:paraId="6AD7FF96" w14:textId="77777777" w:rsidTr="008F00A6">
        <w:trPr>
          <w:trHeight w:val="305"/>
        </w:trPr>
        <w:tc>
          <w:tcPr>
            <w:tcW w:w="3667" w:type="dxa"/>
          </w:tcPr>
          <w:p w14:paraId="1ECB6885" w14:textId="77777777" w:rsidR="007F6512" w:rsidRPr="00BB4D12" w:rsidRDefault="007F6512" w:rsidP="008F00A6">
            <w:pPr>
              <w:jc w:val="center"/>
              <w:rPr>
                <w:rFonts w:ascii="Times New Roman" w:hAnsi="Times New Roman"/>
                <w:sz w:val="24"/>
                <w:szCs w:val="24"/>
              </w:rPr>
            </w:pPr>
            <w:r w:rsidRPr="00BB4D12">
              <w:rPr>
                <w:rFonts w:ascii="Times New Roman" w:hAnsi="Times New Roman"/>
                <w:sz w:val="24"/>
                <w:szCs w:val="24"/>
              </w:rPr>
              <w:t>N-CQDs</w:t>
            </w:r>
          </w:p>
        </w:tc>
        <w:tc>
          <w:tcPr>
            <w:tcW w:w="2227" w:type="dxa"/>
          </w:tcPr>
          <w:p w14:paraId="7C756DE9" w14:textId="77777777" w:rsidR="007F6512" w:rsidRPr="00BB4D12" w:rsidRDefault="007F6512" w:rsidP="008F00A6">
            <w:pPr>
              <w:jc w:val="center"/>
              <w:rPr>
                <w:rFonts w:ascii="Times New Roman" w:hAnsi="Times New Roman"/>
                <w:sz w:val="24"/>
                <w:szCs w:val="24"/>
              </w:rPr>
            </w:pPr>
            <w:r w:rsidRPr="00BB4D12">
              <w:rPr>
                <w:rFonts w:ascii="Times New Roman" w:hAnsi="Times New Roman"/>
                <w:sz w:val="24"/>
                <w:szCs w:val="24"/>
              </w:rPr>
              <w:t>22.4</w:t>
            </w:r>
          </w:p>
        </w:tc>
        <w:tc>
          <w:tcPr>
            <w:tcW w:w="2011" w:type="dxa"/>
          </w:tcPr>
          <w:p w14:paraId="40067B4E" w14:textId="77777777" w:rsidR="007F6512" w:rsidRPr="00BB4D12" w:rsidRDefault="005C4551" w:rsidP="008F00A6">
            <w:pPr>
              <w:jc w:val="center"/>
              <w:rPr>
                <w:rFonts w:ascii="Times New Roman" w:hAnsi="Times New Roman"/>
                <w:sz w:val="24"/>
                <w:szCs w:val="24"/>
              </w:rPr>
            </w:pPr>
            <w:r w:rsidRPr="00BB4D12">
              <w:rPr>
                <w:rFonts w:ascii="Times New Roman" w:hAnsi="Times New Roman"/>
                <w:sz w:val="24"/>
                <w:szCs w:val="24"/>
              </w:rPr>
              <w:t>-</w:t>
            </w:r>
          </w:p>
        </w:tc>
        <w:tc>
          <w:tcPr>
            <w:tcW w:w="1649" w:type="dxa"/>
          </w:tcPr>
          <w:p w14:paraId="53B53C52" w14:textId="77777777" w:rsidR="007F6512" w:rsidRPr="00BB4D12" w:rsidRDefault="00D86718" w:rsidP="008F00A6">
            <w:pPr>
              <w:jc w:val="center"/>
              <w:rPr>
                <w:rFonts w:ascii="Times New Roman" w:hAnsi="Times New Roman"/>
                <w:sz w:val="24"/>
                <w:szCs w:val="24"/>
              </w:rPr>
            </w:pPr>
            <w:r w:rsidRPr="00BB4D12">
              <w:rPr>
                <w:rFonts w:ascii="Times New Roman" w:hAnsi="Times New Roman"/>
                <w:sz w:val="24"/>
                <w:szCs w:val="24"/>
              </w:rPr>
              <w:fldChar w:fldCharType="begin" w:fldLock="1"/>
            </w:r>
            <w:r w:rsidRPr="00BB4D12">
              <w:rPr>
                <w:rFonts w:ascii="Times New Roman" w:hAnsi="Times New Roman"/>
                <w:sz w:val="24"/>
                <w:szCs w:val="24"/>
              </w:rPr>
              <w:instrText>ADDIN CSL_CITATION {"citationItems":[{"id":"ITEM-1","itemData":{"DOI":"10.1016/j.jmst.2019.03.039","ISSN":"10050302","abstract":"A synthesis strategy of fluorescent carbon quantum dots (CQDs) with high quantum yield (QY) using aqua mesophase pitch (AMP) as the carbon source has been developed via the hydrothermal method in this study. The hydrothermal temperature and soaking time have important effects on the morphology and QY of CQDs. As-prepared CQDs at 120 °C holding for 24 h (CQDs-120-24) have the uniform size of about 2.8 nm, and the QY can reach 27.6%. The obtained CQDs are successfully modified with ammonia and thionyl chloride, respectively, and they exhibit an excellent photocatalytic performance on degrading rhodamine B (Rh B), methyl blue (MB) and indigo carmine (IC). Importantly, the degradation percentage of N-CQDs on Rh B under natural light for 4 h reaches 97% with the degradation rate constant of 0.02463 min−1 and it can maintain 93% after repetitively used 5 times. The results indicate that these as-prepared CQDs have the potential application in degrading organic dyes.","author":[{"dropping-particle":"","family":"Cheng","given":"Youliang","non-dropping-particle":"","parse-names":false,"suffix":""},{"dropping-particle":"","family":"Bai","given":"Mengsha","non-dropping-particle":"","parse-names":false,"suffix":""},{"dropping-particle":"","family":"Su","given":"Jian","non-dropping-particle":"","parse-names":false,"suffix":""},{"dropping-particle":"","family":"Fang","given":"Changqing","non-dropping-particle":"","parse-names":false,"suffix":""},{"dropping-particle":"","family":"Li","given":"Hang","non-dropping-particle":"","parse-names":false,"suffix":""},{"dropping-particle":"","family":"Chen","given":"Jing","non-dropping-particle":"","parse-names":false,"suffix":""},{"dropping-particle":"","family":"Jiao","given":"Jieming","non-dropping-particle":"","parse-names":false,"suffix":""}],"container-title":"Journal of Materials Science and Technology","id":"ITEM-1","issue":"8","issued":{"date-parts":[["2019"]]},"page":"1515-1522","publisher":"The editorial office of Journal of Materials Science &amp; Technology","title":"Synthesis of fluorescent carbon quantum dots from aqua mesophase pitch and their photocatalytic degradation activity of organic dyes","type":"article-journal","volume":"35"},"uris":["http://www.mendeley.com/documents/?uuid=ea1c847f-fd04-4b10-8b55-763e66e4450c"]}],"mendeley":{"formattedCitation":"[11]","plainTextFormattedCitation":"[11]","previouslyFormattedCitation":"[11]"},"properties":{"noteIndex":0},"schema":"https://github.com/citation-style-language/schema/raw/master/csl-citation.json"}</w:instrText>
            </w:r>
            <w:r w:rsidRPr="00BB4D12">
              <w:rPr>
                <w:rFonts w:ascii="Times New Roman" w:hAnsi="Times New Roman"/>
                <w:sz w:val="24"/>
                <w:szCs w:val="24"/>
              </w:rPr>
              <w:fldChar w:fldCharType="separate"/>
            </w:r>
            <w:r w:rsidRPr="00BB4D12">
              <w:rPr>
                <w:rFonts w:ascii="Times New Roman" w:hAnsi="Times New Roman"/>
                <w:noProof/>
                <w:sz w:val="24"/>
                <w:szCs w:val="24"/>
              </w:rPr>
              <w:t>[11]</w:t>
            </w:r>
            <w:r w:rsidRPr="00BB4D12">
              <w:rPr>
                <w:rFonts w:ascii="Times New Roman" w:hAnsi="Times New Roman"/>
                <w:sz w:val="24"/>
                <w:szCs w:val="24"/>
              </w:rPr>
              <w:fldChar w:fldCharType="end"/>
            </w:r>
          </w:p>
        </w:tc>
      </w:tr>
      <w:tr w:rsidR="007F6512" w:rsidRPr="00BB4D12" w14:paraId="4A556E5F" w14:textId="77777777" w:rsidTr="008F00A6">
        <w:trPr>
          <w:trHeight w:val="463"/>
        </w:trPr>
        <w:tc>
          <w:tcPr>
            <w:tcW w:w="3667" w:type="dxa"/>
          </w:tcPr>
          <w:p w14:paraId="7B75099C" w14:textId="77777777" w:rsidR="007F6512" w:rsidRPr="00BB4D12" w:rsidRDefault="007F6512" w:rsidP="008F00A6">
            <w:pPr>
              <w:jc w:val="center"/>
              <w:rPr>
                <w:rFonts w:ascii="Times New Roman" w:hAnsi="Times New Roman"/>
                <w:sz w:val="24"/>
                <w:szCs w:val="24"/>
              </w:rPr>
            </w:pPr>
            <w:r w:rsidRPr="00BB4D12">
              <w:rPr>
                <w:rFonts w:ascii="Times New Roman" w:hAnsi="Times New Roman"/>
                <w:b/>
                <w:bCs/>
                <w:sz w:val="24"/>
                <w:szCs w:val="24"/>
              </w:rPr>
              <w:t>PPCCDs</w:t>
            </w:r>
          </w:p>
        </w:tc>
        <w:tc>
          <w:tcPr>
            <w:tcW w:w="2227" w:type="dxa"/>
          </w:tcPr>
          <w:p w14:paraId="53FEAA12" w14:textId="77777777" w:rsidR="007F6512" w:rsidRPr="00BB4D12" w:rsidRDefault="007F6512" w:rsidP="008F00A6">
            <w:pPr>
              <w:jc w:val="center"/>
              <w:rPr>
                <w:rFonts w:ascii="Times New Roman" w:hAnsi="Times New Roman"/>
                <w:sz w:val="24"/>
                <w:szCs w:val="24"/>
              </w:rPr>
            </w:pPr>
            <w:r w:rsidRPr="00BB4D12">
              <w:rPr>
                <w:rFonts w:ascii="Times New Roman" w:hAnsi="Times New Roman"/>
                <w:b/>
                <w:bCs/>
                <w:sz w:val="24"/>
                <w:szCs w:val="24"/>
              </w:rPr>
              <w:t>88.7</w:t>
            </w:r>
          </w:p>
        </w:tc>
        <w:tc>
          <w:tcPr>
            <w:tcW w:w="2011" w:type="dxa"/>
          </w:tcPr>
          <w:p w14:paraId="6BCF4CE1" w14:textId="77777777" w:rsidR="007F6512" w:rsidRPr="00BB4D12" w:rsidRDefault="007F6512" w:rsidP="008F00A6">
            <w:pPr>
              <w:jc w:val="center"/>
              <w:rPr>
                <w:rFonts w:ascii="Times New Roman" w:hAnsi="Times New Roman"/>
                <w:sz w:val="24"/>
                <w:szCs w:val="24"/>
              </w:rPr>
            </w:pPr>
            <w:r w:rsidRPr="00BB4D12">
              <w:rPr>
                <w:rFonts w:ascii="Times New Roman" w:hAnsi="Times New Roman"/>
                <w:b/>
                <w:bCs/>
                <w:sz w:val="24"/>
                <w:szCs w:val="24"/>
              </w:rPr>
              <w:t>7.39</w:t>
            </w:r>
          </w:p>
        </w:tc>
        <w:tc>
          <w:tcPr>
            <w:tcW w:w="1649" w:type="dxa"/>
          </w:tcPr>
          <w:p w14:paraId="0AC53380" w14:textId="77777777" w:rsidR="007F6512" w:rsidRPr="00BB4D12" w:rsidRDefault="007F6512" w:rsidP="008F00A6">
            <w:pPr>
              <w:jc w:val="center"/>
              <w:rPr>
                <w:rFonts w:ascii="Times New Roman" w:hAnsi="Times New Roman"/>
                <w:sz w:val="24"/>
                <w:szCs w:val="24"/>
              </w:rPr>
            </w:pPr>
            <w:r w:rsidRPr="00BB4D12">
              <w:rPr>
                <w:rFonts w:ascii="Times New Roman" w:hAnsi="Times New Roman"/>
                <w:b/>
                <w:bCs/>
                <w:sz w:val="24"/>
                <w:szCs w:val="24"/>
              </w:rPr>
              <w:t>This work</w:t>
            </w:r>
          </w:p>
        </w:tc>
      </w:tr>
    </w:tbl>
    <w:p w14:paraId="4A78072E" w14:textId="77777777" w:rsidR="007F6512" w:rsidRPr="00BB4D12" w:rsidRDefault="007F6512" w:rsidP="007F6512">
      <w:pPr>
        <w:spacing w:line="480" w:lineRule="auto"/>
        <w:rPr>
          <w:rFonts w:ascii="Times New Roman" w:hAnsi="Times New Roman"/>
        </w:rPr>
      </w:pPr>
    </w:p>
    <w:p w14:paraId="79B8534A" w14:textId="77777777" w:rsidR="007F6512" w:rsidRPr="00BB4D12" w:rsidRDefault="007F6512" w:rsidP="007F6512">
      <w:pPr>
        <w:spacing w:line="480" w:lineRule="auto"/>
        <w:rPr>
          <w:rFonts w:ascii="Times New Roman" w:hAnsi="Times New Roman"/>
          <w:sz w:val="24"/>
          <w:szCs w:val="24"/>
        </w:rPr>
      </w:pPr>
      <w:r w:rsidRPr="00BB4D12">
        <w:rPr>
          <w:rFonts w:ascii="Times New Roman" w:hAnsi="Times New Roman"/>
          <w:b/>
          <w:bCs/>
          <w:sz w:val="24"/>
          <w:szCs w:val="24"/>
        </w:rPr>
        <w:t xml:space="preserve">Table S.4 </w:t>
      </w:r>
      <w:r w:rsidRPr="00BB4D12">
        <w:rPr>
          <w:rFonts w:ascii="Times New Roman" w:hAnsi="Times New Roman"/>
          <w:sz w:val="24"/>
          <w:szCs w:val="24"/>
        </w:rPr>
        <w:t>Comparison of various surface passivated carbon dots with their quantum yield and multifunctional aspect.</w:t>
      </w:r>
    </w:p>
    <w:tbl>
      <w:tblPr>
        <w:tblStyle w:val="TableGrid"/>
        <w:tblW w:w="0" w:type="auto"/>
        <w:tblLook w:val="04A0" w:firstRow="1" w:lastRow="0" w:firstColumn="1" w:lastColumn="0" w:noHBand="0" w:noVBand="1"/>
      </w:tblPr>
      <w:tblGrid>
        <w:gridCol w:w="2802"/>
        <w:gridCol w:w="1701"/>
        <w:gridCol w:w="1275"/>
        <w:gridCol w:w="2761"/>
        <w:gridCol w:w="750"/>
      </w:tblGrid>
      <w:tr w:rsidR="007F6512" w:rsidRPr="00BB4D12" w14:paraId="5D5F5B18" w14:textId="77777777" w:rsidTr="008F00A6">
        <w:tc>
          <w:tcPr>
            <w:tcW w:w="2802" w:type="dxa"/>
          </w:tcPr>
          <w:p w14:paraId="2F602715" w14:textId="77777777" w:rsidR="007F6512" w:rsidRPr="00BB4D12" w:rsidRDefault="007F6512" w:rsidP="008F00A6">
            <w:pPr>
              <w:spacing w:line="480" w:lineRule="auto"/>
              <w:jc w:val="center"/>
              <w:rPr>
                <w:rFonts w:ascii="Times New Roman" w:hAnsi="Times New Roman"/>
                <w:b/>
                <w:bCs/>
                <w:sz w:val="24"/>
                <w:szCs w:val="24"/>
              </w:rPr>
            </w:pPr>
            <w:r w:rsidRPr="00BB4D12">
              <w:rPr>
                <w:rFonts w:ascii="Times New Roman" w:hAnsi="Times New Roman"/>
                <w:b/>
                <w:bCs/>
                <w:sz w:val="24"/>
                <w:szCs w:val="24"/>
              </w:rPr>
              <w:t>Carbon precursors with passivating agent</w:t>
            </w:r>
          </w:p>
        </w:tc>
        <w:tc>
          <w:tcPr>
            <w:tcW w:w="1701" w:type="dxa"/>
          </w:tcPr>
          <w:p w14:paraId="16C82B5F" w14:textId="77777777" w:rsidR="007F6512" w:rsidRPr="00BB4D12" w:rsidRDefault="007F6512" w:rsidP="008F00A6">
            <w:pPr>
              <w:spacing w:line="480" w:lineRule="auto"/>
              <w:jc w:val="center"/>
              <w:rPr>
                <w:rFonts w:ascii="Times New Roman" w:hAnsi="Times New Roman"/>
                <w:b/>
                <w:bCs/>
                <w:sz w:val="24"/>
                <w:szCs w:val="24"/>
              </w:rPr>
            </w:pPr>
            <w:r w:rsidRPr="00BB4D12">
              <w:rPr>
                <w:rFonts w:ascii="Times New Roman" w:hAnsi="Times New Roman"/>
                <w:b/>
                <w:bCs/>
                <w:sz w:val="24"/>
                <w:szCs w:val="24"/>
              </w:rPr>
              <w:t>Methods</w:t>
            </w:r>
          </w:p>
        </w:tc>
        <w:tc>
          <w:tcPr>
            <w:tcW w:w="1275" w:type="dxa"/>
          </w:tcPr>
          <w:p w14:paraId="18348DB7" w14:textId="77777777" w:rsidR="007F6512" w:rsidRPr="00BB4D12" w:rsidRDefault="007F6512" w:rsidP="008F00A6">
            <w:pPr>
              <w:spacing w:line="480" w:lineRule="auto"/>
              <w:jc w:val="center"/>
              <w:rPr>
                <w:rFonts w:ascii="Times New Roman" w:hAnsi="Times New Roman"/>
                <w:b/>
                <w:bCs/>
                <w:sz w:val="24"/>
                <w:szCs w:val="24"/>
              </w:rPr>
            </w:pPr>
            <w:r w:rsidRPr="00BB4D12">
              <w:rPr>
                <w:rFonts w:ascii="Times New Roman" w:hAnsi="Times New Roman"/>
                <w:b/>
                <w:bCs/>
                <w:sz w:val="24"/>
                <w:szCs w:val="24"/>
              </w:rPr>
              <w:t>Quantum yield</w:t>
            </w:r>
            <w:r w:rsidR="00F81F73" w:rsidRPr="00BB4D12">
              <w:rPr>
                <w:rFonts w:ascii="Times New Roman" w:hAnsi="Times New Roman"/>
                <w:b/>
                <w:bCs/>
                <w:sz w:val="24"/>
                <w:szCs w:val="24"/>
              </w:rPr>
              <w:t xml:space="preserve"> (%)</w:t>
            </w:r>
          </w:p>
        </w:tc>
        <w:tc>
          <w:tcPr>
            <w:tcW w:w="2761" w:type="dxa"/>
          </w:tcPr>
          <w:p w14:paraId="332D73C8" w14:textId="77777777" w:rsidR="007F6512" w:rsidRPr="00BB4D12" w:rsidRDefault="007F6512" w:rsidP="008F00A6">
            <w:pPr>
              <w:spacing w:line="480" w:lineRule="auto"/>
              <w:jc w:val="center"/>
              <w:rPr>
                <w:rFonts w:ascii="Times New Roman" w:hAnsi="Times New Roman"/>
                <w:b/>
                <w:bCs/>
                <w:sz w:val="24"/>
                <w:szCs w:val="24"/>
              </w:rPr>
            </w:pPr>
            <w:r w:rsidRPr="00BB4D12">
              <w:rPr>
                <w:rFonts w:ascii="Times New Roman" w:hAnsi="Times New Roman"/>
                <w:b/>
                <w:bCs/>
                <w:sz w:val="24"/>
                <w:szCs w:val="24"/>
              </w:rPr>
              <w:t>Applications</w:t>
            </w:r>
          </w:p>
        </w:tc>
        <w:tc>
          <w:tcPr>
            <w:tcW w:w="710" w:type="dxa"/>
          </w:tcPr>
          <w:p w14:paraId="71BF9260" w14:textId="77777777" w:rsidR="007F6512" w:rsidRPr="00BB4D12" w:rsidRDefault="007F6512" w:rsidP="008F00A6">
            <w:pPr>
              <w:spacing w:line="480" w:lineRule="auto"/>
              <w:jc w:val="center"/>
              <w:rPr>
                <w:rFonts w:ascii="Times New Roman" w:hAnsi="Times New Roman"/>
                <w:b/>
                <w:bCs/>
                <w:sz w:val="24"/>
                <w:szCs w:val="24"/>
              </w:rPr>
            </w:pPr>
            <w:r w:rsidRPr="00BB4D12">
              <w:rPr>
                <w:rFonts w:ascii="Times New Roman" w:hAnsi="Times New Roman"/>
                <w:b/>
                <w:bCs/>
                <w:sz w:val="24"/>
                <w:szCs w:val="24"/>
              </w:rPr>
              <w:t>Ref.</w:t>
            </w:r>
          </w:p>
        </w:tc>
      </w:tr>
      <w:tr w:rsidR="007F6512" w:rsidRPr="00BB4D12" w14:paraId="416176ED" w14:textId="77777777" w:rsidTr="008F00A6">
        <w:tc>
          <w:tcPr>
            <w:tcW w:w="2802" w:type="dxa"/>
          </w:tcPr>
          <w:p w14:paraId="2E36890D" w14:textId="77777777" w:rsidR="007F6512" w:rsidRPr="00BB4D12" w:rsidRDefault="007F6512" w:rsidP="008F00A6">
            <w:pPr>
              <w:spacing w:line="480" w:lineRule="auto"/>
              <w:jc w:val="center"/>
              <w:rPr>
                <w:rFonts w:ascii="Times New Roman" w:hAnsi="Times New Roman"/>
                <w:sz w:val="24"/>
                <w:szCs w:val="24"/>
              </w:rPr>
            </w:pPr>
            <w:r w:rsidRPr="00BB4D12">
              <w:rPr>
                <w:rFonts w:ascii="Times New Roman" w:hAnsi="Times New Roman"/>
                <w:sz w:val="24"/>
                <w:szCs w:val="24"/>
              </w:rPr>
              <w:lastRenderedPageBreak/>
              <w:t>Curcumin, PEI</w:t>
            </w:r>
          </w:p>
        </w:tc>
        <w:tc>
          <w:tcPr>
            <w:tcW w:w="1701" w:type="dxa"/>
          </w:tcPr>
          <w:p w14:paraId="7D348FAF" w14:textId="77777777" w:rsidR="007F6512" w:rsidRPr="00BB4D12" w:rsidRDefault="007F6512" w:rsidP="008F00A6">
            <w:pPr>
              <w:spacing w:line="480" w:lineRule="auto"/>
              <w:jc w:val="center"/>
              <w:rPr>
                <w:rFonts w:ascii="Times New Roman" w:hAnsi="Times New Roman"/>
                <w:sz w:val="24"/>
                <w:szCs w:val="24"/>
              </w:rPr>
            </w:pPr>
            <w:r w:rsidRPr="00BB4D12">
              <w:rPr>
                <w:rFonts w:ascii="Times New Roman" w:hAnsi="Times New Roman"/>
                <w:sz w:val="24"/>
                <w:szCs w:val="24"/>
              </w:rPr>
              <w:t>Hydrothermal</w:t>
            </w:r>
          </w:p>
        </w:tc>
        <w:tc>
          <w:tcPr>
            <w:tcW w:w="1275" w:type="dxa"/>
          </w:tcPr>
          <w:p w14:paraId="64793637" w14:textId="77777777" w:rsidR="007F6512" w:rsidRPr="00BB4D12" w:rsidRDefault="007F6512" w:rsidP="008F00A6">
            <w:pPr>
              <w:spacing w:line="480" w:lineRule="auto"/>
              <w:jc w:val="center"/>
              <w:rPr>
                <w:rFonts w:ascii="Times New Roman" w:hAnsi="Times New Roman"/>
                <w:sz w:val="24"/>
                <w:szCs w:val="24"/>
              </w:rPr>
            </w:pPr>
            <w:r w:rsidRPr="00BB4D12">
              <w:rPr>
                <w:rFonts w:ascii="Times New Roman" w:hAnsi="Times New Roman"/>
                <w:sz w:val="24"/>
                <w:szCs w:val="24"/>
              </w:rPr>
              <w:t>2.28</w:t>
            </w:r>
          </w:p>
        </w:tc>
        <w:tc>
          <w:tcPr>
            <w:tcW w:w="2761" w:type="dxa"/>
          </w:tcPr>
          <w:p w14:paraId="1921CFBF" w14:textId="77777777" w:rsidR="007F6512" w:rsidRPr="00BB4D12" w:rsidRDefault="007F6512" w:rsidP="008F00A6">
            <w:pPr>
              <w:spacing w:line="480" w:lineRule="auto"/>
              <w:jc w:val="center"/>
              <w:rPr>
                <w:rFonts w:ascii="Times New Roman" w:hAnsi="Times New Roman"/>
                <w:sz w:val="24"/>
                <w:szCs w:val="24"/>
              </w:rPr>
            </w:pPr>
            <w:r w:rsidRPr="00BB4D12">
              <w:rPr>
                <w:rFonts w:ascii="Times New Roman" w:hAnsi="Times New Roman"/>
                <w:sz w:val="24"/>
                <w:szCs w:val="24"/>
              </w:rPr>
              <w:t>Imaging, sensing</w:t>
            </w:r>
          </w:p>
        </w:tc>
        <w:tc>
          <w:tcPr>
            <w:tcW w:w="710" w:type="dxa"/>
          </w:tcPr>
          <w:p w14:paraId="412B9E37" w14:textId="77777777" w:rsidR="007F6512" w:rsidRPr="00BB4D12" w:rsidRDefault="00C7554A" w:rsidP="008F00A6">
            <w:pPr>
              <w:spacing w:line="480" w:lineRule="auto"/>
              <w:jc w:val="center"/>
              <w:rPr>
                <w:rFonts w:ascii="Times New Roman" w:hAnsi="Times New Roman"/>
                <w:sz w:val="24"/>
                <w:szCs w:val="24"/>
              </w:rPr>
            </w:pPr>
            <w:r w:rsidRPr="00BB4D12">
              <w:rPr>
                <w:rFonts w:ascii="Times New Roman" w:hAnsi="Times New Roman"/>
                <w:sz w:val="24"/>
                <w:szCs w:val="24"/>
              </w:rPr>
              <w:fldChar w:fldCharType="begin" w:fldLock="1"/>
            </w:r>
            <w:r w:rsidRPr="00BB4D12">
              <w:rPr>
                <w:rFonts w:ascii="Times New Roman" w:hAnsi="Times New Roman"/>
                <w:sz w:val="24"/>
                <w:szCs w:val="24"/>
              </w:rPr>
              <w:instrText>ADDIN CSL_CITATION {"citationItems":[{"id":"ITEM-1","itemData":{"DOI":"10.1021/acsomega.7b01323","ISSN":"2470-1343","abstract":"Early detection is the critical phase in the prognostic strategy of various life-threatening maladies like infectious diseases and cancer. The mortality rate caused by these diseases could be considerably reduced if they were diagnosed in the early stages of disease development. Carbon dots (C-dots), a relatively new and promising candidate in the fluorescent nanomaterial category, possess a perceptible impact on various bioapplications. Herein, we report a one-step facile hydrothermal synthesis that yields a novel surface-passivated carbon dot (CDP) from curcumin (as a green substrate) displaying high aqueous solubility. The physico-chemical characterization of thus synthesized C-dots was accomplished by an UV-visible spectrophotometer, fluorescence spectrophotometer, zetasizer, TEM, and FE-SEM to understand the formation of carbon dots with a 4-5 nm size near spherical nanoparticle with high colloidal stability. E. coli DH5α was engaged as the Gram-negative test organism and S. aureus as the Gram-positive in the biolabeling of bacteria. Cancer cell lines including colon cancer (HCT-15), lung cancer (A549), and mouse fibroblast (NIH 3T3) were evaluated and resulted in good biolabeling potential and less cytotoxicity. Zebrafish (ASWT) embryos as an animal model system were bioimaged, and in vivo toxicity was inferred. Moreover, the synthesized C-dots were shown to have free radical scavenging activity in a dose-dependent manner. The unpassivated C-dots (CD) were found to sense ferric ions at the micromolar concentration level. The findings of our study suggest that the multifunctional potentiality of CDPs serves as high-performance optical nanoprobes and can be a suitable alternative for various biolabeling and contrasting agents.","author":[{"dropping-particle":"","family":"Pal","given":"Tathagata","non-dropping-particle":"","parse-names":false,"suffix":""},{"dropping-particle":"","family":"Mohiyuddin","given":"Shanid","non-dropping-particle":"","parse-names":false,"suffix":""},{"dropping-particle":"","family":"Packirisamy","given":"Gopinath","non-dropping-particle":"","parse-names":false,"suffix":""}],"container-title":"ACS Omega","id":"ITEM-1","issue":"1","issued":{"date-parts":[["2018","1","31"]]},"page":"831-843","title":"Facile and Green Synthesis of Multicolor Fluorescence Carbon Dots from Curcumin: In Vitro and in Vivo Bioimaging and Other Applications","type":"article-journal","volume":"3"},"uris":["http://www.mendeley.com/documents/?uuid=81c236af-f440-418c-91ef-8d4d25ca7db6"]}],"mendeley":{"formattedCitation":"[12]","plainTextFormattedCitation":"[12]","previouslyFormattedCitation":"[12]"},"properties":{"noteIndex":0},"schema":"https://github.com/citation-style-language/schema/raw/master/csl-citation.json"}</w:instrText>
            </w:r>
            <w:r w:rsidRPr="00BB4D12">
              <w:rPr>
                <w:rFonts w:ascii="Times New Roman" w:hAnsi="Times New Roman"/>
                <w:sz w:val="24"/>
                <w:szCs w:val="24"/>
              </w:rPr>
              <w:fldChar w:fldCharType="separate"/>
            </w:r>
            <w:r w:rsidR="00D86718" w:rsidRPr="00BB4D12">
              <w:rPr>
                <w:rFonts w:ascii="Times New Roman" w:hAnsi="Times New Roman"/>
                <w:noProof/>
                <w:sz w:val="24"/>
                <w:szCs w:val="24"/>
              </w:rPr>
              <w:t>[12]</w:t>
            </w:r>
            <w:r w:rsidRPr="00BB4D12">
              <w:rPr>
                <w:rFonts w:ascii="Times New Roman" w:hAnsi="Times New Roman"/>
                <w:sz w:val="24"/>
                <w:szCs w:val="24"/>
              </w:rPr>
              <w:fldChar w:fldCharType="end"/>
            </w:r>
          </w:p>
        </w:tc>
      </w:tr>
      <w:tr w:rsidR="007F6512" w:rsidRPr="00BB4D12" w14:paraId="3F37E38B" w14:textId="77777777" w:rsidTr="008F00A6">
        <w:tc>
          <w:tcPr>
            <w:tcW w:w="2802" w:type="dxa"/>
          </w:tcPr>
          <w:p w14:paraId="531C3EDC" w14:textId="77777777" w:rsidR="007F6512" w:rsidRPr="00BB4D12" w:rsidRDefault="007F6512" w:rsidP="008F00A6">
            <w:pPr>
              <w:spacing w:line="480" w:lineRule="auto"/>
              <w:jc w:val="center"/>
              <w:rPr>
                <w:rFonts w:ascii="Times New Roman" w:hAnsi="Times New Roman"/>
                <w:sz w:val="24"/>
                <w:szCs w:val="24"/>
              </w:rPr>
            </w:pPr>
            <w:r w:rsidRPr="00BB4D12">
              <w:rPr>
                <w:rFonts w:ascii="Times New Roman" w:hAnsi="Times New Roman"/>
                <w:sz w:val="24"/>
                <w:szCs w:val="24"/>
              </w:rPr>
              <w:t>Glycerol, (TTDDA)</w:t>
            </w:r>
          </w:p>
        </w:tc>
        <w:tc>
          <w:tcPr>
            <w:tcW w:w="1701" w:type="dxa"/>
          </w:tcPr>
          <w:p w14:paraId="7DA452D0" w14:textId="77777777" w:rsidR="007F6512" w:rsidRPr="00BB4D12" w:rsidRDefault="007F6512" w:rsidP="008F00A6">
            <w:pPr>
              <w:spacing w:line="480" w:lineRule="auto"/>
              <w:jc w:val="center"/>
              <w:rPr>
                <w:rFonts w:ascii="Times New Roman" w:hAnsi="Times New Roman"/>
                <w:sz w:val="24"/>
                <w:szCs w:val="24"/>
              </w:rPr>
            </w:pPr>
            <w:r w:rsidRPr="00BB4D12">
              <w:rPr>
                <w:rFonts w:ascii="Times New Roman" w:hAnsi="Times New Roman"/>
                <w:sz w:val="24"/>
                <w:szCs w:val="24"/>
              </w:rPr>
              <w:t>Microwave</w:t>
            </w:r>
          </w:p>
        </w:tc>
        <w:tc>
          <w:tcPr>
            <w:tcW w:w="1275" w:type="dxa"/>
          </w:tcPr>
          <w:p w14:paraId="2409EE0D" w14:textId="77777777" w:rsidR="007F6512" w:rsidRPr="00BB4D12" w:rsidRDefault="007F6512" w:rsidP="008F00A6">
            <w:pPr>
              <w:spacing w:line="480" w:lineRule="auto"/>
              <w:jc w:val="center"/>
              <w:rPr>
                <w:rFonts w:ascii="Times New Roman" w:hAnsi="Times New Roman"/>
                <w:sz w:val="24"/>
                <w:szCs w:val="24"/>
              </w:rPr>
            </w:pPr>
            <w:r w:rsidRPr="00BB4D12">
              <w:rPr>
                <w:rFonts w:ascii="Times New Roman" w:hAnsi="Times New Roman"/>
                <w:sz w:val="24"/>
                <w:szCs w:val="24"/>
              </w:rPr>
              <w:t>12.02</w:t>
            </w:r>
          </w:p>
        </w:tc>
        <w:tc>
          <w:tcPr>
            <w:tcW w:w="2761" w:type="dxa"/>
          </w:tcPr>
          <w:p w14:paraId="2BFE1F32" w14:textId="77777777" w:rsidR="007F6512" w:rsidRPr="00BB4D12" w:rsidRDefault="007F6512" w:rsidP="008F00A6">
            <w:pPr>
              <w:spacing w:line="480" w:lineRule="auto"/>
              <w:jc w:val="center"/>
              <w:rPr>
                <w:rFonts w:ascii="Times New Roman" w:hAnsi="Times New Roman"/>
                <w:sz w:val="24"/>
                <w:szCs w:val="24"/>
              </w:rPr>
            </w:pPr>
            <w:r w:rsidRPr="00BB4D12">
              <w:rPr>
                <w:rFonts w:ascii="Times New Roman" w:hAnsi="Times New Roman"/>
                <w:sz w:val="24"/>
                <w:szCs w:val="24"/>
              </w:rPr>
              <w:t>Bioimaging</w:t>
            </w:r>
          </w:p>
        </w:tc>
        <w:tc>
          <w:tcPr>
            <w:tcW w:w="710" w:type="dxa"/>
          </w:tcPr>
          <w:p w14:paraId="4EFF9D07" w14:textId="77777777" w:rsidR="007F6512" w:rsidRPr="00BB4D12" w:rsidRDefault="00C7554A" w:rsidP="008F00A6">
            <w:pPr>
              <w:spacing w:line="480" w:lineRule="auto"/>
              <w:jc w:val="center"/>
              <w:rPr>
                <w:rFonts w:ascii="Times New Roman" w:hAnsi="Times New Roman"/>
                <w:sz w:val="24"/>
                <w:szCs w:val="24"/>
              </w:rPr>
            </w:pPr>
            <w:r w:rsidRPr="00BB4D12">
              <w:rPr>
                <w:rFonts w:ascii="Times New Roman" w:hAnsi="Times New Roman"/>
                <w:sz w:val="24"/>
                <w:szCs w:val="24"/>
              </w:rPr>
              <w:fldChar w:fldCharType="begin" w:fldLock="1"/>
            </w:r>
            <w:r w:rsidRPr="00BB4D12">
              <w:rPr>
                <w:rFonts w:ascii="Times New Roman" w:hAnsi="Times New Roman"/>
                <w:sz w:val="24"/>
                <w:szCs w:val="24"/>
              </w:rPr>
              <w:instrText>ADDIN CSL_CITATION {"citationItems":[{"id":"ITEM-1","itemData":{"DOI":"10.1039/c1jm12744f","ISSN":"0959-9428","abstract":"Strong photoluminescent carbon nanodots (C-dots) were synthesized by one-step microwave assisted pyrolysis of glycerol in the presence of 4,7,10-trioxa-1,13-tridecanediamine (TTDDA). The formation and surface passivation of C-dots were accomplished simultaneously. The obtained C-dots exhibited excellent biocompatibility and preeminent multicolor photoluminescent properties for bioimaging. © 2011 The Royal Society of Chemistry.","author":[{"dropping-particle":"","family":"Liu","given":"Changjun","non-dropping-particle":"","parse-names":false,"suffix":""},{"dropping-particle":"","family":"Zhang","given":"Peng","non-dropping-particle":"","parse-names":false,"suffix":""},{"dropping-particle":"","family":"Tian","given":"Feng","non-dropping-particle":"","parse-names":false,"suffix":""},{"dropping-particle":"","family":"Li","given":"Wenchen","non-dropping-particle":"","parse-names":false,"suffix":""},{"dropping-particle":"","family":"Li","given":"Fan","non-dropping-particle":"","parse-names":false,"suffix":""},{"dropping-particle":"","family":"Liu","given":"Wenguang","non-dropping-particle":"","parse-names":false,"suffix":""}],"container-title":"Journal of Materials Chemistry","id":"ITEM-1","issue":"35","issued":{"date-parts":[["2011"]]},"page":"13163","title":"One-step synthesis of surface passivated carbon nanodots by microwave assisted pyrolysis for enhanced multicolor photoluminescence and bioimaging","type":"article-journal","volume":"21"},"uris":["http://www.mendeley.com/documents/?uuid=f1931a29-5872-4f83-b16f-b6e4ec48af4c"]}],"mendeley":{"formattedCitation":"[13]","plainTextFormattedCitation":"[13]","previouslyFormattedCitation":"[13]"},"properties":{"noteIndex":0},"schema":"https://github.com/citation-style-language/schema/raw/master/csl-citation.json"}</w:instrText>
            </w:r>
            <w:r w:rsidRPr="00BB4D12">
              <w:rPr>
                <w:rFonts w:ascii="Times New Roman" w:hAnsi="Times New Roman"/>
                <w:sz w:val="24"/>
                <w:szCs w:val="24"/>
              </w:rPr>
              <w:fldChar w:fldCharType="separate"/>
            </w:r>
            <w:r w:rsidRPr="00BB4D12">
              <w:rPr>
                <w:rFonts w:ascii="Times New Roman" w:hAnsi="Times New Roman"/>
                <w:noProof/>
                <w:sz w:val="24"/>
                <w:szCs w:val="24"/>
              </w:rPr>
              <w:t>[13]</w:t>
            </w:r>
            <w:r w:rsidRPr="00BB4D12">
              <w:rPr>
                <w:rFonts w:ascii="Times New Roman" w:hAnsi="Times New Roman"/>
                <w:sz w:val="24"/>
                <w:szCs w:val="24"/>
              </w:rPr>
              <w:fldChar w:fldCharType="end"/>
            </w:r>
          </w:p>
        </w:tc>
      </w:tr>
      <w:tr w:rsidR="007F6512" w:rsidRPr="00BB4D12" w14:paraId="49E47069" w14:textId="77777777" w:rsidTr="008F00A6">
        <w:tc>
          <w:tcPr>
            <w:tcW w:w="2802" w:type="dxa"/>
          </w:tcPr>
          <w:p w14:paraId="5E2128B5" w14:textId="77777777" w:rsidR="007F6512" w:rsidRPr="00BB4D12" w:rsidRDefault="007F6512" w:rsidP="008F00A6">
            <w:pPr>
              <w:spacing w:line="480" w:lineRule="auto"/>
              <w:jc w:val="center"/>
              <w:rPr>
                <w:rFonts w:ascii="Times New Roman" w:hAnsi="Times New Roman"/>
                <w:sz w:val="24"/>
                <w:szCs w:val="24"/>
              </w:rPr>
            </w:pPr>
            <w:r w:rsidRPr="00BB4D12">
              <w:rPr>
                <w:rFonts w:ascii="Times New Roman" w:hAnsi="Times New Roman"/>
                <w:sz w:val="24"/>
                <w:szCs w:val="24"/>
              </w:rPr>
              <w:t>Chitosan, PEG</w:t>
            </w:r>
          </w:p>
        </w:tc>
        <w:tc>
          <w:tcPr>
            <w:tcW w:w="1701" w:type="dxa"/>
          </w:tcPr>
          <w:p w14:paraId="39238018" w14:textId="77777777" w:rsidR="007F6512" w:rsidRPr="00BB4D12" w:rsidRDefault="007F6512" w:rsidP="008F00A6">
            <w:pPr>
              <w:spacing w:line="480" w:lineRule="auto"/>
              <w:jc w:val="center"/>
              <w:rPr>
                <w:rFonts w:ascii="Times New Roman" w:hAnsi="Times New Roman"/>
                <w:sz w:val="24"/>
                <w:szCs w:val="24"/>
              </w:rPr>
            </w:pPr>
            <w:r w:rsidRPr="00BB4D12">
              <w:rPr>
                <w:rFonts w:ascii="Times New Roman" w:hAnsi="Times New Roman"/>
                <w:sz w:val="24"/>
                <w:szCs w:val="24"/>
              </w:rPr>
              <w:t>microwave</w:t>
            </w:r>
          </w:p>
        </w:tc>
        <w:tc>
          <w:tcPr>
            <w:tcW w:w="1275" w:type="dxa"/>
          </w:tcPr>
          <w:p w14:paraId="21F5F87B" w14:textId="77777777" w:rsidR="007F6512" w:rsidRPr="00BB4D12" w:rsidRDefault="007F6512" w:rsidP="008F00A6">
            <w:pPr>
              <w:spacing w:line="480" w:lineRule="auto"/>
              <w:jc w:val="center"/>
              <w:rPr>
                <w:rFonts w:ascii="Times New Roman" w:hAnsi="Times New Roman"/>
                <w:sz w:val="24"/>
                <w:szCs w:val="24"/>
              </w:rPr>
            </w:pPr>
            <w:r w:rsidRPr="00BB4D12">
              <w:rPr>
                <w:rFonts w:ascii="Times New Roman" w:hAnsi="Times New Roman"/>
                <w:sz w:val="24"/>
                <w:szCs w:val="24"/>
              </w:rPr>
              <w:t>5.06</w:t>
            </w:r>
          </w:p>
        </w:tc>
        <w:tc>
          <w:tcPr>
            <w:tcW w:w="2761" w:type="dxa"/>
          </w:tcPr>
          <w:p w14:paraId="744A3F67" w14:textId="77777777" w:rsidR="007F6512" w:rsidRPr="00BB4D12" w:rsidRDefault="007F6512" w:rsidP="008F00A6">
            <w:pPr>
              <w:spacing w:line="480" w:lineRule="auto"/>
              <w:jc w:val="center"/>
              <w:rPr>
                <w:rFonts w:ascii="Times New Roman" w:hAnsi="Times New Roman"/>
                <w:sz w:val="24"/>
                <w:szCs w:val="24"/>
              </w:rPr>
            </w:pPr>
          </w:p>
        </w:tc>
        <w:tc>
          <w:tcPr>
            <w:tcW w:w="710" w:type="dxa"/>
          </w:tcPr>
          <w:p w14:paraId="5F6F3F83" w14:textId="77777777" w:rsidR="007F6512" w:rsidRPr="00BB4D12" w:rsidRDefault="00C7554A" w:rsidP="008F00A6">
            <w:pPr>
              <w:spacing w:line="480" w:lineRule="auto"/>
              <w:jc w:val="center"/>
              <w:rPr>
                <w:rFonts w:ascii="Times New Roman" w:hAnsi="Times New Roman"/>
                <w:sz w:val="24"/>
                <w:szCs w:val="24"/>
              </w:rPr>
            </w:pPr>
            <w:r w:rsidRPr="00BB4D12">
              <w:rPr>
                <w:rFonts w:ascii="Times New Roman" w:hAnsi="Times New Roman"/>
                <w:sz w:val="24"/>
                <w:szCs w:val="24"/>
              </w:rPr>
              <w:fldChar w:fldCharType="begin" w:fldLock="1"/>
            </w:r>
            <w:r w:rsidRPr="00BB4D12">
              <w:rPr>
                <w:rFonts w:ascii="Times New Roman" w:hAnsi="Times New Roman"/>
                <w:sz w:val="24"/>
                <w:szCs w:val="24"/>
              </w:rPr>
              <w:instrText>ADDIN CSL_CITATION {"citationItems":[{"id":"ITEM-1","itemData":{"DOI":"10.1039/c3ra42415d","ISSN":"2046-2069","abstract":"Poly(ethylene glycol) passivated multicolour fluorescent carbon dots (CPs) were synthesised by a novel one-step method and their biolabeling mechanism was studied using S. aureus and recombinant green fluorescent protein (GFP)-expressing E.coli as model systems. The mechanism of formation of fluorescent carbon nanorods from CPs was also explored. © 2013 The Royal Society of Chemistry.","author":[{"dropping-particle":"","family":"Sachdev","given":"Abhay","non-dropping-particle":"","parse-names":false,"suffix":""},{"dropping-particle":"","family":"Matai","given":"Ishita","non-dropping-particle":"","parse-names":false,"suffix":""},{"dropping-particle":"","family":"Kumar","given":"S. Uday","non-dropping-particle":"","parse-names":false,"suffix":""},{"dropping-particle":"","family":"Bhushan","given":"Bharat","non-dropping-particle":"","parse-names":false,"suffix":""},{"dropping-particle":"","family":"Dubey","given":"Poornima","non-dropping-particle":"","parse-names":false,"suffix":""},{"dropping-particle":"","family":"Gopinath","given":"P.","non-dropping-particle":"","parse-names":false,"suffix":""}],"container-title":"RSC Advances","id":"ITEM-1","issue":"38","issued":{"date-parts":[["2013"]]},"page":"16958","title":"A novel one-step synthesis of PEG passivated multicolour fluorescent carbon dots for potential biolabeling application","type":"article-journal","volume":"3"},"uris":["http://www.mendeley.com/documents/?uuid=5a31dac9-42f3-49a7-844c-de6f7178c79c"]}],"mendeley":{"formattedCitation":"[14]","plainTextFormattedCitation":"[14]","previouslyFormattedCitation":"[14]"},"properties":{"noteIndex":0},"schema":"https://github.com/citation-style-language/schema/raw/master/csl-citation.json"}</w:instrText>
            </w:r>
            <w:r w:rsidRPr="00BB4D12">
              <w:rPr>
                <w:rFonts w:ascii="Times New Roman" w:hAnsi="Times New Roman"/>
                <w:sz w:val="24"/>
                <w:szCs w:val="24"/>
              </w:rPr>
              <w:fldChar w:fldCharType="separate"/>
            </w:r>
            <w:r w:rsidRPr="00BB4D12">
              <w:rPr>
                <w:rFonts w:ascii="Times New Roman" w:hAnsi="Times New Roman"/>
                <w:noProof/>
                <w:sz w:val="24"/>
                <w:szCs w:val="24"/>
              </w:rPr>
              <w:t>[14]</w:t>
            </w:r>
            <w:r w:rsidRPr="00BB4D12">
              <w:rPr>
                <w:rFonts w:ascii="Times New Roman" w:hAnsi="Times New Roman"/>
                <w:sz w:val="24"/>
                <w:szCs w:val="24"/>
              </w:rPr>
              <w:fldChar w:fldCharType="end"/>
            </w:r>
          </w:p>
        </w:tc>
      </w:tr>
      <w:tr w:rsidR="007F6512" w:rsidRPr="00BB4D12" w14:paraId="0A73C610" w14:textId="77777777" w:rsidTr="008F00A6">
        <w:tc>
          <w:tcPr>
            <w:tcW w:w="2802" w:type="dxa"/>
          </w:tcPr>
          <w:p w14:paraId="5BB95498" w14:textId="77777777" w:rsidR="007F6512" w:rsidRPr="00BB4D12" w:rsidRDefault="007F6512" w:rsidP="008F00A6">
            <w:pPr>
              <w:spacing w:line="480" w:lineRule="auto"/>
              <w:jc w:val="center"/>
              <w:rPr>
                <w:rFonts w:ascii="Times New Roman" w:hAnsi="Times New Roman"/>
                <w:sz w:val="24"/>
                <w:szCs w:val="24"/>
              </w:rPr>
            </w:pPr>
            <w:r w:rsidRPr="00BB4D12">
              <w:rPr>
                <w:rFonts w:ascii="Times New Roman" w:hAnsi="Times New Roman"/>
                <w:sz w:val="24"/>
                <w:szCs w:val="24"/>
              </w:rPr>
              <w:t>Galactose, Polydopamine</w:t>
            </w:r>
          </w:p>
        </w:tc>
        <w:tc>
          <w:tcPr>
            <w:tcW w:w="1701" w:type="dxa"/>
          </w:tcPr>
          <w:p w14:paraId="6FEF2CFF" w14:textId="77777777" w:rsidR="007F6512" w:rsidRPr="00BB4D12" w:rsidRDefault="007F6512" w:rsidP="008F00A6">
            <w:pPr>
              <w:spacing w:line="480" w:lineRule="auto"/>
              <w:jc w:val="center"/>
              <w:rPr>
                <w:rFonts w:ascii="Times New Roman" w:hAnsi="Times New Roman"/>
                <w:sz w:val="24"/>
                <w:szCs w:val="24"/>
              </w:rPr>
            </w:pPr>
            <w:r w:rsidRPr="00BB4D12">
              <w:rPr>
                <w:rFonts w:ascii="Times New Roman" w:hAnsi="Times New Roman"/>
                <w:sz w:val="24"/>
                <w:szCs w:val="24"/>
              </w:rPr>
              <w:t>microwave</w:t>
            </w:r>
          </w:p>
        </w:tc>
        <w:tc>
          <w:tcPr>
            <w:tcW w:w="1275" w:type="dxa"/>
          </w:tcPr>
          <w:p w14:paraId="459E346A" w14:textId="77777777" w:rsidR="007F6512" w:rsidRPr="00BB4D12" w:rsidRDefault="007F6512" w:rsidP="008F00A6">
            <w:pPr>
              <w:spacing w:line="480" w:lineRule="auto"/>
              <w:jc w:val="center"/>
              <w:rPr>
                <w:rFonts w:ascii="Times New Roman" w:hAnsi="Times New Roman"/>
                <w:sz w:val="24"/>
                <w:szCs w:val="24"/>
              </w:rPr>
            </w:pPr>
            <w:r w:rsidRPr="00BB4D12">
              <w:rPr>
                <w:rFonts w:ascii="Times New Roman" w:hAnsi="Times New Roman"/>
                <w:sz w:val="24"/>
                <w:szCs w:val="24"/>
              </w:rPr>
              <w:t>4.6</w:t>
            </w:r>
          </w:p>
        </w:tc>
        <w:tc>
          <w:tcPr>
            <w:tcW w:w="2761" w:type="dxa"/>
          </w:tcPr>
          <w:p w14:paraId="614D910F" w14:textId="77777777" w:rsidR="007F6512" w:rsidRPr="00BB4D12" w:rsidRDefault="007F6512" w:rsidP="008F00A6">
            <w:pPr>
              <w:spacing w:line="480" w:lineRule="auto"/>
              <w:jc w:val="center"/>
              <w:rPr>
                <w:rFonts w:ascii="Times New Roman" w:hAnsi="Times New Roman"/>
                <w:sz w:val="24"/>
                <w:szCs w:val="24"/>
              </w:rPr>
            </w:pPr>
            <w:r w:rsidRPr="00BB4D12">
              <w:rPr>
                <w:rFonts w:ascii="Times New Roman" w:hAnsi="Times New Roman"/>
                <w:sz w:val="24"/>
                <w:szCs w:val="24"/>
              </w:rPr>
              <w:t>In-vivo imaging</w:t>
            </w:r>
          </w:p>
        </w:tc>
        <w:tc>
          <w:tcPr>
            <w:tcW w:w="710" w:type="dxa"/>
          </w:tcPr>
          <w:p w14:paraId="77C2E262" w14:textId="77777777" w:rsidR="007F6512" w:rsidRPr="00BB4D12" w:rsidRDefault="00C7554A" w:rsidP="008F00A6">
            <w:pPr>
              <w:spacing w:line="480" w:lineRule="auto"/>
              <w:jc w:val="center"/>
              <w:rPr>
                <w:rFonts w:ascii="Times New Roman" w:hAnsi="Times New Roman"/>
                <w:sz w:val="24"/>
                <w:szCs w:val="24"/>
              </w:rPr>
            </w:pPr>
            <w:r w:rsidRPr="00BB4D12">
              <w:rPr>
                <w:rFonts w:ascii="Times New Roman" w:hAnsi="Times New Roman"/>
                <w:sz w:val="24"/>
                <w:szCs w:val="24"/>
              </w:rPr>
              <w:fldChar w:fldCharType="begin" w:fldLock="1"/>
            </w:r>
            <w:r w:rsidRPr="00BB4D12">
              <w:rPr>
                <w:rFonts w:ascii="Times New Roman" w:hAnsi="Times New Roman"/>
                <w:sz w:val="24"/>
                <w:szCs w:val="24"/>
              </w:rPr>
              <w:instrText>ADDIN CSL_CITATION {"citationItems":[{"id":"ITEM-1","itemData":{"DOI":"10.1039/d0cp01938k","ISSN":"14639076","PMID":"32666968","abstract":"Passivation of carbon dots via heteroatom doping has been shown to enhance their optical properties and tune their fluorescence signature. Additionally, the incorporation of polymeric precursors in carbon dot synthesis has gained considerable interest with benefits to biological applications namely bioimaging, drug delivery and sensing, among others. In order to combine the desirable attributes of both, fluorescence enhancement and increased biocompatibility, polymers composed of high aromaticity and nitrogen content can be used as efficient carbon dot passivating agents. Here, the synthesis of fluorescent polymer-passivated carbon dots was developed through a microwave-assisted pyrolysis reaction of galactose, citric acid and polydopamine. Passivation of the dots with polydopamine induces a 90 nm red-shift in the fluorescence maxima from 420 to 510 nm. Moreover, passivation results in excitation-independent fluorescence and a 3.5-fold increase in fluorescence quantum yield, which increases from 1.3 to 4.6%. The application of the carbon dots as imaging probes was investigated in in vitro and in vivo model systems. Cytotoxicity studies in J774 and CHO-K1 cell lines revealed reduced cell toxicity for the polydopamine-passivated carbon dots in comparison to their unpassivated counterpart. In BALB/c mice, biodistribution studies demonstrated that regardless of surface passivation, the dots predominantly remained in the circulatory system 90 minutes post inoculation suggesting their potential use for cardiovascular therapies. This journal is","author":[{"dropping-particle":"","family":"Pappalardo","given":"Juan Sebastian","non-dropping-particle":"","parse-names":false,"suffix":""},{"dropping-particle":"","family":"MacAiran","given":"Jun Ray","non-dropping-particle":"","parse-names":false,"suffix":""},{"dropping-particle":"","family":"MacIna","given":"Alexia","non-dropping-particle":"","parse-names":false,"suffix":""},{"dropping-particle":"","family":"Poulhazan","given":"Alexandre","non-dropping-particle":"","parse-names":false,"suffix":""},{"dropping-particle":"","family":"Quattrocchi","given":"Valeria","non-dropping-particle":"","parse-names":false,"suffix":""},{"dropping-particle":"","family":"Marcotte","given":"Isabelle","non-dropping-particle":"","parse-names":false,"suffix":""},{"dropping-particle":"","family":"Naccache","given":"Rafik","non-dropping-particle":"","parse-names":false,"suffix":""}],"container-title":"Physical Chemistry Chemical Physics","id":"ITEM-1","issue":"29","issued":{"date-parts":[["2020"]]},"page":"16595-16605","publisher":"Royal Society of Chemistry","title":"Effects of polydopamine-passivation on the optical properties of carbon dots and its potential use: In vivo","type":"article-journal","volume":"22"},"uris":["http://www.mendeley.com/documents/?uuid=deca0160-2eb0-4d57-aabd-5aef9f8e546f"]}],"mendeley":{"formattedCitation":"[15]","plainTextFormattedCitation":"[15]"},"properties":{"noteIndex":0},"schema":"https://github.com/citation-style-language/schema/raw/master/csl-citation.json"}</w:instrText>
            </w:r>
            <w:r w:rsidRPr="00BB4D12">
              <w:rPr>
                <w:rFonts w:ascii="Times New Roman" w:hAnsi="Times New Roman"/>
                <w:sz w:val="24"/>
                <w:szCs w:val="24"/>
              </w:rPr>
              <w:fldChar w:fldCharType="separate"/>
            </w:r>
            <w:r w:rsidRPr="00BB4D12">
              <w:rPr>
                <w:rFonts w:ascii="Times New Roman" w:hAnsi="Times New Roman"/>
                <w:noProof/>
                <w:sz w:val="24"/>
                <w:szCs w:val="24"/>
              </w:rPr>
              <w:t>[15]</w:t>
            </w:r>
            <w:r w:rsidRPr="00BB4D12">
              <w:rPr>
                <w:rFonts w:ascii="Times New Roman" w:hAnsi="Times New Roman"/>
                <w:sz w:val="24"/>
                <w:szCs w:val="24"/>
              </w:rPr>
              <w:fldChar w:fldCharType="end"/>
            </w:r>
          </w:p>
        </w:tc>
      </w:tr>
      <w:tr w:rsidR="007F6512" w:rsidRPr="009F1F79" w14:paraId="0377D88D" w14:textId="77777777" w:rsidTr="008F00A6">
        <w:tc>
          <w:tcPr>
            <w:tcW w:w="2802" w:type="dxa"/>
          </w:tcPr>
          <w:p w14:paraId="1681FC0D" w14:textId="77777777" w:rsidR="007F6512" w:rsidRPr="00BB4D12" w:rsidRDefault="007F6512" w:rsidP="008F00A6">
            <w:pPr>
              <w:spacing w:line="480" w:lineRule="auto"/>
              <w:jc w:val="center"/>
              <w:rPr>
                <w:rFonts w:ascii="Times New Roman" w:hAnsi="Times New Roman"/>
                <w:b/>
                <w:bCs/>
                <w:sz w:val="24"/>
                <w:szCs w:val="24"/>
              </w:rPr>
            </w:pPr>
            <w:r w:rsidRPr="00BB4D12">
              <w:rPr>
                <w:rFonts w:ascii="Times New Roman" w:hAnsi="Times New Roman"/>
                <w:b/>
                <w:bCs/>
                <w:sz w:val="24"/>
                <w:szCs w:val="24"/>
              </w:rPr>
              <w:t>Clove, PVP</w:t>
            </w:r>
          </w:p>
        </w:tc>
        <w:tc>
          <w:tcPr>
            <w:tcW w:w="1701" w:type="dxa"/>
          </w:tcPr>
          <w:p w14:paraId="13AF46F5" w14:textId="77777777" w:rsidR="007F6512" w:rsidRPr="00BB4D12" w:rsidRDefault="007F6512" w:rsidP="008F00A6">
            <w:pPr>
              <w:spacing w:line="480" w:lineRule="auto"/>
              <w:jc w:val="center"/>
              <w:rPr>
                <w:rFonts w:ascii="Times New Roman" w:hAnsi="Times New Roman"/>
                <w:b/>
                <w:bCs/>
                <w:sz w:val="24"/>
                <w:szCs w:val="24"/>
              </w:rPr>
            </w:pPr>
            <w:r w:rsidRPr="00BB4D12">
              <w:rPr>
                <w:rFonts w:ascii="Times New Roman" w:hAnsi="Times New Roman"/>
                <w:b/>
                <w:bCs/>
                <w:sz w:val="24"/>
                <w:szCs w:val="24"/>
              </w:rPr>
              <w:t xml:space="preserve">Hydrothermal </w:t>
            </w:r>
          </w:p>
        </w:tc>
        <w:tc>
          <w:tcPr>
            <w:tcW w:w="1275" w:type="dxa"/>
          </w:tcPr>
          <w:p w14:paraId="4641DC60" w14:textId="77777777" w:rsidR="007F6512" w:rsidRPr="00BB4D12" w:rsidRDefault="007F6512" w:rsidP="008F00A6">
            <w:pPr>
              <w:spacing w:line="480" w:lineRule="auto"/>
              <w:jc w:val="center"/>
              <w:rPr>
                <w:rFonts w:ascii="Times New Roman" w:hAnsi="Times New Roman"/>
                <w:b/>
                <w:bCs/>
                <w:sz w:val="24"/>
                <w:szCs w:val="24"/>
              </w:rPr>
            </w:pPr>
            <w:r w:rsidRPr="00BB4D12">
              <w:rPr>
                <w:rFonts w:ascii="Times New Roman" w:hAnsi="Times New Roman"/>
                <w:b/>
                <w:bCs/>
                <w:sz w:val="24"/>
                <w:szCs w:val="24"/>
              </w:rPr>
              <w:t>1</w:t>
            </w:r>
            <w:r w:rsidR="00F81F73" w:rsidRPr="00BB4D12">
              <w:rPr>
                <w:rFonts w:ascii="Times New Roman" w:hAnsi="Times New Roman"/>
                <w:b/>
                <w:bCs/>
                <w:sz w:val="24"/>
                <w:szCs w:val="24"/>
              </w:rPr>
              <w:t>0</w:t>
            </w:r>
            <w:r w:rsidRPr="00BB4D12">
              <w:rPr>
                <w:rFonts w:ascii="Times New Roman" w:hAnsi="Times New Roman"/>
                <w:b/>
                <w:bCs/>
                <w:sz w:val="24"/>
                <w:szCs w:val="24"/>
              </w:rPr>
              <w:t>.9</w:t>
            </w:r>
          </w:p>
        </w:tc>
        <w:tc>
          <w:tcPr>
            <w:tcW w:w="2761" w:type="dxa"/>
          </w:tcPr>
          <w:p w14:paraId="67B031A1" w14:textId="77777777" w:rsidR="007F6512" w:rsidRPr="00BB4D12" w:rsidRDefault="007F6512" w:rsidP="008F00A6">
            <w:pPr>
              <w:spacing w:line="480" w:lineRule="auto"/>
              <w:jc w:val="center"/>
              <w:rPr>
                <w:rFonts w:ascii="Times New Roman" w:hAnsi="Times New Roman"/>
                <w:b/>
                <w:bCs/>
                <w:sz w:val="24"/>
                <w:szCs w:val="24"/>
              </w:rPr>
            </w:pPr>
            <w:r w:rsidRPr="00BB4D12">
              <w:rPr>
                <w:rFonts w:ascii="Times New Roman" w:hAnsi="Times New Roman"/>
                <w:b/>
                <w:bCs/>
                <w:sz w:val="24"/>
                <w:szCs w:val="24"/>
              </w:rPr>
              <w:t>Bioimaging, Antioxidant, catalyst</w:t>
            </w:r>
          </w:p>
        </w:tc>
        <w:tc>
          <w:tcPr>
            <w:tcW w:w="710" w:type="dxa"/>
          </w:tcPr>
          <w:p w14:paraId="6D6CD6C3" w14:textId="77777777" w:rsidR="007F6512" w:rsidRPr="00BB4D12" w:rsidRDefault="007F6512" w:rsidP="008F00A6">
            <w:pPr>
              <w:spacing w:line="480" w:lineRule="auto"/>
              <w:jc w:val="center"/>
              <w:rPr>
                <w:rFonts w:ascii="Times New Roman" w:hAnsi="Times New Roman"/>
                <w:b/>
                <w:bCs/>
                <w:sz w:val="24"/>
                <w:szCs w:val="24"/>
              </w:rPr>
            </w:pPr>
            <w:r w:rsidRPr="00BB4D12">
              <w:rPr>
                <w:rFonts w:ascii="Times New Roman" w:hAnsi="Times New Roman"/>
                <w:b/>
                <w:bCs/>
                <w:sz w:val="24"/>
                <w:szCs w:val="24"/>
              </w:rPr>
              <w:t>This work</w:t>
            </w:r>
          </w:p>
        </w:tc>
      </w:tr>
    </w:tbl>
    <w:p w14:paraId="27BB474E" w14:textId="77777777" w:rsidR="007F6512" w:rsidRPr="009F1F79" w:rsidRDefault="007F6512" w:rsidP="007F6512">
      <w:pPr>
        <w:spacing w:line="480" w:lineRule="auto"/>
        <w:rPr>
          <w:rFonts w:ascii="Times New Roman" w:hAnsi="Times New Roman"/>
          <w:highlight w:val="yellow"/>
        </w:rPr>
      </w:pPr>
    </w:p>
    <w:p w14:paraId="56AB4A02" w14:textId="77777777" w:rsidR="002D3768" w:rsidRPr="004D17FB" w:rsidRDefault="00EA3BA3" w:rsidP="00D516A8">
      <w:pPr>
        <w:rPr>
          <w:rFonts w:ascii="Times New Roman" w:hAnsi="Times New Roman"/>
          <w:b/>
          <w:bCs/>
          <w:sz w:val="24"/>
          <w:szCs w:val="24"/>
        </w:rPr>
      </w:pPr>
      <w:r w:rsidRPr="004D17FB">
        <w:rPr>
          <w:rFonts w:ascii="Times New Roman" w:hAnsi="Times New Roman"/>
          <w:b/>
          <w:bCs/>
          <w:sz w:val="24"/>
          <w:szCs w:val="24"/>
        </w:rPr>
        <w:t>Reference</w:t>
      </w:r>
      <w:r w:rsidR="004D17FB" w:rsidRPr="004D17FB">
        <w:rPr>
          <w:rFonts w:ascii="Times New Roman" w:hAnsi="Times New Roman"/>
          <w:b/>
          <w:bCs/>
          <w:sz w:val="24"/>
          <w:szCs w:val="24"/>
        </w:rPr>
        <w:t>s</w:t>
      </w:r>
    </w:p>
    <w:bookmarkStart w:id="4" w:name="_Hlk85222023"/>
    <w:p w14:paraId="0443244B" w14:textId="77777777" w:rsidR="00C7554A" w:rsidRPr="004D17FB" w:rsidRDefault="005C4551" w:rsidP="00C7554A">
      <w:pPr>
        <w:widowControl w:val="0"/>
        <w:autoSpaceDE w:val="0"/>
        <w:autoSpaceDN w:val="0"/>
        <w:adjustRightInd w:val="0"/>
        <w:spacing w:line="240" w:lineRule="auto"/>
        <w:ind w:left="640" w:hanging="640"/>
        <w:rPr>
          <w:rFonts w:ascii="Times New Roman" w:hAnsi="Times New Roman"/>
          <w:noProof/>
          <w:sz w:val="24"/>
          <w:szCs w:val="24"/>
        </w:rPr>
      </w:pPr>
      <w:r w:rsidRPr="004D17FB">
        <w:rPr>
          <w:rFonts w:ascii="Times New Roman" w:hAnsi="Times New Roman"/>
          <w:sz w:val="24"/>
          <w:szCs w:val="24"/>
        </w:rPr>
        <w:fldChar w:fldCharType="begin" w:fldLock="1"/>
      </w:r>
      <w:r w:rsidRPr="004D17FB">
        <w:rPr>
          <w:rFonts w:ascii="Times New Roman" w:hAnsi="Times New Roman"/>
          <w:sz w:val="24"/>
          <w:szCs w:val="24"/>
        </w:rPr>
        <w:instrText xml:space="preserve">ADDIN Mendeley Bibliography CSL_BIBLIOGRAPHY </w:instrText>
      </w:r>
      <w:r w:rsidRPr="004D17FB">
        <w:rPr>
          <w:rFonts w:ascii="Times New Roman" w:hAnsi="Times New Roman"/>
          <w:sz w:val="24"/>
          <w:szCs w:val="24"/>
        </w:rPr>
        <w:fldChar w:fldCharType="separate"/>
      </w:r>
      <w:r w:rsidR="00C7554A" w:rsidRPr="004D17FB">
        <w:rPr>
          <w:rFonts w:ascii="Times New Roman" w:hAnsi="Times New Roman"/>
          <w:noProof/>
          <w:sz w:val="24"/>
          <w:szCs w:val="24"/>
        </w:rPr>
        <w:t>[1]</w:t>
      </w:r>
      <w:r w:rsidR="00C7554A" w:rsidRPr="004D17FB">
        <w:rPr>
          <w:rFonts w:ascii="Times New Roman" w:hAnsi="Times New Roman"/>
          <w:noProof/>
          <w:sz w:val="24"/>
          <w:szCs w:val="24"/>
        </w:rPr>
        <w:tab/>
        <w:t>J. Shen, S. Shang, X. Chen, D. Wang, Y. Cai, Highly fluorescent N, S-co-doped carbon dots and their potential applications as antioxidants and sensitive probes for Cr (VI) detection, Sensors Actuators, B Chem. 248 (2017) 92–100. https://doi.org/10.1016/j.snb.2017.03.123.</w:t>
      </w:r>
    </w:p>
    <w:p w14:paraId="1ED40480" w14:textId="77777777" w:rsidR="00C7554A" w:rsidRPr="004D17FB" w:rsidRDefault="00C7554A" w:rsidP="00C7554A">
      <w:pPr>
        <w:widowControl w:val="0"/>
        <w:autoSpaceDE w:val="0"/>
        <w:autoSpaceDN w:val="0"/>
        <w:adjustRightInd w:val="0"/>
        <w:spacing w:line="240" w:lineRule="auto"/>
        <w:ind w:left="640" w:hanging="640"/>
        <w:rPr>
          <w:rFonts w:ascii="Times New Roman" w:hAnsi="Times New Roman"/>
          <w:noProof/>
          <w:sz w:val="24"/>
          <w:szCs w:val="24"/>
        </w:rPr>
      </w:pPr>
      <w:r w:rsidRPr="004D17FB">
        <w:rPr>
          <w:rFonts w:ascii="Times New Roman" w:hAnsi="Times New Roman"/>
          <w:noProof/>
          <w:sz w:val="24"/>
          <w:szCs w:val="24"/>
        </w:rPr>
        <w:t>[2]</w:t>
      </w:r>
      <w:r w:rsidRPr="004D17FB">
        <w:rPr>
          <w:rFonts w:ascii="Times New Roman" w:hAnsi="Times New Roman"/>
          <w:noProof/>
          <w:sz w:val="24"/>
          <w:szCs w:val="24"/>
        </w:rPr>
        <w:tab/>
        <w:t>J. Shen, T. Zhang, Y. Cai, X. Chen, S. Shang, J. Li, Highly fluorescent N,S-co-doped carbon dots: Synthesis and multiple applications, New J. Chem. 41 (2017) 11125–11137. https://doi.org/10.1039/c7nj00505a.</w:t>
      </w:r>
    </w:p>
    <w:p w14:paraId="46BD5F44" w14:textId="77777777" w:rsidR="00C7554A" w:rsidRPr="004D17FB" w:rsidRDefault="00C7554A" w:rsidP="00C7554A">
      <w:pPr>
        <w:widowControl w:val="0"/>
        <w:autoSpaceDE w:val="0"/>
        <w:autoSpaceDN w:val="0"/>
        <w:adjustRightInd w:val="0"/>
        <w:spacing w:line="240" w:lineRule="auto"/>
        <w:ind w:left="640" w:hanging="640"/>
        <w:rPr>
          <w:rFonts w:ascii="Times New Roman" w:hAnsi="Times New Roman"/>
          <w:noProof/>
          <w:sz w:val="24"/>
          <w:szCs w:val="24"/>
        </w:rPr>
      </w:pPr>
      <w:r w:rsidRPr="004D17FB">
        <w:rPr>
          <w:rFonts w:ascii="Times New Roman" w:hAnsi="Times New Roman"/>
          <w:noProof/>
          <w:sz w:val="24"/>
          <w:szCs w:val="24"/>
        </w:rPr>
        <w:t>[3]</w:t>
      </w:r>
      <w:r w:rsidRPr="004D17FB">
        <w:rPr>
          <w:rFonts w:ascii="Times New Roman" w:hAnsi="Times New Roman"/>
          <w:noProof/>
          <w:sz w:val="24"/>
          <w:szCs w:val="24"/>
        </w:rPr>
        <w:tab/>
        <w:t>D. Yang, L. Li, L. Cao, Y. Zhang, M. Ge, R. Yan, W.F. Dong, Superior reducing carbon dots from proanthocyanidin for free-radical scavenging and for cell imaging, Analyst. 146 (2021) 2330–2338. https://doi.org/10.1039/d0an02479a.</w:t>
      </w:r>
    </w:p>
    <w:p w14:paraId="69FC9974" w14:textId="77777777" w:rsidR="00C7554A" w:rsidRPr="004D17FB" w:rsidRDefault="00C7554A" w:rsidP="00C7554A">
      <w:pPr>
        <w:widowControl w:val="0"/>
        <w:autoSpaceDE w:val="0"/>
        <w:autoSpaceDN w:val="0"/>
        <w:adjustRightInd w:val="0"/>
        <w:spacing w:line="240" w:lineRule="auto"/>
        <w:ind w:left="640" w:hanging="640"/>
        <w:rPr>
          <w:rFonts w:ascii="Times New Roman" w:hAnsi="Times New Roman"/>
          <w:noProof/>
          <w:sz w:val="24"/>
          <w:szCs w:val="24"/>
        </w:rPr>
      </w:pPr>
      <w:r w:rsidRPr="004D17FB">
        <w:rPr>
          <w:rFonts w:ascii="Times New Roman" w:hAnsi="Times New Roman"/>
          <w:noProof/>
          <w:sz w:val="24"/>
          <w:szCs w:val="24"/>
        </w:rPr>
        <w:t>[4]</w:t>
      </w:r>
      <w:r w:rsidRPr="004D17FB">
        <w:rPr>
          <w:rFonts w:ascii="Times New Roman" w:hAnsi="Times New Roman"/>
          <w:noProof/>
          <w:sz w:val="24"/>
          <w:szCs w:val="24"/>
        </w:rPr>
        <w:tab/>
        <w:t>P. Das, S. Ganguly, S. Margel, A. Gedanken, Immobilization of Heteroatom-Doped Carbon Dots onto Nonpolar Plastics for Antifogging, Antioxidant, and Food Monitoring Applications, Langmuir. 37 (2021) 3508–3520. https://doi.org/10.1021/acs.langmuir.1c00471.</w:t>
      </w:r>
    </w:p>
    <w:p w14:paraId="1A97EA9C" w14:textId="77777777" w:rsidR="00C7554A" w:rsidRPr="004D17FB" w:rsidRDefault="00C7554A" w:rsidP="00C7554A">
      <w:pPr>
        <w:widowControl w:val="0"/>
        <w:autoSpaceDE w:val="0"/>
        <w:autoSpaceDN w:val="0"/>
        <w:adjustRightInd w:val="0"/>
        <w:spacing w:line="240" w:lineRule="auto"/>
        <w:ind w:left="640" w:hanging="640"/>
        <w:rPr>
          <w:rFonts w:ascii="Times New Roman" w:hAnsi="Times New Roman"/>
          <w:noProof/>
          <w:sz w:val="24"/>
          <w:szCs w:val="24"/>
        </w:rPr>
      </w:pPr>
      <w:r w:rsidRPr="004D17FB">
        <w:rPr>
          <w:rFonts w:ascii="Times New Roman" w:hAnsi="Times New Roman"/>
          <w:noProof/>
          <w:sz w:val="24"/>
          <w:szCs w:val="24"/>
        </w:rPr>
        <w:t>[5]</w:t>
      </w:r>
      <w:r w:rsidRPr="004D17FB">
        <w:rPr>
          <w:rFonts w:ascii="Times New Roman" w:hAnsi="Times New Roman"/>
          <w:noProof/>
          <w:sz w:val="24"/>
          <w:szCs w:val="24"/>
        </w:rPr>
        <w:tab/>
        <w:t>J. Shi, Y. Pu, J.X. Wang, D. Wang, J.F. Chen, Synthesis of ultrasmall and monodisperse selenium-doped carbon dots from amino acids for free radical scavenging Rina Su, Ind. Eng. Chem. Res. 59 (2020) 16876–16883. https://doi.org/10.1021/acs.iecr.0c03402.</w:t>
      </w:r>
    </w:p>
    <w:p w14:paraId="511012A0" w14:textId="77777777" w:rsidR="00C7554A" w:rsidRPr="004D17FB" w:rsidRDefault="00C7554A" w:rsidP="00C7554A">
      <w:pPr>
        <w:widowControl w:val="0"/>
        <w:autoSpaceDE w:val="0"/>
        <w:autoSpaceDN w:val="0"/>
        <w:adjustRightInd w:val="0"/>
        <w:spacing w:line="240" w:lineRule="auto"/>
        <w:ind w:left="640" w:hanging="640"/>
        <w:rPr>
          <w:rFonts w:ascii="Times New Roman" w:hAnsi="Times New Roman"/>
          <w:noProof/>
          <w:sz w:val="24"/>
          <w:szCs w:val="24"/>
        </w:rPr>
      </w:pPr>
      <w:r w:rsidRPr="004D17FB">
        <w:rPr>
          <w:rFonts w:ascii="Times New Roman" w:hAnsi="Times New Roman"/>
          <w:noProof/>
          <w:sz w:val="24"/>
          <w:szCs w:val="24"/>
        </w:rPr>
        <w:t>[6]</w:t>
      </w:r>
      <w:r w:rsidRPr="004D17FB">
        <w:rPr>
          <w:rFonts w:ascii="Times New Roman" w:hAnsi="Times New Roman"/>
          <w:noProof/>
          <w:sz w:val="24"/>
          <w:szCs w:val="24"/>
        </w:rPr>
        <w:tab/>
        <w:t>J. Jia, B. Lin, Y. Gao, Y. Jiao, L. Li, C. Dong, S. Shuang, Highly luminescent N-doped carbon dots from black soya beans for free radical scavenging, Fe3+ sensing and cellular imaging, Spectrochim. Acta - Part A Mol. Biomol. Spectrosc. 211 (2019) 363–372. https://doi.org/10.1016/j.saa.2018.12.034.</w:t>
      </w:r>
    </w:p>
    <w:p w14:paraId="70A7678D" w14:textId="77777777" w:rsidR="00C7554A" w:rsidRPr="004D17FB" w:rsidRDefault="00C7554A" w:rsidP="00C7554A">
      <w:pPr>
        <w:widowControl w:val="0"/>
        <w:autoSpaceDE w:val="0"/>
        <w:autoSpaceDN w:val="0"/>
        <w:adjustRightInd w:val="0"/>
        <w:spacing w:line="240" w:lineRule="auto"/>
        <w:ind w:left="640" w:hanging="640"/>
        <w:rPr>
          <w:rFonts w:ascii="Times New Roman" w:hAnsi="Times New Roman"/>
          <w:noProof/>
          <w:sz w:val="24"/>
          <w:szCs w:val="24"/>
        </w:rPr>
      </w:pPr>
      <w:r w:rsidRPr="004D17FB">
        <w:rPr>
          <w:rFonts w:ascii="Times New Roman" w:hAnsi="Times New Roman"/>
          <w:noProof/>
          <w:sz w:val="24"/>
          <w:szCs w:val="24"/>
        </w:rPr>
        <w:t>[7]</w:t>
      </w:r>
      <w:r w:rsidRPr="004D17FB">
        <w:rPr>
          <w:rFonts w:ascii="Times New Roman" w:hAnsi="Times New Roman"/>
          <w:noProof/>
          <w:sz w:val="24"/>
          <w:szCs w:val="24"/>
        </w:rPr>
        <w:tab/>
        <w:t>P. Saikia, A.T. Miah, P.P. Das, Highly efficient catalytic reductive degradation of various organic dyes by Au/CeO2-TiO2 nano-hybrid, J. Chem. Sci. 129 (2017) 81–93. https://doi.org/10.1007/s12039-016-1203-0.</w:t>
      </w:r>
    </w:p>
    <w:p w14:paraId="613C8DD9" w14:textId="77777777" w:rsidR="00C7554A" w:rsidRPr="004D17FB" w:rsidRDefault="00C7554A" w:rsidP="00C7554A">
      <w:pPr>
        <w:widowControl w:val="0"/>
        <w:autoSpaceDE w:val="0"/>
        <w:autoSpaceDN w:val="0"/>
        <w:adjustRightInd w:val="0"/>
        <w:spacing w:line="240" w:lineRule="auto"/>
        <w:ind w:left="640" w:hanging="640"/>
        <w:rPr>
          <w:rFonts w:ascii="Times New Roman" w:hAnsi="Times New Roman"/>
          <w:noProof/>
          <w:sz w:val="24"/>
          <w:szCs w:val="24"/>
        </w:rPr>
      </w:pPr>
      <w:r w:rsidRPr="004D17FB">
        <w:rPr>
          <w:rFonts w:ascii="Times New Roman" w:hAnsi="Times New Roman"/>
          <w:noProof/>
          <w:sz w:val="24"/>
          <w:szCs w:val="24"/>
        </w:rPr>
        <w:t>[8]</w:t>
      </w:r>
      <w:r w:rsidRPr="004D17FB">
        <w:rPr>
          <w:rFonts w:ascii="Times New Roman" w:hAnsi="Times New Roman"/>
          <w:noProof/>
          <w:sz w:val="24"/>
          <w:szCs w:val="24"/>
        </w:rPr>
        <w:tab/>
        <w:t xml:space="preserve">J. Piella, F. Merkoçi, A. Genç, J. Arbiol, N.G. Bastús, V. Puntes, Probing the surface reactivity of nanocrystals by the catalytic degradation of organic dyes: The effect of size, </w:t>
      </w:r>
      <w:r w:rsidRPr="004D17FB">
        <w:rPr>
          <w:rFonts w:ascii="Times New Roman" w:hAnsi="Times New Roman"/>
          <w:noProof/>
          <w:sz w:val="24"/>
          <w:szCs w:val="24"/>
        </w:rPr>
        <w:lastRenderedPageBreak/>
        <w:t>surface chemistry and composition, J. Mater. Chem. A. 5 (2017) 11917–11929. https://doi.org/10.1039/c7ta01328k.</w:t>
      </w:r>
    </w:p>
    <w:p w14:paraId="6B1AA0F6" w14:textId="77777777" w:rsidR="00C7554A" w:rsidRPr="004D17FB" w:rsidRDefault="00C7554A" w:rsidP="00C7554A">
      <w:pPr>
        <w:widowControl w:val="0"/>
        <w:autoSpaceDE w:val="0"/>
        <w:autoSpaceDN w:val="0"/>
        <w:adjustRightInd w:val="0"/>
        <w:spacing w:line="240" w:lineRule="auto"/>
        <w:ind w:left="640" w:hanging="640"/>
        <w:rPr>
          <w:rFonts w:ascii="Times New Roman" w:hAnsi="Times New Roman"/>
          <w:noProof/>
          <w:sz w:val="24"/>
          <w:szCs w:val="24"/>
        </w:rPr>
      </w:pPr>
      <w:r w:rsidRPr="004D17FB">
        <w:rPr>
          <w:rFonts w:ascii="Times New Roman" w:hAnsi="Times New Roman"/>
          <w:noProof/>
          <w:sz w:val="24"/>
          <w:szCs w:val="24"/>
        </w:rPr>
        <w:t>[9]</w:t>
      </w:r>
      <w:r w:rsidRPr="004D17FB">
        <w:rPr>
          <w:rFonts w:ascii="Times New Roman" w:hAnsi="Times New Roman"/>
          <w:noProof/>
          <w:sz w:val="24"/>
          <w:szCs w:val="24"/>
        </w:rPr>
        <w:tab/>
        <w:t>P.C. Nagajyoyhi, K.C. Devarayapalli, T.V.M. Sreekanth, S.V.P. Vattikuti, J. Shim, Effective catalytic degradation of rhodamine B using ZnCO2O4 nanodice, Mater. Res. Express. 6 (2019) 0–6. https://doi.org/10.1088/2053-1591/ab3bbf.</w:t>
      </w:r>
    </w:p>
    <w:p w14:paraId="779DE31E" w14:textId="77777777" w:rsidR="00C7554A" w:rsidRPr="004D17FB" w:rsidRDefault="00C7554A" w:rsidP="00C7554A">
      <w:pPr>
        <w:widowControl w:val="0"/>
        <w:autoSpaceDE w:val="0"/>
        <w:autoSpaceDN w:val="0"/>
        <w:adjustRightInd w:val="0"/>
        <w:spacing w:line="240" w:lineRule="auto"/>
        <w:ind w:left="640" w:hanging="640"/>
        <w:rPr>
          <w:rFonts w:ascii="Times New Roman" w:hAnsi="Times New Roman"/>
          <w:noProof/>
          <w:sz w:val="24"/>
          <w:szCs w:val="24"/>
        </w:rPr>
      </w:pPr>
      <w:r w:rsidRPr="004D17FB">
        <w:rPr>
          <w:rFonts w:ascii="Times New Roman" w:hAnsi="Times New Roman"/>
          <w:noProof/>
          <w:sz w:val="24"/>
          <w:szCs w:val="24"/>
        </w:rPr>
        <w:t>[10]</w:t>
      </w:r>
      <w:r w:rsidRPr="004D17FB">
        <w:rPr>
          <w:rFonts w:ascii="Times New Roman" w:hAnsi="Times New Roman"/>
          <w:noProof/>
          <w:sz w:val="24"/>
          <w:szCs w:val="24"/>
        </w:rPr>
        <w:tab/>
        <w:t>Y. Zhou, E.M. Zahran, B.A. Quiroga, J. Perez, K.J. Mintz, Z. Peng, P.Y. Liyanage, R.R. Pandey, C.C. Chusuei, R.M. Leblanc, Size-dependent photocatalytic activity of carbon dots with surface-state determined photoluminescence, Appl. Catal. B Environ. 248 (2019) 157–166. https://doi.org/10.1016/j.apcatb.2019.02.019.</w:t>
      </w:r>
    </w:p>
    <w:p w14:paraId="7F1EE982" w14:textId="77777777" w:rsidR="00C7554A" w:rsidRPr="004D17FB" w:rsidRDefault="00C7554A" w:rsidP="00C7554A">
      <w:pPr>
        <w:widowControl w:val="0"/>
        <w:autoSpaceDE w:val="0"/>
        <w:autoSpaceDN w:val="0"/>
        <w:adjustRightInd w:val="0"/>
        <w:spacing w:line="240" w:lineRule="auto"/>
        <w:ind w:left="640" w:hanging="640"/>
        <w:rPr>
          <w:rFonts w:ascii="Times New Roman" w:hAnsi="Times New Roman"/>
          <w:noProof/>
          <w:sz w:val="24"/>
          <w:szCs w:val="24"/>
        </w:rPr>
      </w:pPr>
      <w:r w:rsidRPr="004D17FB">
        <w:rPr>
          <w:rFonts w:ascii="Times New Roman" w:hAnsi="Times New Roman"/>
          <w:noProof/>
          <w:sz w:val="24"/>
          <w:szCs w:val="24"/>
        </w:rPr>
        <w:t>[11]</w:t>
      </w:r>
      <w:r w:rsidRPr="004D17FB">
        <w:rPr>
          <w:rFonts w:ascii="Times New Roman" w:hAnsi="Times New Roman"/>
          <w:noProof/>
          <w:sz w:val="24"/>
          <w:szCs w:val="24"/>
        </w:rPr>
        <w:tab/>
        <w:t>Y. Cheng, M. Bai, J. Su, C. Fang, H. Li, J. Chen, J. Jiao, Synthesis of fluorescent carbon quantum dots from aqua mesophase pitch and their photocatalytic degradation activity of organic dyes, J. Mater. Sci. Technol. 35 (2019) 1515–1522. https://doi.org/10.1016/j.jmst.2019.03.039.</w:t>
      </w:r>
    </w:p>
    <w:p w14:paraId="5FF12AEB" w14:textId="77777777" w:rsidR="00C7554A" w:rsidRPr="004D17FB" w:rsidRDefault="00C7554A" w:rsidP="00C7554A">
      <w:pPr>
        <w:widowControl w:val="0"/>
        <w:autoSpaceDE w:val="0"/>
        <w:autoSpaceDN w:val="0"/>
        <w:adjustRightInd w:val="0"/>
        <w:spacing w:line="240" w:lineRule="auto"/>
        <w:ind w:left="640" w:hanging="640"/>
        <w:rPr>
          <w:rFonts w:ascii="Times New Roman" w:hAnsi="Times New Roman"/>
          <w:noProof/>
          <w:sz w:val="24"/>
          <w:szCs w:val="24"/>
        </w:rPr>
      </w:pPr>
      <w:r w:rsidRPr="004D17FB">
        <w:rPr>
          <w:rFonts w:ascii="Times New Roman" w:hAnsi="Times New Roman"/>
          <w:noProof/>
          <w:sz w:val="24"/>
          <w:szCs w:val="24"/>
        </w:rPr>
        <w:t>[12]</w:t>
      </w:r>
      <w:r w:rsidRPr="004D17FB">
        <w:rPr>
          <w:rFonts w:ascii="Times New Roman" w:hAnsi="Times New Roman"/>
          <w:noProof/>
          <w:sz w:val="24"/>
          <w:szCs w:val="24"/>
        </w:rPr>
        <w:tab/>
      </w:r>
      <w:bookmarkStart w:id="5" w:name="_Hlk85223442"/>
      <w:r w:rsidRPr="004D17FB">
        <w:rPr>
          <w:rFonts w:ascii="Times New Roman" w:hAnsi="Times New Roman"/>
          <w:noProof/>
          <w:sz w:val="24"/>
          <w:szCs w:val="24"/>
        </w:rPr>
        <w:t>T. Pal, S. Mohiyuddin, G. Packirisamy, Facile and Green Synthesis of Multicolor Fluorescence Carbon Dots from Curcumin: In Vitro and in Vivo Bioimaging and Other Applications, ACS Omega. 3 (2018) 831–843. https://doi.org/10.1021/acsomega.7b01323.</w:t>
      </w:r>
    </w:p>
    <w:bookmarkEnd w:id="5"/>
    <w:p w14:paraId="42085B9A" w14:textId="77777777" w:rsidR="00C7554A" w:rsidRPr="004D17FB" w:rsidRDefault="00C7554A" w:rsidP="00C7554A">
      <w:pPr>
        <w:widowControl w:val="0"/>
        <w:autoSpaceDE w:val="0"/>
        <w:autoSpaceDN w:val="0"/>
        <w:adjustRightInd w:val="0"/>
        <w:spacing w:line="240" w:lineRule="auto"/>
        <w:ind w:left="640" w:hanging="640"/>
        <w:rPr>
          <w:rFonts w:ascii="Times New Roman" w:hAnsi="Times New Roman"/>
          <w:noProof/>
          <w:sz w:val="24"/>
          <w:szCs w:val="24"/>
        </w:rPr>
      </w:pPr>
      <w:r w:rsidRPr="004D17FB">
        <w:rPr>
          <w:rFonts w:ascii="Times New Roman" w:hAnsi="Times New Roman"/>
          <w:noProof/>
          <w:sz w:val="24"/>
          <w:szCs w:val="24"/>
        </w:rPr>
        <w:t>[13]</w:t>
      </w:r>
      <w:r w:rsidRPr="004D17FB">
        <w:rPr>
          <w:rFonts w:ascii="Times New Roman" w:hAnsi="Times New Roman"/>
          <w:noProof/>
          <w:sz w:val="24"/>
          <w:szCs w:val="24"/>
        </w:rPr>
        <w:tab/>
        <w:t>C. Liu, P. Zhang, F. Tian, W. Li, F. Li, W. Liu, One-step synthesis of surface passivated carbon nanodots by microwave assisted pyrolysis for enhanced multicolor photoluminescence and bioimaging, J. Mater. Chem. 21 (2011) 13163. https://doi.org/10.1039/c1jm12744f.</w:t>
      </w:r>
    </w:p>
    <w:p w14:paraId="55AF01CE" w14:textId="77777777" w:rsidR="00C7554A" w:rsidRPr="004D17FB" w:rsidRDefault="00C7554A" w:rsidP="00C7554A">
      <w:pPr>
        <w:widowControl w:val="0"/>
        <w:autoSpaceDE w:val="0"/>
        <w:autoSpaceDN w:val="0"/>
        <w:adjustRightInd w:val="0"/>
        <w:spacing w:line="240" w:lineRule="auto"/>
        <w:ind w:left="640" w:hanging="640"/>
        <w:rPr>
          <w:rFonts w:ascii="Times New Roman" w:hAnsi="Times New Roman"/>
          <w:noProof/>
          <w:sz w:val="24"/>
          <w:szCs w:val="24"/>
        </w:rPr>
      </w:pPr>
      <w:r w:rsidRPr="004D17FB">
        <w:rPr>
          <w:rFonts w:ascii="Times New Roman" w:hAnsi="Times New Roman"/>
          <w:noProof/>
          <w:sz w:val="24"/>
          <w:szCs w:val="24"/>
        </w:rPr>
        <w:t>[14]</w:t>
      </w:r>
      <w:r w:rsidRPr="004D17FB">
        <w:rPr>
          <w:rFonts w:ascii="Times New Roman" w:hAnsi="Times New Roman"/>
          <w:noProof/>
          <w:sz w:val="24"/>
          <w:szCs w:val="24"/>
        </w:rPr>
        <w:tab/>
        <w:t>A. Sachdev, I. Matai, S.U. Kumar, B. Bhushan, P. Dubey, P. Gopinath, A novel one-step synthesis of PEG passivated multicolour fluorescent carbon dots for potential biolabeling application, RSC Adv. 3 (2013) 16958. https://doi.org/10.1039/c3ra42415d.</w:t>
      </w:r>
    </w:p>
    <w:p w14:paraId="35E51407" w14:textId="77777777" w:rsidR="00C7554A" w:rsidRPr="004D17FB" w:rsidRDefault="00C7554A" w:rsidP="00C7554A">
      <w:pPr>
        <w:widowControl w:val="0"/>
        <w:autoSpaceDE w:val="0"/>
        <w:autoSpaceDN w:val="0"/>
        <w:adjustRightInd w:val="0"/>
        <w:spacing w:line="240" w:lineRule="auto"/>
        <w:ind w:left="640" w:hanging="640"/>
        <w:rPr>
          <w:rFonts w:ascii="Times New Roman" w:hAnsi="Times New Roman"/>
          <w:noProof/>
          <w:sz w:val="24"/>
        </w:rPr>
      </w:pPr>
      <w:r w:rsidRPr="004D17FB">
        <w:rPr>
          <w:rFonts w:ascii="Times New Roman" w:hAnsi="Times New Roman"/>
          <w:noProof/>
          <w:sz w:val="24"/>
          <w:szCs w:val="24"/>
        </w:rPr>
        <w:t>[15]</w:t>
      </w:r>
      <w:r w:rsidRPr="004D17FB">
        <w:rPr>
          <w:rFonts w:ascii="Times New Roman" w:hAnsi="Times New Roman"/>
          <w:noProof/>
          <w:sz w:val="24"/>
          <w:szCs w:val="24"/>
        </w:rPr>
        <w:tab/>
        <w:t>J.S. Pappalardo, J.R. MacAiran, A. MacIna, A. Poulhazan, V. Quattrocchi, I. Marcotte, R. Naccache, Effects of polydopamine-passivation on the optical properties of carbon dots and its potential use: In vivo, Phys. Chem. Chem. Phys. 22 (2020) 16595–16605. https://doi.org/10.1039/d0cp01938k.</w:t>
      </w:r>
    </w:p>
    <w:p w14:paraId="303E225E" w14:textId="77777777" w:rsidR="005C4551" w:rsidRDefault="005C4551" w:rsidP="00D516A8">
      <w:pPr>
        <w:rPr>
          <w:rFonts w:ascii="Times New Roman" w:hAnsi="Times New Roman"/>
          <w:sz w:val="24"/>
          <w:szCs w:val="24"/>
        </w:rPr>
      </w:pPr>
      <w:r w:rsidRPr="004D17FB">
        <w:rPr>
          <w:rFonts w:ascii="Times New Roman" w:hAnsi="Times New Roman"/>
          <w:sz w:val="24"/>
          <w:szCs w:val="24"/>
        </w:rPr>
        <w:fldChar w:fldCharType="end"/>
      </w:r>
      <w:bookmarkEnd w:id="4"/>
    </w:p>
    <w:p w14:paraId="5AB9311C" w14:textId="77777777" w:rsidR="00EA3BA3" w:rsidRDefault="00EA3BA3" w:rsidP="00D516A8">
      <w:pPr>
        <w:rPr>
          <w:rFonts w:ascii="Times New Roman" w:hAnsi="Times New Roman"/>
          <w:sz w:val="24"/>
          <w:szCs w:val="24"/>
        </w:rPr>
      </w:pPr>
    </w:p>
    <w:p w14:paraId="0D9DEB86" w14:textId="77777777" w:rsidR="00D516A8" w:rsidRPr="00EB240D" w:rsidRDefault="00D516A8">
      <w:pPr>
        <w:rPr>
          <w:rFonts w:ascii="Times New Roman" w:hAnsi="Times New Roman"/>
          <w:b/>
          <w:bCs/>
          <w:sz w:val="24"/>
          <w:szCs w:val="24"/>
          <w:lang w:val="en-US"/>
        </w:rPr>
      </w:pPr>
    </w:p>
    <w:sectPr w:rsidR="00D516A8" w:rsidRPr="00EB240D">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MzMDcwNjEzNDcyNDRU0lEKTi0uzszPAymwqAUAZh8RTCwAAAA="/>
  </w:docVars>
  <w:rsids>
    <w:rsidRoot w:val="00EB240D"/>
    <w:rsid w:val="000B1BCE"/>
    <w:rsid w:val="00176283"/>
    <w:rsid w:val="00186424"/>
    <w:rsid w:val="001D5099"/>
    <w:rsid w:val="00275BC6"/>
    <w:rsid w:val="00277915"/>
    <w:rsid w:val="00281830"/>
    <w:rsid w:val="002D3768"/>
    <w:rsid w:val="003828EB"/>
    <w:rsid w:val="0038578B"/>
    <w:rsid w:val="00487228"/>
    <w:rsid w:val="00491055"/>
    <w:rsid w:val="004A7D28"/>
    <w:rsid w:val="004C3BA3"/>
    <w:rsid w:val="004D17FB"/>
    <w:rsid w:val="00524340"/>
    <w:rsid w:val="005860FA"/>
    <w:rsid w:val="00597C3B"/>
    <w:rsid w:val="005C4551"/>
    <w:rsid w:val="00667850"/>
    <w:rsid w:val="006E22CB"/>
    <w:rsid w:val="00773AD3"/>
    <w:rsid w:val="007D5F87"/>
    <w:rsid w:val="007E3CCB"/>
    <w:rsid w:val="007F0214"/>
    <w:rsid w:val="007F6512"/>
    <w:rsid w:val="00851AF9"/>
    <w:rsid w:val="008905FD"/>
    <w:rsid w:val="008F00A6"/>
    <w:rsid w:val="00981A86"/>
    <w:rsid w:val="009E49AE"/>
    <w:rsid w:val="009E6FCD"/>
    <w:rsid w:val="009F1F79"/>
    <w:rsid w:val="00A5250D"/>
    <w:rsid w:val="00A9179E"/>
    <w:rsid w:val="00AB1447"/>
    <w:rsid w:val="00BB4D12"/>
    <w:rsid w:val="00BE5B3D"/>
    <w:rsid w:val="00C7554A"/>
    <w:rsid w:val="00C810DA"/>
    <w:rsid w:val="00CC1DB7"/>
    <w:rsid w:val="00CD058F"/>
    <w:rsid w:val="00D168F5"/>
    <w:rsid w:val="00D30C53"/>
    <w:rsid w:val="00D40C2C"/>
    <w:rsid w:val="00D516A8"/>
    <w:rsid w:val="00D86718"/>
    <w:rsid w:val="00D90AE1"/>
    <w:rsid w:val="00DA7EDB"/>
    <w:rsid w:val="00DE7E32"/>
    <w:rsid w:val="00EA3BA3"/>
    <w:rsid w:val="00EB240D"/>
    <w:rsid w:val="00ED38AA"/>
    <w:rsid w:val="00EE551A"/>
    <w:rsid w:val="00F008C3"/>
    <w:rsid w:val="00F45DB6"/>
    <w:rsid w:val="00F81F73"/>
    <w:rsid w:val="00F91F84"/>
    <w:rsid w:val="00FA238A"/>
    <w:rsid w:val="00FC7909"/>
    <w:rsid w:val="00FE7D9D"/>
    <w:rsid w:val="00FF0E2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FF44F5"/>
  <w14:defaultImageDpi w14:val="0"/>
  <w15:docId w15:val="{68BCBDC4-6AAE-4F32-834A-6CD290F3F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rsid w:val="00EB240D"/>
    <w:rPr>
      <w:rFonts w:ascii="Times New Roman" w:hAnsi="Times New Roman"/>
      <w:b/>
      <w:color w:val="000000"/>
      <w:sz w:val="24"/>
    </w:rPr>
  </w:style>
  <w:style w:type="character" w:styleId="Hyperlink">
    <w:name w:val="Hyperlink"/>
    <w:basedOn w:val="DefaultParagraphFont"/>
    <w:uiPriority w:val="99"/>
    <w:unhideWhenUsed/>
    <w:rsid w:val="00ED38AA"/>
    <w:rPr>
      <w:rFonts w:cs="Times New Roman"/>
      <w:color w:val="0000FF"/>
      <w:u w:val="single"/>
    </w:rPr>
  </w:style>
  <w:style w:type="table" w:styleId="TableGrid">
    <w:name w:val="Table Grid"/>
    <w:basedOn w:val="TableNormal"/>
    <w:uiPriority w:val="39"/>
    <w:rsid w:val="002D3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CDC96-26BB-404E-B1FA-EA92535A3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6845</Words>
  <Characters>39020</Characters>
  <Application>Microsoft Office Word</Application>
  <DocSecurity>0</DocSecurity>
  <Lines>325</Lines>
  <Paragraphs>91</Paragraphs>
  <ScaleCrop>false</ScaleCrop>
  <Company/>
  <LinksUpToDate>false</LinksUpToDate>
  <CharactersWithSpaces>45774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anurag pandey</dc:creator>
  <cp:keywords/>
  <dc:description/>
  <cp:lastModifiedBy>anurag pandey</cp:lastModifiedBy>
  <cp:revision>5</cp:revision>
  <dcterms:created xsi:type="dcterms:W3CDTF">2021-10-15T18:00:00Z</dcterms:created>
  <dcterms:modified xsi:type="dcterms:W3CDTF">2021-10-16T02:25:00Z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http://www.zotero.org/styles/applied-surface-science</vt:lpwstr>
  </property>
  <property fmtid="{D5CDD505-2E9C-101B-9397-08002B2CF9AE}" pid="9" name="Mendeley Recent Style Name 3_1">
    <vt:lpwstr>Applied Surface Science</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d6121799-9c57-3678-84e7-a22356fe6fde</vt:lpwstr>
  </property>
  <property fmtid="{D5CDD505-2E9C-101B-9397-08002B2CF9AE}" pid="24" name="Mendeley Citation Style_1">
    <vt:lpwstr>http://www.zotero.org/styles/applied-surface-science</vt:lpwstr>
  </property>
</Properties>
</file>