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CEC2A" w14:textId="77777777" w:rsidR="00260A0D" w:rsidRPr="0008493F" w:rsidRDefault="00DD7A64">
      <w:pPr>
        <w:jc w:val="center"/>
        <w:rPr>
          <w:rFonts w:ascii="Times New Roman" w:eastAsia="Times New Roman" w:hAnsi="Times New Roman" w:cs="Times New Roman"/>
          <w:b/>
          <w:sz w:val="24"/>
          <w:szCs w:val="24"/>
        </w:rPr>
      </w:pPr>
      <w:r w:rsidRPr="0008493F">
        <w:rPr>
          <w:rFonts w:ascii="Times New Roman" w:eastAsia="Times New Roman" w:hAnsi="Times New Roman" w:cs="Times New Roman"/>
          <w:b/>
          <w:sz w:val="24"/>
          <w:szCs w:val="24"/>
        </w:rPr>
        <w:t>Supplementary information</w:t>
      </w:r>
    </w:p>
    <w:p w14:paraId="2D1CE7B1" w14:textId="77777777" w:rsidR="00260A0D" w:rsidRPr="0008493F" w:rsidRDefault="00260A0D">
      <w:pPr>
        <w:jc w:val="center"/>
        <w:rPr>
          <w:rFonts w:ascii="Times New Roman" w:eastAsia="Times New Roman" w:hAnsi="Times New Roman" w:cs="Times New Roman"/>
          <w:b/>
          <w:sz w:val="24"/>
          <w:szCs w:val="24"/>
        </w:rPr>
      </w:pPr>
    </w:p>
    <w:p w14:paraId="44F1CC26" w14:textId="77777777" w:rsidR="0008493F" w:rsidRPr="0008493F" w:rsidRDefault="0008493F" w:rsidP="0008493F">
      <w:pPr>
        <w:jc w:val="center"/>
        <w:rPr>
          <w:rFonts w:ascii="Times New Roman" w:hAnsi="Times New Roman" w:cs="Times New Roman"/>
          <w:b/>
          <w:sz w:val="24"/>
          <w:szCs w:val="24"/>
        </w:rPr>
      </w:pPr>
      <w:r w:rsidRPr="0008493F">
        <w:rPr>
          <w:rFonts w:ascii="Times New Roman" w:hAnsi="Times New Roman" w:cs="Times New Roman"/>
          <w:b/>
          <w:sz w:val="24"/>
          <w:szCs w:val="24"/>
        </w:rPr>
        <w:t>Title: Inactivation mechanism and efficacy of grape seed extract for Human Norovirus surrogate</w:t>
      </w:r>
    </w:p>
    <w:p w14:paraId="0B31AE51" w14:textId="77777777" w:rsidR="0008493F" w:rsidRPr="0008493F" w:rsidRDefault="0008493F" w:rsidP="0008493F">
      <w:pPr>
        <w:jc w:val="center"/>
        <w:rPr>
          <w:rFonts w:ascii="Times New Roman" w:hAnsi="Times New Roman" w:cs="Times New Roman"/>
          <w:b/>
          <w:sz w:val="24"/>
          <w:szCs w:val="24"/>
        </w:rPr>
      </w:pPr>
    </w:p>
    <w:p w14:paraId="0BF90B1B" w14:textId="77777777" w:rsidR="0008493F" w:rsidRPr="0008493F" w:rsidRDefault="0008493F" w:rsidP="0008493F">
      <w:pPr>
        <w:jc w:val="center"/>
        <w:rPr>
          <w:rFonts w:ascii="Times New Roman" w:hAnsi="Times New Roman" w:cs="Times New Roman"/>
          <w:bCs/>
          <w:sz w:val="24"/>
          <w:szCs w:val="24"/>
        </w:rPr>
      </w:pPr>
      <w:r w:rsidRPr="0008493F">
        <w:rPr>
          <w:rFonts w:ascii="Times New Roman" w:hAnsi="Times New Roman" w:cs="Times New Roman"/>
          <w:bCs/>
          <w:sz w:val="24"/>
          <w:szCs w:val="24"/>
        </w:rPr>
        <w:t>Running title: Grape seed extract inactivates Tulane viruses</w:t>
      </w:r>
    </w:p>
    <w:p w14:paraId="6A8C24E1" w14:textId="77777777" w:rsidR="00260A0D" w:rsidRPr="0008493F" w:rsidRDefault="00260A0D">
      <w:pPr>
        <w:jc w:val="center"/>
        <w:rPr>
          <w:rFonts w:ascii="Times New Roman" w:eastAsia="Times New Roman" w:hAnsi="Times New Roman" w:cs="Times New Roman"/>
          <w:b/>
          <w:sz w:val="24"/>
          <w:szCs w:val="24"/>
        </w:rPr>
      </w:pPr>
    </w:p>
    <w:p w14:paraId="1D6FBAEF" w14:textId="77777777" w:rsidR="00260A0D" w:rsidRPr="0008493F" w:rsidRDefault="00DD7A64">
      <w:pPr>
        <w:jc w:val="center"/>
        <w:rPr>
          <w:rFonts w:ascii="Times New Roman" w:eastAsia="Times New Roman" w:hAnsi="Times New Roman" w:cs="Times New Roman"/>
          <w:sz w:val="24"/>
          <w:szCs w:val="24"/>
          <w:vertAlign w:val="superscript"/>
        </w:rPr>
      </w:pPr>
      <w:r w:rsidRPr="0008493F">
        <w:rPr>
          <w:rFonts w:ascii="Times New Roman" w:eastAsia="Times New Roman" w:hAnsi="Times New Roman" w:cs="Times New Roman"/>
          <w:sz w:val="24"/>
          <w:szCs w:val="24"/>
        </w:rPr>
        <w:t>Chamteut Oh</w:t>
      </w:r>
      <w:r w:rsidRPr="0008493F">
        <w:rPr>
          <w:rFonts w:ascii="Times New Roman" w:eastAsia="Times New Roman" w:hAnsi="Times New Roman" w:cs="Times New Roman"/>
          <w:sz w:val="24"/>
          <w:szCs w:val="24"/>
          <w:vertAlign w:val="superscript"/>
        </w:rPr>
        <w:t>1,*</w:t>
      </w:r>
      <w:r w:rsidRPr="0008493F">
        <w:rPr>
          <w:rFonts w:ascii="Times New Roman" w:eastAsia="Times New Roman" w:hAnsi="Times New Roman" w:cs="Times New Roman"/>
          <w:sz w:val="24"/>
          <w:szCs w:val="24"/>
        </w:rPr>
        <w:t>, Ratul Chowdhury</w:t>
      </w:r>
      <w:r w:rsidRPr="0008493F">
        <w:rPr>
          <w:rFonts w:ascii="Times New Roman" w:eastAsia="Times New Roman" w:hAnsi="Times New Roman" w:cs="Times New Roman"/>
          <w:sz w:val="24"/>
          <w:szCs w:val="24"/>
          <w:vertAlign w:val="superscript"/>
        </w:rPr>
        <w:t>2,*</w:t>
      </w:r>
      <w:r w:rsidRPr="0008493F">
        <w:rPr>
          <w:rFonts w:ascii="Times New Roman" w:eastAsia="Times New Roman" w:hAnsi="Times New Roman" w:cs="Times New Roman"/>
          <w:sz w:val="24"/>
          <w:szCs w:val="24"/>
        </w:rPr>
        <w:t>, Laxmicharan Samineni</w:t>
      </w:r>
      <w:r w:rsidRPr="0008493F">
        <w:rPr>
          <w:rFonts w:ascii="Times New Roman" w:eastAsia="Times New Roman" w:hAnsi="Times New Roman" w:cs="Times New Roman"/>
          <w:sz w:val="24"/>
          <w:szCs w:val="24"/>
          <w:vertAlign w:val="superscript"/>
        </w:rPr>
        <w:t>3</w:t>
      </w:r>
      <w:r w:rsidRPr="0008493F">
        <w:rPr>
          <w:rFonts w:ascii="Times New Roman" w:eastAsia="Times New Roman" w:hAnsi="Times New Roman" w:cs="Times New Roman"/>
          <w:sz w:val="24"/>
          <w:szCs w:val="24"/>
        </w:rPr>
        <w:t>, Joanna L Shisler</w:t>
      </w:r>
      <w:r w:rsidRPr="0008493F">
        <w:rPr>
          <w:rFonts w:ascii="Times New Roman" w:eastAsia="Times New Roman" w:hAnsi="Times New Roman" w:cs="Times New Roman"/>
          <w:sz w:val="24"/>
          <w:szCs w:val="24"/>
          <w:vertAlign w:val="superscript"/>
        </w:rPr>
        <w:t>4</w:t>
      </w:r>
      <w:r w:rsidRPr="0008493F">
        <w:rPr>
          <w:rFonts w:ascii="Times New Roman" w:eastAsia="Times New Roman" w:hAnsi="Times New Roman" w:cs="Times New Roman"/>
          <w:sz w:val="24"/>
          <w:szCs w:val="24"/>
        </w:rPr>
        <w:t>, Manish Kumar</w:t>
      </w:r>
      <w:r w:rsidRPr="0008493F">
        <w:rPr>
          <w:rFonts w:ascii="Times New Roman" w:eastAsia="Times New Roman" w:hAnsi="Times New Roman" w:cs="Times New Roman"/>
          <w:sz w:val="24"/>
          <w:szCs w:val="24"/>
          <w:vertAlign w:val="superscript"/>
        </w:rPr>
        <w:t>6</w:t>
      </w:r>
      <w:r w:rsidRPr="0008493F">
        <w:rPr>
          <w:rFonts w:ascii="Times New Roman" w:eastAsia="Times New Roman" w:hAnsi="Times New Roman" w:cs="Times New Roman"/>
          <w:sz w:val="24"/>
          <w:szCs w:val="24"/>
        </w:rPr>
        <w:t>, and Thanh H. Nguyen</w:t>
      </w:r>
      <w:r w:rsidRPr="0008493F">
        <w:rPr>
          <w:rFonts w:ascii="Times New Roman" w:eastAsia="Times New Roman" w:hAnsi="Times New Roman" w:cs="Times New Roman"/>
          <w:sz w:val="24"/>
          <w:szCs w:val="24"/>
          <w:vertAlign w:val="superscript"/>
        </w:rPr>
        <w:t>1,5</w:t>
      </w:r>
    </w:p>
    <w:p w14:paraId="62632B94" w14:textId="77777777" w:rsidR="00260A0D" w:rsidRDefault="00260A0D">
      <w:pPr>
        <w:jc w:val="center"/>
        <w:rPr>
          <w:rFonts w:ascii="Times New Roman" w:eastAsia="Times New Roman" w:hAnsi="Times New Roman" w:cs="Times New Roman"/>
          <w:sz w:val="24"/>
          <w:szCs w:val="24"/>
          <w:vertAlign w:val="superscript"/>
        </w:rPr>
      </w:pPr>
    </w:p>
    <w:p w14:paraId="118BB4EB" w14:textId="77777777" w:rsidR="00260A0D"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Civil and Environmental Engineering, University of Illinois at Urbana-Champaign, USA</w:t>
      </w:r>
    </w:p>
    <w:p w14:paraId="37A86148" w14:textId="77777777" w:rsidR="00260A0D"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Department of Chemical Engineering, The Pennsylvania State University, PA, USA</w:t>
      </w:r>
    </w:p>
    <w:p w14:paraId="51A8CCB0" w14:textId="77777777" w:rsidR="00260A0D"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Department of Chemical Engineering, The University of Texas at Austin, Austin, USA</w:t>
      </w:r>
    </w:p>
    <w:p w14:paraId="53C16B5B" w14:textId="77777777" w:rsidR="00260A0D"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Department of Microbiology, University of Illinois at Urbana-Champaign, USA</w:t>
      </w:r>
    </w:p>
    <w:p w14:paraId="3E405FB8" w14:textId="77777777" w:rsidR="00260A0D" w:rsidRPr="00BC7ED2"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Institute of Genomic Biology, </w:t>
      </w:r>
      <w:r w:rsidRPr="00BC7ED2">
        <w:rPr>
          <w:rFonts w:ascii="Times New Roman" w:eastAsia="Times New Roman" w:hAnsi="Times New Roman" w:cs="Times New Roman"/>
          <w:sz w:val="24"/>
          <w:szCs w:val="24"/>
        </w:rPr>
        <w:t>University of Illinois at Urbana-Champaign, USA</w:t>
      </w:r>
    </w:p>
    <w:p w14:paraId="46A4F1A1" w14:textId="77777777" w:rsidR="00260A0D" w:rsidRPr="00BC7ED2" w:rsidRDefault="00DD7A64">
      <w:pPr>
        <w:spacing w:line="240" w:lineRule="auto"/>
        <w:rPr>
          <w:rFonts w:ascii="Times New Roman" w:eastAsia="Times New Roman" w:hAnsi="Times New Roman" w:cs="Times New Roman"/>
          <w:sz w:val="24"/>
          <w:szCs w:val="24"/>
        </w:rPr>
      </w:pPr>
      <w:r w:rsidRPr="00BC7ED2">
        <w:rPr>
          <w:rFonts w:ascii="Times New Roman" w:eastAsia="Times New Roman" w:hAnsi="Times New Roman" w:cs="Times New Roman"/>
          <w:sz w:val="24"/>
          <w:szCs w:val="24"/>
          <w:vertAlign w:val="superscript"/>
        </w:rPr>
        <w:t>6</w:t>
      </w:r>
      <w:r w:rsidRPr="00BC7ED2">
        <w:rPr>
          <w:rFonts w:ascii="Times New Roman" w:eastAsia="Times New Roman" w:hAnsi="Times New Roman" w:cs="Times New Roman"/>
          <w:sz w:val="24"/>
          <w:szCs w:val="24"/>
        </w:rPr>
        <w:t>Department of Civil, Architectural and Environmental Engineering, The University of Texas at Austin, Austin, USA</w:t>
      </w:r>
    </w:p>
    <w:p w14:paraId="40D69AE2" w14:textId="77777777" w:rsidR="00260A0D" w:rsidRPr="00BC7ED2" w:rsidRDefault="00260A0D">
      <w:pPr>
        <w:spacing w:line="240" w:lineRule="auto"/>
        <w:jc w:val="center"/>
        <w:rPr>
          <w:rFonts w:ascii="Times New Roman" w:eastAsia="Times New Roman" w:hAnsi="Times New Roman" w:cs="Times New Roman"/>
          <w:sz w:val="24"/>
          <w:szCs w:val="24"/>
        </w:rPr>
      </w:pPr>
    </w:p>
    <w:p w14:paraId="68FBEDF5" w14:textId="77777777" w:rsidR="00BC7ED2" w:rsidRPr="00BC7ED2" w:rsidRDefault="00BC7ED2" w:rsidP="00BC7ED2">
      <w:pPr>
        <w:jc w:val="center"/>
        <w:rPr>
          <w:rFonts w:ascii="Times New Roman" w:hAnsi="Times New Roman" w:cs="Times New Roman"/>
          <w:i/>
          <w:sz w:val="24"/>
          <w:szCs w:val="24"/>
        </w:rPr>
      </w:pPr>
      <w:r w:rsidRPr="00BC7ED2">
        <w:rPr>
          <w:rFonts w:ascii="Times New Roman" w:hAnsi="Times New Roman" w:cs="Times New Roman"/>
          <w:i/>
          <w:sz w:val="24"/>
          <w:szCs w:val="24"/>
          <w:vertAlign w:val="superscript"/>
        </w:rPr>
        <w:t>*</w:t>
      </w:r>
      <w:r w:rsidRPr="00BC7ED2">
        <w:rPr>
          <w:rFonts w:ascii="Times New Roman" w:hAnsi="Times New Roman" w:cs="Times New Roman"/>
          <w:i/>
          <w:sz w:val="24"/>
          <w:szCs w:val="24"/>
        </w:rPr>
        <w:t>Equal contribution</w:t>
      </w:r>
    </w:p>
    <w:p w14:paraId="23E4C784" w14:textId="77777777" w:rsidR="00BC7ED2" w:rsidRPr="00BC7ED2" w:rsidRDefault="00BC7ED2" w:rsidP="00BC7ED2">
      <w:pPr>
        <w:jc w:val="center"/>
        <w:rPr>
          <w:rFonts w:ascii="Times New Roman" w:hAnsi="Times New Roman" w:cs="Times New Roman"/>
          <w:i/>
          <w:sz w:val="24"/>
          <w:szCs w:val="24"/>
        </w:rPr>
      </w:pPr>
      <w:r w:rsidRPr="00BC7ED2">
        <w:rPr>
          <w:rFonts w:ascii="Times New Roman" w:hAnsi="Times New Roman" w:cs="Times New Roman"/>
          <w:sz w:val="24"/>
          <w:szCs w:val="24"/>
        </w:rPr>
        <w:t xml:space="preserve">Corresponding author(s): </w:t>
      </w:r>
      <w:r w:rsidRPr="00BC7ED2">
        <w:rPr>
          <w:rFonts w:ascii="Times New Roman" w:hAnsi="Times New Roman" w:cs="Times New Roman"/>
          <w:color w:val="000000"/>
          <w:sz w:val="24"/>
          <w:szCs w:val="24"/>
        </w:rPr>
        <w:t>Thanh H. Nguyen (</w:t>
      </w:r>
      <w:hyperlink r:id="rId8" w:history="1">
        <w:r w:rsidRPr="00BC7ED2">
          <w:rPr>
            <w:rStyle w:val="Hyperlink"/>
            <w:rFonts w:ascii="Times New Roman" w:hAnsi="Times New Roman" w:cs="Times New Roman"/>
            <w:sz w:val="24"/>
            <w:szCs w:val="24"/>
          </w:rPr>
          <w:t>thn@illinois.edu</w:t>
        </w:r>
      </w:hyperlink>
      <w:r w:rsidRPr="00BC7ED2">
        <w:rPr>
          <w:rFonts w:ascii="Times New Roman" w:hAnsi="Times New Roman" w:cs="Times New Roman"/>
          <w:color w:val="000000"/>
          <w:sz w:val="24"/>
          <w:szCs w:val="24"/>
        </w:rPr>
        <w:t>)</w:t>
      </w:r>
    </w:p>
    <w:p w14:paraId="29A3C74B" w14:textId="51DB7209" w:rsidR="00260A0D" w:rsidRPr="00BC7ED2" w:rsidRDefault="00260A0D">
      <w:pPr>
        <w:spacing w:line="240" w:lineRule="auto"/>
        <w:rPr>
          <w:rFonts w:ascii="Times New Roman" w:eastAsia="Times New Roman" w:hAnsi="Times New Roman" w:cs="Times New Roman"/>
          <w:b/>
          <w:sz w:val="24"/>
          <w:szCs w:val="24"/>
        </w:rPr>
      </w:pPr>
    </w:p>
    <w:p w14:paraId="6AB2A08E" w14:textId="61C646E5" w:rsidR="00C87D97" w:rsidRPr="00BC7ED2" w:rsidRDefault="00C87D97">
      <w:pPr>
        <w:spacing w:line="240" w:lineRule="auto"/>
        <w:rPr>
          <w:rFonts w:ascii="Times New Roman" w:eastAsia="Times New Roman" w:hAnsi="Times New Roman" w:cs="Times New Roman"/>
          <w:b/>
          <w:sz w:val="24"/>
          <w:szCs w:val="24"/>
        </w:rPr>
      </w:pPr>
    </w:p>
    <w:p w14:paraId="0E9A9AD5" w14:textId="77777777" w:rsidR="00C87D97" w:rsidRDefault="00C87D97">
      <w:pPr>
        <w:spacing w:line="240" w:lineRule="auto"/>
        <w:rPr>
          <w:rFonts w:ascii="Times New Roman" w:eastAsia="Times New Roman" w:hAnsi="Times New Roman" w:cs="Times New Roman"/>
          <w:b/>
          <w:sz w:val="24"/>
          <w:szCs w:val="24"/>
        </w:rPr>
      </w:pPr>
    </w:p>
    <w:p w14:paraId="0B21452B" w14:textId="343BDDAB" w:rsidR="00260A0D" w:rsidRDefault="00DD7A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Seven Supplementary Figures</w:t>
      </w:r>
    </w:p>
    <w:p w14:paraId="77B3BFF6" w14:textId="77777777" w:rsidR="00C87D97" w:rsidRDefault="00C87D97">
      <w:pPr>
        <w:spacing w:line="240" w:lineRule="auto"/>
        <w:jc w:val="center"/>
        <w:rPr>
          <w:rFonts w:ascii="Times New Roman" w:eastAsia="Times New Roman" w:hAnsi="Times New Roman" w:cs="Times New Roman"/>
          <w:b/>
          <w:sz w:val="24"/>
          <w:szCs w:val="24"/>
        </w:rPr>
      </w:pPr>
    </w:p>
    <w:p w14:paraId="16672996" w14:textId="45D82E36" w:rsidR="00260A0D" w:rsidRDefault="00DD7A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Four Supplementary Tables</w:t>
      </w:r>
    </w:p>
    <w:p w14:paraId="1171B28C" w14:textId="77777777" w:rsidR="00C87D97" w:rsidRDefault="00C87D97">
      <w:pPr>
        <w:spacing w:line="240" w:lineRule="auto"/>
        <w:jc w:val="center"/>
        <w:rPr>
          <w:rFonts w:ascii="Times New Roman" w:eastAsia="Times New Roman" w:hAnsi="Times New Roman" w:cs="Times New Roman"/>
          <w:b/>
          <w:sz w:val="24"/>
          <w:szCs w:val="24"/>
        </w:rPr>
      </w:pPr>
    </w:p>
    <w:p w14:paraId="0EB3245B" w14:textId="77777777" w:rsidR="00260A0D" w:rsidRDefault="00DD7A64">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One Supplementary Text</w:t>
      </w:r>
    </w:p>
    <w:p w14:paraId="098667C4" w14:textId="77777777" w:rsidR="00260A0D" w:rsidRDefault="00260A0D">
      <w:pPr>
        <w:spacing w:line="240" w:lineRule="auto"/>
        <w:rPr>
          <w:rFonts w:ascii="Times New Roman" w:eastAsia="Times New Roman" w:hAnsi="Times New Roman" w:cs="Times New Roman"/>
          <w:b/>
          <w:sz w:val="24"/>
          <w:szCs w:val="24"/>
        </w:rPr>
      </w:pPr>
    </w:p>
    <w:p w14:paraId="0447803B" w14:textId="77777777" w:rsidR="00260A0D" w:rsidRDefault="00DD7A64">
      <w:pPr>
        <w:spacing w:line="240" w:lineRule="auto"/>
        <w:rPr>
          <w:rFonts w:ascii="Times New Roman" w:eastAsia="Times New Roman" w:hAnsi="Times New Roman" w:cs="Times New Roman"/>
          <w:b/>
          <w:sz w:val="24"/>
          <w:szCs w:val="24"/>
        </w:rPr>
      </w:pPr>
      <w:r>
        <w:br w:type="page"/>
      </w:r>
    </w:p>
    <w:p w14:paraId="460F097C" w14:textId="77777777" w:rsidR="00260A0D" w:rsidRDefault="00DD7A64">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Table 1.</w:t>
      </w:r>
      <w:r>
        <w:rPr>
          <w:rFonts w:ascii="Times New Roman" w:eastAsia="Times New Roman" w:hAnsi="Times New Roman" w:cs="Times New Roman"/>
          <w:sz w:val="24"/>
          <w:szCs w:val="24"/>
        </w:rPr>
        <w:t xml:space="preserve"> Kinetics parameters from inactivation experiments with different total polyphenol concentrations</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260A0D" w14:paraId="7916135B" w14:textId="77777777">
        <w:trPr>
          <w:trHeight w:val="440"/>
          <w:jc w:val="center"/>
        </w:trPr>
        <w:tc>
          <w:tcPr>
            <w:tcW w:w="1560" w:type="dxa"/>
            <w:vMerge w:val="restart"/>
            <w:shd w:val="clear" w:color="auto" w:fill="D9D9D9"/>
            <w:tcMar>
              <w:top w:w="100" w:type="dxa"/>
              <w:left w:w="100" w:type="dxa"/>
              <w:bottom w:w="100" w:type="dxa"/>
              <w:right w:w="100" w:type="dxa"/>
            </w:tcMar>
            <w:vAlign w:val="center"/>
          </w:tcPr>
          <w:p w14:paraId="49EBC0C6"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GSE</w:t>
            </w:r>
          </w:p>
          <w:p w14:paraId="744F46E4"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(μg/mL)</w:t>
            </w:r>
          </w:p>
        </w:tc>
        <w:tc>
          <w:tcPr>
            <w:tcW w:w="6240" w:type="dxa"/>
            <w:gridSpan w:val="4"/>
            <w:shd w:val="clear" w:color="auto" w:fill="D9D9D9"/>
            <w:tcMar>
              <w:top w:w="100" w:type="dxa"/>
              <w:left w:w="100" w:type="dxa"/>
              <w:bottom w:w="100" w:type="dxa"/>
              <w:right w:w="100" w:type="dxa"/>
            </w:tcMar>
            <w:vAlign w:val="center"/>
          </w:tcPr>
          <w:p w14:paraId="205F864D"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Pseudo-second-order model</w:t>
            </w:r>
          </w:p>
        </w:tc>
        <w:tc>
          <w:tcPr>
            <w:tcW w:w="1560" w:type="dxa"/>
            <w:shd w:val="clear" w:color="auto" w:fill="D9D9D9"/>
            <w:tcMar>
              <w:top w:w="100" w:type="dxa"/>
              <w:left w:w="100" w:type="dxa"/>
              <w:bottom w:w="100" w:type="dxa"/>
              <w:right w:w="100" w:type="dxa"/>
            </w:tcMar>
            <w:vAlign w:val="center"/>
          </w:tcPr>
          <w:p w14:paraId="0BAFF9FD"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Chick’s law</w:t>
            </w:r>
          </w:p>
        </w:tc>
      </w:tr>
      <w:tr w:rsidR="00260A0D" w14:paraId="43B6E7EA" w14:textId="77777777">
        <w:trPr>
          <w:trHeight w:val="440"/>
          <w:jc w:val="center"/>
        </w:trPr>
        <w:tc>
          <w:tcPr>
            <w:tcW w:w="1560" w:type="dxa"/>
            <w:vMerge/>
            <w:shd w:val="clear" w:color="auto" w:fill="D9D9D9"/>
            <w:tcMar>
              <w:top w:w="100" w:type="dxa"/>
              <w:left w:w="100" w:type="dxa"/>
              <w:bottom w:w="100" w:type="dxa"/>
              <w:right w:w="100" w:type="dxa"/>
            </w:tcMar>
            <w:vAlign w:val="center"/>
          </w:tcPr>
          <w:p w14:paraId="5EF18FF4" w14:textId="77777777" w:rsidR="00260A0D" w:rsidRDefault="00260A0D">
            <w:pPr>
              <w:widowControl w:val="0"/>
              <w:pBdr>
                <w:top w:val="nil"/>
                <w:left w:val="nil"/>
                <w:bottom w:val="nil"/>
                <w:right w:val="nil"/>
                <w:between w:val="nil"/>
              </w:pBdr>
              <w:rPr>
                <w:b/>
                <w:sz w:val="24"/>
                <w:szCs w:val="24"/>
              </w:rPr>
            </w:pPr>
          </w:p>
        </w:tc>
        <w:tc>
          <w:tcPr>
            <w:tcW w:w="1560" w:type="dxa"/>
            <w:shd w:val="clear" w:color="auto" w:fill="D9D9D9"/>
            <w:tcMar>
              <w:top w:w="100" w:type="dxa"/>
              <w:left w:w="100" w:type="dxa"/>
              <w:bottom w:w="100" w:type="dxa"/>
              <w:right w:w="100" w:type="dxa"/>
            </w:tcMar>
            <w:vAlign w:val="center"/>
          </w:tcPr>
          <w:p w14:paraId="742C7441"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b/>
                <w:sz w:val="24"/>
                <w:szCs w:val="24"/>
                <w:vertAlign w:val="subscript"/>
              </w:rPr>
              <w:t>2</w:t>
            </w:r>
            <w:r>
              <w:rPr>
                <w:rFonts w:ascii="Gungsuh" w:eastAsia="Gungsuh" w:hAnsi="Gungsuh" w:cs="Gungsuh"/>
                <w:b/>
                <w:sz w:val="24"/>
                <w:szCs w:val="24"/>
              </w:rPr>
              <w:t xml:space="preserve"> (mL/PFU⋅s)</w:t>
            </w:r>
          </w:p>
        </w:tc>
        <w:tc>
          <w:tcPr>
            <w:tcW w:w="1560" w:type="dxa"/>
            <w:shd w:val="clear" w:color="auto" w:fill="D9D9D9"/>
            <w:tcMar>
              <w:top w:w="100" w:type="dxa"/>
              <w:left w:w="100" w:type="dxa"/>
              <w:bottom w:w="100" w:type="dxa"/>
              <w:right w:w="100" w:type="dxa"/>
            </w:tcMar>
            <w:vAlign w:val="center"/>
          </w:tcPr>
          <w:p w14:paraId="6874E20A"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b/>
                <w:sz w:val="24"/>
                <w:szCs w:val="24"/>
                <w:vertAlign w:val="subscript"/>
              </w:rPr>
              <w:t>95%</w:t>
            </w:r>
            <w:r>
              <w:rPr>
                <w:rFonts w:ascii="Times New Roman" w:eastAsia="Times New Roman" w:hAnsi="Times New Roman" w:cs="Times New Roman"/>
                <w:b/>
                <w:sz w:val="24"/>
                <w:szCs w:val="24"/>
              </w:rPr>
              <w:t xml:space="preserve"> (s)</w:t>
            </w:r>
          </w:p>
        </w:tc>
        <w:tc>
          <w:tcPr>
            <w:tcW w:w="1560" w:type="dxa"/>
            <w:shd w:val="clear" w:color="auto" w:fill="D9D9D9"/>
            <w:tcMar>
              <w:top w:w="100" w:type="dxa"/>
              <w:left w:w="100" w:type="dxa"/>
              <w:bottom w:w="100" w:type="dxa"/>
              <w:right w:w="100" w:type="dxa"/>
            </w:tcMar>
            <w:vAlign w:val="center"/>
          </w:tcPr>
          <w:p w14:paraId="6710805C"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w:t>
            </w:r>
            <w:r>
              <w:rPr>
                <w:rFonts w:ascii="Times New Roman" w:eastAsia="Times New Roman" w:hAnsi="Times New Roman" w:cs="Times New Roman"/>
                <w:b/>
                <w:sz w:val="24"/>
                <w:szCs w:val="24"/>
                <w:vertAlign w:val="subscript"/>
              </w:rPr>
              <w:t>e</w:t>
            </w:r>
            <w:r>
              <w:rPr>
                <w:rFonts w:ascii="Times New Roman" w:eastAsia="Times New Roman" w:hAnsi="Times New Roman" w:cs="Times New Roman"/>
                <w:b/>
                <w:sz w:val="24"/>
                <w:szCs w:val="24"/>
              </w:rPr>
              <w:t xml:space="preserve"> (PFU/μg)</w:t>
            </w:r>
          </w:p>
        </w:tc>
        <w:tc>
          <w:tcPr>
            <w:tcW w:w="1560" w:type="dxa"/>
            <w:shd w:val="clear" w:color="auto" w:fill="D9D9D9"/>
            <w:tcMar>
              <w:top w:w="100" w:type="dxa"/>
              <w:left w:w="100" w:type="dxa"/>
              <w:bottom w:w="100" w:type="dxa"/>
              <w:right w:w="100" w:type="dxa"/>
            </w:tcMar>
            <w:vAlign w:val="center"/>
          </w:tcPr>
          <w:p w14:paraId="7F192462" w14:textId="77777777" w:rsidR="00260A0D" w:rsidRDefault="00DD7A6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vertAlign w:val="superscript"/>
              </w:rPr>
              <w:t>2</w:t>
            </w:r>
          </w:p>
        </w:tc>
        <w:tc>
          <w:tcPr>
            <w:tcW w:w="1560" w:type="dxa"/>
            <w:shd w:val="clear" w:color="auto" w:fill="D9D9D9"/>
            <w:tcMar>
              <w:top w:w="100" w:type="dxa"/>
              <w:left w:w="100" w:type="dxa"/>
              <w:bottom w:w="100" w:type="dxa"/>
              <w:right w:w="100" w:type="dxa"/>
            </w:tcMar>
            <w:vAlign w:val="center"/>
          </w:tcPr>
          <w:p w14:paraId="0295B113" w14:textId="77777777" w:rsidR="00260A0D" w:rsidRDefault="00DD7A64">
            <w:pPr>
              <w:widowControl w:val="0"/>
              <w:spacing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vertAlign w:val="superscript"/>
              </w:rPr>
              <w:t>2</w:t>
            </w:r>
          </w:p>
        </w:tc>
      </w:tr>
      <w:tr w:rsidR="00260A0D" w14:paraId="430838B9" w14:textId="77777777">
        <w:trPr>
          <w:jc w:val="center"/>
        </w:trPr>
        <w:tc>
          <w:tcPr>
            <w:tcW w:w="1560" w:type="dxa"/>
            <w:shd w:val="clear" w:color="auto" w:fill="auto"/>
            <w:tcMar>
              <w:top w:w="100" w:type="dxa"/>
              <w:left w:w="100" w:type="dxa"/>
              <w:bottom w:w="100" w:type="dxa"/>
              <w:right w:w="100" w:type="dxa"/>
            </w:tcMar>
            <w:vAlign w:val="center"/>
          </w:tcPr>
          <w:p w14:paraId="5AEBD6D2"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D2CD4" w14:textId="77777777" w:rsidR="00260A0D" w:rsidRDefault="00DD7A64">
            <w:pPr>
              <w:widowControl w:val="0"/>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1.9</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D8221"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5FFE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083751E8"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560" w:type="dxa"/>
            <w:shd w:val="clear" w:color="auto" w:fill="auto"/>
            <w:tcMar>
              <w:top w:w="100" w:type="dxa"/>
              <w:left w:w="100" w:type="dxa"/>
              <w:bottom w:w="100" w:type="dxa"/>
              <w:right w:w="100" w:type="dxa"/>
            </w:tcMar>
            <w:vAlign w:val="center"/>
          </w:tcPr>
          <w:p w14:paraId="4D4DF6F7"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260A0D" w14:paraId="714413B5" w14:textId="77777777">
        <w:trPr>
          <w:jc w:val="center"/>
        </w:trPr>
        <w:tc>
          <w:tcPr>
            <w:tcW w:w="1560" w:type="dxa"/>
            <w:shd w:val="clear" w:color="auto" w:fill="auto"/>
            <w:tcMar>
              <w:top w:w="100" w:type="dxa"/>
              <w:left w:w="100" w:type="dxa"/>
              <w:bottom w:w="100" w:type="dxa"/>
              <w:right w:w="100" w:type="dxa"/>
            </w:tcMar>
            <w:vAlign w:val="center"/>
          </w:tcPr>
          <w:p w14:paraId="2D74E6A0"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064A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-5</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28DC0"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4B706"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47CE2477"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1560" w:type="dxa"/>
            <w:shd w:val="clear" w:color="auto" w:fill="auto"/>
            <w:tcMar>
              <w:top w:w="100" w:type="dxa"/>
              <w:left w:w="100" w:type="dxa"/>
              <w:bottom w:w="100" w:type="dxa"/>
              <w:right w:w="100" w:type="dxa"/>
            </w:tcMar>
            <w:vAlign w:val="center"/>
          </w:tcPr>
          <w:p w14:paraId="4A59C76A"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r>
      <w:tr w:rsidR="00260A0D" w14:paraId="39C9F600" w14:textId="77777777">
        <w:trPr>
          <w:jc w:val="center"/>
        </w:trPr>
        <w:tc>
          <w:tcPr>
            <w:tcW w:w="1560" w:type="dxa"/>
            <w:shd w:val="clear" w:color="auto" w:fill="auto"/>
            <w:tcMar>
              <w:top w:w="100" w:type="dxa"/>
              <w:left w:w="100" w:type="dxa"/>
              <w:bottom w:w="100" w:type="dxa"/>
              <w:right w:w="100" w:type="dxa"/>
            </w:tcMar>
            <w:vAlign w:val="center"/>
          </w:tcPr>
          <w:p w14:paraId="5BB4FDAA"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446C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C79AB"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45723"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736F8E2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0" w:type="dxa"/>
            <w:shd w:val="clear" w:color="auto" w:fill="auto"/>
            <w:tcMar>
              <w:top w:w="100" w:type="dxa"/>
              <w:left w:w="100" w:type="dxa"/>
              <w:bottom w:w="100" w:type="dxa"/>
              <w:right w:w="100" w:type="dxa"/>
            </w:tcMar>
            <w:vAlign w:val="center"/>
          </w:tcPr>
          <w:p w14:paraId="19ADC0CB"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r w:rsidR="00260A0D" w14:paraId="437F6CB5" w14:textId="77777777">
        <w:trPr>
          <w:jc w:val="center"/>
        </w:trPr>
        <w:tc>
          <w:tcPr>
            <w:tcW w:w="1560" w:type="dxa"/>
            <w:shd w:val="clear" w:color="auto" w:fill="auto"/>
            <w:tcMar>
              <w:top w:w="100" w:type="dxa"/>
              <w:left w:w="100" w:type="dxa"/>
              <w:bottom w:w="100" w:type="dxa"/>
              <w:right w:w="100" w:type="dxa"/>
            </w:tcMar>
            <w:vAlign w:val="center"/>
          </w:tcPr>
          <w:p w14:paraId="13EF3811"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6A463"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D5D5B"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33B68"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485AEC55"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0" w:type="dxa"/>
            <w:shd w:val="clear" w:color="auto" w:fill="auto"/>
            <w:tcMar>
              <w:top w:w="100" w:type="dxa"/>
              <w:left w:w="100" w:type="dxa"/>
              <w:bottom w:w="100" w:type="dxa"/>
              <w:right w:w="100" w:type="dxa"/>
            </w:tcMar>
            <w:vAlign w:val="center"/>
          </w:tcPr>
          <w:p w14:paraId="632953C4"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r>
      <w:tr w:rsidR="00260A0D" w14:paraId="07DF9B51" w14:textId="77777777">
        <w:trPr>
          <w:jc w:val="center"/>
        </w:trPr>
        <w:tc>
          <w:tcPr>
            <w:tcW w:w="1560" w:type="dxa"/>
            <w:shd w:val="clear" w:color="auto" w:fill="auto"/>
            <w:tcMar>
              <w:top w:w="100" w:type="dxa"/>
              <w:left w:w="100" w:type="dxa"/>
              <w:bottom w:w="100" w:type="dxa"/>
              <w:right w:w="100" w:type="dxa"/>
            </w:tcMar>
            <w:vAlign w:val="center"/>
          </w:tcPr>
          <w:p w14:paraId="0A7A21D1"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FFC0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4A616"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45209"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42CC1E60"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0" w:type="dxa"/>
            <w:shd w:val="clear" w:color="auto" w:fill="auto"/>
            <w:tcMar>
              <w:top w:w="100" w:type="dxa"/>
              <w:left w:w="100" w:type="dxa"/>
              <w:bottom w:w="100" w:type="dxa"/>
              <w:right w:w="100" w:type="dxa"/>
            </w:tcMar>
            <w:vAlign w:val="center"/>
          </w:tcPr>
          <w:p w14:paraId="2BB6336D"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r>
      <w:tr w:rsidR="00260A0D" w14:paraId="0C6C2E6F" w14:textId="77777777">
        <w:trPr>
          <w:jc w:val="center"/>
        </w:trPr>
        <w:tc>
          <w:tcPr>
            <w:tcW w:w="1560" w:type="dxa"/>
            <w:shd w:val="clear" w:color="auto" w:fill="auto"/>
            <w:tcMar>
              <w:top w:w="100" w:type="dxa"/>
              <w:left w:w="100" w:type="dxa"/>
              <w:bottom w:w="100" w:type="dxa"/>
              <w:right w:w="100" w:type="dxa"/>
            </w:tcMar>
            <w:vAlign w:val="center"/>
          </w:tcPr>
          <w:p w14:paraId="2856272D"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9BE65"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9E263"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-2</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EC48F"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m:oMath>
              <m:r>
                <w:rPr>
                  <w:rFonts w:ascii="Cambria Math" w:hAnsi="Cambria Math"/>
                </w:rPr>
                <m:t>×</m:t>
              </m:r>
            </m:oMath>
            <w:r>
              <w:rPr>
                <w:rFonts w:ascii="Times New Roman" w:eastAsia="Times New Roman" w:hAnsi="Times New Roman" w:cs="Times New Roman"/>
                <w:sz w:val="24"/>
                <w:szCs w:val="24"/>
              </w:rPr>
              <w:t>10</w:t>
            </w:r>
            <w:r>
              <w:rPr>
                <w:rFonts w:ascii="Times New Roman" w:eastAsia="Times New Roman" w:hAnsi="Times New Roman" w:cs="Times New Roman"/>
                <w:sz w:val="24"/>
                <w:szCs w:val="24"/>
                <w:vertAlign w:val="superscript"/>
              </w:rPr>
              <w:t>3</w:t>
            </w:r>
          </w:p>
        </w:tc>
        <w:tc>
          <w:tcPr>
            <w:tcW w:w="1560" w:type="dxa"/>
            <w:shd w:val="clear" w:color="auto" w:fill="auto"/>
            <w:tcMar>
              <w:top w:w="100" w:type="dxa"/>
              <w:left w:w="100" w:type="dxa"/>
              <w:bottom w:w="100" w:type="dxa"/>
              <w:right w:w="100" w:type="dxa"/>
            </w:tcMar>
            <w:vAlign w:val="center"/>
          </w:tcPr>
          <w:p w14:paraId="00F77E91"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60" w:type="dxa"/>
            <w:shd w:val="clear" w:color="auto" w:fill="auto"/>
            <w:tcMar>
              <w:top w:w="100" w:type="dxa"/>
              <w:left w:w="100" w:type="dxa"/>
              <w:bottom w:w="100" w:type="dxa"/>
              <w:right w:w="100" w:type="dxa"/>
            </w:tcMar>
            <w:vAlign w:val="center"/>
          </w:tcPr>
          <w:p w14:paraId="31BF2145" w14:textId="77777777" w:rsidR="00260A0D" w:rsidRDefault="00DD7A6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bl>
    <w:p w14:paraId="2D3E198D" w14:textId="77777777" w:rsidR="00260A0D" w:rsidRDefault="00260A0D">
      <w:pPr>
        <w:spacing w:line="480" w:lineRule="auto"/>
        <w:rPr>
          <w:rFonts w:ascii="Times New Roman" w:eastAsia="Times New Roman" w:hAnsi="Times New Roman" w:cs="Times New Roman"/>
          <w:sz w:val="24"/>
          <w:szCs w:val="24"/>
        </w:rPr>
      </w:pPr>
    </w:p>
    <w:p w14:paraId="78E541B1" w14:textId="77777777" w:rsidR="00C87D97" w:rsidRDefault="00C87D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267016A" w14:textId="1F9381BF" w:rsidR="00260A0D" w:rsidRDefault="00DD7A6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Supporting Text 1 (Validation experiment for aggregation assay)</w:t>
      </w:r>
    </w:p>
    <w:p w14:paraId="04AE10C6" w14:textId="1545935D" w:rsidR="00260A0D" w:rsidRDefault="00DD7A64">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concern for aggregation assay was that diluting GSE concentrations and vortexing virus solutions, which were main activities for plaque assay, could reverse the aggregation effects induced by GSE, resulting in virus segregation</w:t>
      </w:r>
      <w:r w:rsidR="00C87D97">
        <w:rPr>
          <w:rFonts w:ascii="Times New Roman" w:eastAsia="Times New Roman" w:hAnsi="Times New Roman" w:cs="Times New Roman"/>
          <w:sz w:val="24"/>
          <w:szCs w:val="24"/>
        </w:rPr>
        <w:fldChar w:fldCharType="begin" w:fldLock="1"/>
      </w:r>
      <w:r w:rsidR="007E4B39">
        <w:rPr>
          <w:rFonts w:ascii="Times New Roman" w:eastAsia="Times New Roman" w:hAnsi="Times New Roman" w:cs="Times New Roman"/>
          <w:sz w:val="24"/>
          <w:szCs w:val="24"/>
        </w:rPr>
        <w:instrText>ADDIN CSL_CITATION {"citationItems":[{"id":"ITEM-1","itemData":{"DOI":"10.1021/acs.est.6b05835","ISSN":"15205851","PMID":"28599109","abstract":"Aggregates of viruses can have a significant impact on quantification and behavior of viruses in the environment. Viral aggregates may be formed in numerous ways. Viruses may form crystal like structures and aggregates in the host cell during replication or may form due to changes in environmental conditions after virus particles are released from the host cells. Aggregates tend to form near the isoelectric point of the virus, under the influence of certain salts and salt concentrations in solution, cationic polymers, and suspended organic matter. The given conditions under which aggregates form in the environment are highly dependent on the type of virus, type of salts in solution (cation, anion. monovalent, divalent) and pH. However, virus type greatly influences the conditions when aggregation/disaggregation will occur, making predictions difficult under any given set of water quality conditions. Most studies have shown that viral aggregates increase the survival of viruses in the environment and resistance to disinfectants, especially with more reactive disinfectants. The presence of viral aggregates may also result in overestimation of removal by filtration processes. Virus aggregation-disaggregation is a complex process and predicting the behavior of any individual virus is difficult under a given set of environmental circumstances without actual experimental data.","author":[{"dropping-particle":"","family":"Gerba","given":"Charles P.","non-dropping-particle":"","parse-names":false,"suffix":""},{"dropping-particle":"","family":"Betancourt","given":"Walter Q.","non-dropping-particle":"","parse-names":false,"suffix":""}],"container-title":"Environmental Science and Technology","id":"ITEM-1","issue":"13","issued":{"date-parts":[["2017"]]},"page":"7318-7325","title":"Viral Aggregation: Impact on Virus Behavior in the Environment","type":"article-journal","volume":"51"},"uris":["http://www.mendeley.com/documents/?uuid=a3f4dad5-98a4-49e2-a197-00f3839678cd"]},{"id":"ITEM-2","itemData":{"DOI":"10.1021/es302058v","ISSN":"0013936X","abstract":"UV disinfection of viruses frequently leads to tailing after an initial exponential decay. Aggregation, light shielding, recombination, or resistant virus subpopulations have been proposed as explanations; however, none of these options has been conclusively demonstrated. This study investigates how aggregation affects virus inactivation by UV(254) in general, and the tailing phenomenon in particular. Bacteriophage MS2 was aggregated by lowering the solution pH before UV(254) disinfection. Aggregates were redispersed prior to enumeration to obtain the remaining fraction of individual infectious viruses. Results showed that initial inactivation kinetics were similar for viruses incorporated in aggregates (up to 1000 nm in radius) and dispersed viruses; however, aggregated viruses started to tail more readily than dispersed ones. Neither light shielding, nor the presence of resistant subpopulations could account for the tailing. Instead, tailing was consistent with recombination arising from the simultaneous infection of the host by several impaired viruses. We argue that UV(254) treatment of aggregates permanently fused a fraction of viruses, which increased the likelihood of multiple infection of a host cell and ultimately enabled the production of infective viruses via recombination.","author":[{"dropping-particle":"","family":"Mattle","given":"Michael J.","non-dropping-particle":"","parse-names":false,"suffix":""},{"dropping-particle":"","family":"Kohn","given":"Tamar","non-dropping-particle":"","parse-names":false,"suffix":""}],"container-title":"Environmental Science and Technology","id":"ITEM-2","issue":"18","issued":{"date-parts":[["2012"]]},"page":"10022-10030","title":"Inactivation and tailing during UV254 disinfection of viruses: Contributions of viral aggregation, light shielding within viral aggregates, and recombination","type":"article-journal","volume":"46"},"uris":["http://www.mendeley.com/documents/?uuid=60c65fb2-a57a-4bad-847f-790d810d87dd"]},{"id":"ITEM-3","itemData":{"DOI":"10.1128/AEM.33.1.159-167.1977","abstract":"Poliovirus and reovirus were found to aggregate into clumps of up to several hundred particles when diluted 10 fold into distilled water from a stock preparation of minimal aggregation in 0.05 M phosphate buffer, pH 7.2, plus 22 to 30% sucrose. Reovirus was also found to aggregate when diluted into phosphate buffered saline. The aggregation was concentration dependent and did not occur when either virus was diluted into water 100 fold or greater. The aggregation of poliovirus was reversible by further addition of saline and produced a dispersed preparation of virus. Reovirus aggregation was not reversible. Both viruses aggregated when diluted into buffers at pH 5 and 3, and poliovirus aggregated at pH 6, and this aggregation of both viruses was reversible when returned to pH 7. Aggregation did not occur at alkaline pH values. Aggregation at low pH could be prevented by suitable concentrations of sodium or magnesium ions, but neither caused aggregation of either virus at pH 7. Calcium ions, however, were found to aggregate both viruses at a concentration of 0.01 M.","author":[{"dropping-particle":"","family":"Floyd","given":"R.","non-dropping-particle":"","parse-names":false,"suffix":""},{"dropping-particle":"","family":"Sharp","given":"D. G.","non-dropping-particle":"","parse-names":false,"suffix":""}],"container-title":"Applied and Environmental Microbiology","id":"ITEM-3","issue":"1","issued":{"date-parts":[["1977"]]},"page":"159-167","title":"Aggregation of poliovirus and reovirus by dilution in water","type":"article-journal","volume":"33"},"uris":["http://www.mendeley.com/documents/?uuid=12c24a19-a8c7-33fc-81b0-04680e612b2d"]},{"id":"ITEM-4","itemData":{"DOI":"10.1007/s12560-016-9232-x","abstract":"It is generally accepted that viral particles in source water are likely to be found as aggregates attached to other particles. For this reason, it is important to investigate the disinfection efficacy of chlorine on aggre-gated viruses. A method to produce adenovirus particle aggregation was developed for this study. Negative stain electron microscopy was used to measure aggregation before and after addition of virus particles to surface water at different pH and specific conductance levels. The impact of aggregation on the efficacy of chlorine disinfection was also examined. Disinfection experiments with human adenovirus 2 (HAdV2) in source water were conducted using 0.2 mg/L free chlorine at 5 °C. Aggregation of HAdV2 in source water (C3 aggregated particles) remained higher at higher specific conductance and pH levels. However, aggregation was highly variable, with the percentage of particles present in aggregates ranging from 43 to 71 %. Upon addition into source water, the aggrega-tion percentage dropped dramatically. On average, chlori-nation CT values (chlorine concentration in mg/L 9 time in min) for 3-log 10 inactivation of aggregated HAdV2 were up to three times higher than those for dispersed HAdV2, indicating that aggregation reduced the disinfection rate. This information can be used by water utilities and regulators to guide decision making regarding disinfection of viruses in water.","author":[{"dropping-particle":"","family":"Kahler","given":"Amy M","non-dropping-particle":"","parse-names":false,"suffix":""},{"dropping-particle":"","family":"Cromeans","given":"Theresa L","non-dropping-particle":"","parse-names":false,"suffix":""},{"dropping-particle":"","family":"Metcalfe","given":"Maureen G","non-dropping-particle":"","parse-names":false,"suffix":""},{"dropping-particle":"","family":"Humphrey","given":"Charles D","non-dropping-particle":"","parse-names":false,"suffix":""},{"dropping-particle":"","family":"Hill","given":"Vincent R","non-dropping-particle":"","parse-names":false,"suffix":""}],"container-title":"Food and Environmental Virology","id":"ITEM-4","issued":{"date-parts":[["2016"]]},"page":"148-155","title":"Aggregation of Adenovirus 2 in Source Water and Impacts on Disinfection by Chlorine","type":"article-journal","volume":"8"},"uris":["http://www.mendeley.com/documents/?uuid=d2cba9f7-b70b-3589-b84a-d382c8a6f0b9"]}],"mendeley":{"formattedCitation":"(1–4)","plainTextFormattedCitation":"(1–4)","previouslyFormattedCitation":"&lt;sup&gt;1–4&lt;/sup&gt;"},"properties":{"noteIndex":0},"schema":"https://github.com/citation-style-language/schema/raw/master/csl-citation.json"}</w:instrText>
      </w:r>
      <w:r w:rsidR="00C87D97">
        <w:rPr>
          <w:rFonts w:ascii="Times New Roman" w:eastAsia="Times New Roman" w:hAnsi="Times New Roman" w:cs="Times New Roman"/>
          <w:sz w:val="24"/>
          <w:szCs w:val="24"/>
        </w:rPr>
        <w:fldChar w:fldCharType="separate"/>
      </w:r>
      <w:r w:rsidR="007E4B39" w:rsidRPr="007E4B39">
        <w:rPr>
          <w:rFonts w:ascii="Times New Roman" w:eastAsia="Times New Roman" w:hAnsi="Times New Roman" w:cs="Times New Roman"/>
          <w:noProof/>
          <w:sz w:val="24"/>
          <w:szCs w:val="24"/>
        </w:rPr>
        <w:t>(1–4)</w:t>
      </w:r>
      <w:r w:rsidR="00C87D9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If the GSE-induced virus aggregates are dispersed during plaque assay and become infectious virus particles, it potentially would confound the comparison between plaque assay and aggregation assay. Thus, we performed an experiment to examine the impact of vortexing and serial dilution on GSE-induced virion aggregates. For these experiments, TV was inactivated by 847 TP-μg/mL of GSE, which was the highest GSE concentration for the virus aggregation assay (</w:t>
      </w:r>
      <w:r>
        <w:rPr>
          <w:rFonts w:ascii="Times New Roman" w:eastAsia="Times New Roman" w:hAnsi="Times New Roman" w:cs="Times New Roman"/>
          <w:b/>
          <w:sz w:val="24"/>
          <w:szCs w:val="24"/>
        </w:rPr>
        <w:t>Fig. 1B</w:t>
      </w:r>
      <w:r>
        <w:rPr>
          <w:rFonts w:ascii="Times New Roman" w:eastAsia="Times New Roman" w:hAnsi="Times New Roman" w:cs="Times New Roman"/>
          <w:sz w:val="24"/>
          <w:szCs w:val="24"/>
        </w:rPr>
        <w:t xml:space="preserve">), and subsequently quenched by FBS. Next, samples were serially diluted in complete culture media and vortexed for 10 seconds to mimic processes for plaque assay. These serial dilutions were examined by one-step RT-qPCR to represent the total number of virions that were aggregated by GSE and then diluted and vortexed (Black symbols in </w:t>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xml:space="preserve">). The results are located on the 1:1 line in Supplementary Fig. 1, which means the virus aggregation alone did not affect the total virion numbers. Each serial dilution was then subjected to filtration, using filters with a 0.1 μm size pore. The filtrates were also quantified by one-step RT-qPCR to show the number of virions that passed through the 0.1 μm filter, and therefore were no longer aggregated, after the above-mentioned processes (Red symbols in </w:t>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Considering a single TV virion diameter of 40 nm</w:t>
      </w:r>
      <w:r w:rsidR="00C87D97">
        <w:rPr>
          <w:rFonts w:ascii="Times New Roman" w:eastAsia="Times New Roman" w:hAnsi="Times New Roman" w:cs="Times New Roman"/>
          <w:sz w:val="24"/>
          <w:szCs w:val="24"/>
        </w:rPr>
        <w:fldChar w:fldCharType="begin" w:fldLock="1"/>
      </w:r>
      <w:r w:rsidR="007E4B39">
        <w:rPr>
          <w:rFonts w:ascii="Times New Roman" w:eastAsia="Times New Roman" w:hAnsi="Times New Roman" w:cs="Times New Roman"/>
          <w:sz w:val="24"/>
          <w:szCs w:val="24"/>
        </w:rPr>
        <w:instrText>ADDIN CSL_CITATION {"citationItems":[{"id":"ITEM-1","itemData":{"DOI":"10.1371/journal.pone.0059817","ISSN":"19326203","abstract":"Tulane virus (TV) is a newly isolated cultivatable calicivirus that infects juvenile rhesus macaques. Here we report a 6.3 Å resolution cryo-electron microscopy structure of the TV virion. The TV virion is about 400 Å in diameter and consists of a T = 3 icosahedral protein capsid enclosing the RNA genome. 180 copies of the major capsid protein VP1 (~57 KDa) are organized into two types of dimers A/B and C/C and form a thin, smooth shell studded with 90 dimeric protrusions. The overall capsid organization and the capsid protein fold of TV closely resemble that of other caliciviruses, especially of human Norwalk virus, the prototype human norovirus. These close structural similarities support TV as an attractive surrogate for the non-cultivatable human noroviruses. The most distinctive feature of TV is that its C/C dimers are in a highly flexible conformation with significantly reduced interactions between the shell (S) domain and the protruding (P) domain of VP1. A comparative structural analysis indicated that the P domains of TV C/C dimers were much more flexible than those of other caliciviruses. These observations, combined with previous studies on other caliciviruses, led us to hypothesize that the enhanced flexibility of C/C dimer P domains are likely required for efficient calicivirus-host cell interactions and the consequent uncoating and genome release. Residues in the S-P1 hinge between the S and P domain may play a critical role in the flexibility of P domains of C/C dimers. © 2013 Yu et al.","author":[{"dropping-particle":"","family":"Yu","given":"Guimei","non-dropping-particle":"","parse-names":false,"suffix":""},{"dropping-particle":"","family":"Zhang","given":"Dongsheng","non-dropping-particle":"","parse-names":false,"suffix":""},{"dropping-particle":"","family":"Guo","given":"Fei","non-dropping-particle":"","parse-names":false,"suffix":""},{"dropping-particle":"","family":"Tan","given":"Ming","non-dropping-particle":"","parse-names":false,"suffix":""},{"dropping-particle":"","family":"Jiang","given":"Xi","non-dropping-particle":"","parse-names":false,"suffix":""},{"dropping-particle":"","family":"Jiang","given":"Wen","non-dropping-particle":"","parse-names":false,"suffix":""}],"container-title":"PLoS ONE","id":"ITEM-1","issue":"3","issued":{"date-parts":[["2013"]]},"title":"Cryo-EM Structure of a Novel Calicivirus, Tulane Virus","type":"article-journal","volume":"8"},"uris":["http://www.mendeley.com/documents/?uuid=7a18296d-920e-4629-a4c9-e11e9636b34f"]}],"mendeley":{"formattedCitation":"(5)","plainTextFormattedCitation":"(5)","previouslyFormattedCitation":"&lt;sup&gt;5&lt;/sup&gt;"},"properties":{"noteIndex":0},"schema":"https://github.com/citation-style-language/schema/raw/master/csl-citation.json"}</w:instrText>
      </w:r>
      <w:r w:rsidR="00C87D97">
        <w:rPr>
          <w:rFonts w:ascii="Times New Roman" w:eastAsia="Times New Roman" w:hAnsi="Times New Roman" w:cs="Times New Roman"/>
          <w:sz w:val="24"/>
          <w:szCs w:val="24"/>
        </w:rPr>
        <w:fldChar w:fldCharType="separate"/>
      </w:r>
      <w:r w:rsidR="007E4B39" w:rsidRPr="007E4B39">
        <w:rPr>
          <w:rFonts w:ascii="Times New Roman" w:eastAsia="Times New Roman" w:hAnsi="Times New Roman" w:cs="Times New Roman"/>
          <w:noProof/>
          <w:sz w:val="24"/>
          <w:szCs w:val="24"/>
        </w:rPr>
        <w:t>(5)</w:t>
      </w:r>
      <w:r w:rsidR="00C87D97">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TVs that are aggregated with three or more virions will be excluded by the 0.1 μm pore size filter. Note that when intact TV was mixed with PBS, instead of the polyphenols, the number of virion aggregates larger than 0.1 μm accounted for less than 0.3-log</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Thus, the differences in those two values (i.e., gap between the black and red symbols in </w:t>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xml:space="preserve">) means the number of virion aggregates with a diameter of larger than 0.1 μm. If the virions were segregated back to </w:t>
      </w:r>
      <w:r>
        <w:rPr>
          <w:rFonts w:ascii="Times New Roman" w:eastAsia="Times New Roman" w:hAnsi="Times New Roman" w:cs="Times New Roman"/>
          <w:sz w:val="24"/>
          <w:szCs w:val="24"/>
        </w:rPr>
        <w:lastRenderedPageBreak/>
        <w:t xml:space="preserve">single virus particles during the 10-fold serial dilution and the 10-second vortex, the number of virions that can pass through the 0.1 μm filter would have increased, and the number of virions after the filtration (red in </w:t>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xml:space="preserve">) would have gotten closer to that before the filtration (black in </w:t>
      </w:r>
      <w:r>
        <w:rPr>
          <w:rFonts w:ascii="Times New Roman" w:eastAsia="Times New Roman" w:hAnsi="Times New Roman" w:cs="Times New Roman"/>
          <w:b/>
          <w:sz w:val="24"/>
          <w:szCs w:val="24"/>
        </w:rPr>
        <w:t>Supplementary Fig. 1</w:t>
      </w:r>
      <w:r>
        <w:rPr>
          <w:rFonts w:ascii="Times New Roman" w:eastAsia="Times New Roman" w:hAnsi="Times New Roman" w:cs="Times New Roman"/>
          <w:sz w:val="24"/>
          <w:szCs w:val="24"/>
        </w:rPr>
        <w:t xml:space="preserve">). However, it did not happen over the three cycles of 10-fold dilution and the 10-second vortex. Therefore, the aggregated virions will not be segregated back to single virions during the plaque assay.  </w:t>
      </w:r>
    </w:p>
    <w:p w14:paraId="24C61BDA" w14:textId="77777777" w:rsidR="00260A0D" w:rsidRDefault="00260A0D">
      <w:pPr>
        <w:spacing w:line="480" w:lineRule="auto"/>
        <w:rPr>
          <w:rFonts w:ascii="Times New Roman" w:eastAsia="Times New Roman" w:hAnsi="Times New Roman" w:cs="Times New Roman"/>
          <w:b/>
          <w:sz w:val="24"/>
          <w:szCs w:val="24"/>
        </w:rPr>
      </w:pPr>
    </w:p>
    <w:p w14:paraId="5F273C35" w14:textId="77777777" w:rsidR="00260A0D" w:rsidRDefault="00260A0D">
      <w:pPr>
        <w:spacing w:line="480" w:lineRule="auto"/>
        <w:rPr>
          <w:rFonts w:ascii="Times New Roman" w:eastAsia="Times New Roman" w:hAnsi="Times New Roman" w:cs="Times New Roman"/>
          <w:b/>
          <w:sz w:val="24"/>
          <w:szCs w:val="24"/>
        </w:rPr>
      </w:pPr>
    </w:p>
    <w:p w14:paraId="7F3D9810" w14:textId="77777777" w:rsidR="00260A0D" w:rsidRDefault="00DD7A6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71B0B9" wp14:editId="09956108">
            <wp:extent cx="3738563" cy="3277233"/>
            <wp:effectExtent l="0" t="0" r="0" b="0"/>
            <wp:docPr id="4" name="image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scatter chart&#10;&#10;Description automatically generated"/>
                    <pic:cNvPicPr preferRelativeResize="0"/>
                  </pic:nvPicPr>
                  <pic:blipFill>
                    <a:blip r:embed="rId9"/>
                    <a:srcRect/>
                    <a:stretch>
                      <a:fillRect/>
                    </a:stretch>
                  </pic:blipFill>
                  <pic:spPr>
                    <a:xfrm>
                      <a:off x="0" y="0"/>
                      <a:ext cx="3738563" cy="3277233"/>
                    </a:xfrm>
                    <a:prstGeom prst="rect">
                      <a:avLst/>
                    </a:prstGeom>
                    <a:ln/>
                  </pic:spPr>
                </pic:pic>
              </a:graphicData>
            </a:graphic>
          </wp:inline>
        </w:drawing>
      </w:r>
    </w:p>
    <w:p w14:paraId="78FFA3B5" w14:textId="0829CD52" w:rsidR="00260A0D" w:rsidRDefault="00DD7A6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1. </w:t>
      </w:r>
      <w:r>
        <w:rPr>
          <w:rFonts w:ascii="Times New Roman" w:eastAsia="Times New Roman" w:hAnsi="Times New Roman" w:cs="Times New Roman"/>
          <w:sz w:val="24"/>
          <w:szCs w:val="24"/>
        </w:rPr>
        <w:t xml:space="preserve">The impact of vortexing and dilution manipulations on virion aggregates. Black symbols indicate the number of virions that were aggregated by GSE, followed by being serially diluted and vortexed. Red symbols present the number of virions that can pass through 0.1 um filtration after the polyphenol treatment, serial dilution, and vortex. Arrows indicate the detection limit of the one-step RT-qPCR. </w:t>
      </w:r>
    </w:p>
    <w:p w14:paraId="02384760" w14:textId="77777777" w:rsidR="00260A0D" w:rsidRDefault="00260A0D">
      <w:pPr>
        <w:spacing w:line="480" w:lineRule="auto"/>
        <w:rPr>
          <w:rFonts w:ascii="Times New Roman" w:eastAsia="Times New Roman" w:hAnsi="Times New Roman" w:cs="Times New Roman"/>
          <w:sz w:val="24"/>
          <w:szCs w:val="24"/>
        </w:rPr>
      </w:pPr>
    </w:p>
    <w:p w14:paraId="62007392" w14:textId="77777777" w:rsidR="00C87D97" w:rsidRDefault="00C87D9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416E1A7" w14:textId="46B67DAF" w:rsidR="00260A0D" w:rsidRDefault="00DD7A6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114300" distB="114300" distL="114300" distR="114300" wp14:anchorId="42B82FBF" wp14:editId="2F0C82F0">
            <wp:extent cx="2462213" cy="3047554"/>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10424" t="6933" r="26167" b="7744"/>
                    <a:stretch>
                      <a:fillRect/>
                    </a:stretch>
                  </pic:blipFill>
                  <pic:spPr>
                    <a:xfrm>
                      <a:off x="0" y="0"/>
                      <a:ext cx="2462213" cy="3047554"/>
                    </a:xfrm>
                    <a:prstGeom prst="rect">
                      <a:avLst/>
                    </a:prstGeom>
                    <a:ln/>
                  </pic:spPr>
                </pic:pic>
              </a:graphicData>
            </a:graphic>
          </wp:inline>
        </w:drawing>
      </w:r>
    </w:p>
    <w:p w14:paraId="3CDB8ADA"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2. </w:t>
      </w:r>
      <w:r>
        <w:rPr>
          <w:rFonts w:ascii="Times New Roman" w:eastAsia="Times New Roman" w:hAnsi="Times New Roman" w:cs="Times New Roman"/>
          <w:sz w:val="24"/>
          <w:szCs w:val="24"/>
        </w:rPr>
        <w:t>VP1 protein structure of human norovirus. Protein information downloaded from the Protein Data Bank (icosahedral asymmetric unit; PDB accession ID: 1IHM) consists of three chains of VP1 proteins, we presented one of the chains. The image was created by Chimera. Each color (Yellow, Green, Blue, and Red) indicated S domain, S-P1 hinge, P1 domain, and P2 domain, respectively.</w:t>
      </w:r>
    </w:p>
    <w:p w14:paraId="4D6AAD1A" w14:textId="77777777" w:rsidR="00260A0D" w:rsidRDefault="00260A0D">
      <w:pPr>
        <w:spacing w:line="480" w:lineRule="auto"/>
        <w:rPr>
          <w:rFonts w:ascii="Times New Roman" w:eastAsia="Times New Roman" w:hAnsi="Times New Roman" w:cs="Times New Roman"/>
          <w:sz w:val="24"/>
          <w:szCs w:val="24"/>
        </w:rPr>
      </w:pPr>
    </w:p>
    <w:p w14:paraId="107FAB78" w14:textId="77777777" w:rsidR="00260A0D" w:rsidRDefault="00260A0D">
      <w:pPr>
        <w:spacing w:line="480" w:lineRule="auto"/>
        <w:rPr>
          <w:rFonts w:ascii="Times New Roman" w:eastAsia="Times New Roman" w:hAnsi="Times New Roman" w:cs="Times New Roman"/>
          <w:sz w:val="24"/>
          <w:szCs w:val="24"/>
        </w:rPr>
      </w:pPr>
    </w:p>
    <w:p w14:paraId="0CE1D916" w14:textId="77777777" w:rsidR="00260A0D" w:rsidRDefault="00260A0D">
      <w:pPr>
        <w:spacing w:line="240" w:lineRule="auto"/>
        <w:rPr>
          <w:rFonts w:ascii="Times New Roman" w:eastAsia="Times New Roman" w:hAnsi="Times New Roman" w:cs="Times New Roman"/>
          <w:sz w:val="24"/>
          <w:szCs w:val="24"/>
        </w:rPr>
      </w:pPr>
    </w:p>
    <w:p w14:paraId="34B1AF01" w14:textId="77777777" w:rsidR="00C87D97" w:rsidRDefault="00C87D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F51E733" w14:textId="465E8F71" w:rsidR="00260A0D" w:rsidRDefault="00DD7A64">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0E07EEC8" wp14:editId="61602DF8">
            <wp:extent cx="5943600" cy="2819400"/>
            <wp:effectExtent l="0" t="0" r="0" b="0"/>
            <wp:docPr id="5" name="image8.png" descr="Graphical user interface,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Graphical user interface, table&#10;&#10;Description automatically generated with medium confidence"/>
                    <pic:cNvPicPr preferRelativeResize="0"/>
                  </pic:nvPicPr>
                  <pic:blipFill>
                    <a:blip r:embed="rId11"/>
                    <a:srcRect/>
                    <a:stretch>
                      <a:fillRect/>
                    </a:stretch>
                  </pic:blipFill>
                  <pic:spPr>
                    <a:xfrm>
                      <a:off x="0" y="0"/>
                      <a:ext cx="5943600" cy="2819400"/>
                    </a:xfrm>
                    <a:prstGeom prst="rect">
                      <a:avLst/>
                    </a:prstGeom>
                    <a:ln/>
                  </pic:spPr>
                </pic:pic>
              </a:graphicData>
            </a:graphic>
          </wp:inline>
        </w:drawing>
      </w:r>
    </w:p>
    <w:p w14:paraId="141F70F0" w14:textId="77777777" w:rsidR="00260A0D" w:rsidRDefault="00DD7A64">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1D06F97" wp14:editId="7455CE4B">
            <wp:extent cx="5943600" cy="3098800"/>
            <wp:effectExtent l="0" t="0" r="0" b="0"/>
            <wp:docPr id="8"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12"/>
                    <a:srcRect/>
                    <a:stretch>
                      <a:fillRect/>
                    </a:stretch>
                  </pic:blipFill>
                  <pic:spPr>
                    <a:xfrm>
                      <a:off x="0" y="0"/>
                      <a:ext cx="5943600" cy="3098800"/>
                    </a:xfrm>
                    <a:prstGeom prst="rect">
                      <a:avLst/>
                    </a:prstGeom>
                    <a:ln/>
                  </pic:spPr>
                </pic:pic>
              </a:graphicData>
            </a:graphic>
          </wp:inline>
        </w:drawing>
      </w:r>
    </w:p>
    <w:p w14:paraId="153C5FC3" w14:textId="77777777" w:rsidR="00260A0D" w:rsidRDefault="00DD7A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Fig. 3.</w:t>
      </w:r>
      <w:r>
        <w:rPr>
          <w:rFonts w:ascii="Times New Roman" w:eastAsia="Times New Roman" w:hAnsi="Times New Roman" w:cs="Times New Roman"/>
          <w:sz w:val="24"/>
          <w:szCs w:val="24"/>
        </w:rPr>
        <w:t xml:space="preserve"> The polyphenol-capsid interaction profiles for each polyphenolic compound (A-F) in increasing order of size of polyphenol. For each case, the bound confirmation with the HuNoV capsid is shown and the interacting residues (with details) have been listed alongside. We note that, with an increase in polyphenol size, the number of interactions (both hydrophobic and electrostatic) increases. Additionally, all polyphenols barring the procyanidins bind to interface domains of two chains (between A-copper, B-yellow, or C-magenta). Procyanidins being the largest polyphenol cannot fit into the smaller chain-interface grooves; it is primarily a surface binder as seen from panel (F) - as all of its interactions are limited to only chain B.</w:t>
      </w:r>
    </w:p>
    <w:p w14:paraId="483274A3" w14:textId="77777777" w:rsidR="00260A0D" w:rsidRDefault="00260A0D">
      <w:pPr>
        <w:spacing w:line="480" w:lineRule="auto"/>
        <w:rPr>
          <w:rFonts w:ascii="Times New Roman" w:eastAsia="Times New Roman" w:hAnsi="Times New Roman" w:cs="Times New Roman"/>
          <w:b/>
          <w:sz w:val="24"/>
          <w:szCs w:val="24"/>
        </w:rPr>
      </w:pPr>
    </w:p>
    <w:p w14:paraId="52B15EEA" w14:textId="77777777" w:rsidR="00260A0D" w:rsidRDefault="00DD7A6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AD7F64E" wp14:editId="6A10C6E8">
            <wp:extent cx="3700463" cy="3202323"/>
            <wp:effectExtent l="0" t="0" r="0" b="0"/>
            <wp:docPr id="7" name="image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scatter chart&#10;&#10;Description automatically generated"/>
                    <pic:cNvPicPr preferRelativeResize="0"/>
                  </pic:nvPicPr>
                  <pic:blipFill>
                    <a:blip r:embed="rId13"/>
                    <a:srcRect/>
                    <a:stretch>
                      <a:fillRect/>
                    </a:stretch>
                  </pic:blipFill>
                  <pic:spPr>
                    <a:xfrm>
                      <a:off x="0" y="0"/>
                      <a:ext cx="3700463" cy="3202323"/>
                    </a:xfrm>
                    <a:prstGeom prst="rect">
                      <a:avLst/>
                    </a:prstGeom>
                    <a:ln/>
                  </pic:spPr>
                </pic:pic>
              </a:graphicData>
            </a:graphic>
          </wp:inline>
        </w:drawing>
      </w:r>
    </w:p>
    <w:p w14:paraId="79931EB5"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4. </w:t>
      </w:r>
      <w:r>
        <w:rPr>
          <w:rFonts w:ascii="Times New Roman" w:eastAsia="Times New Roman" w:hAnsi="Times New Roman" w:cs="Times New Roman"/>
          <w:sz w:val="24"/>
          <w:szCs w:val="24"/>
        </w:rPr>
        <w:t xml:space="preserve">A calibration curve of standard solutions for total polyphenols. Gallic acid monohydrate was diluted in distilled water to get the standard TP solutions of 0, 5, 10, 20, 50, and 100 μg/mL. The y-axis shows the absorbance at 765 nm. </w:t>
      </w:r>
    </w:p>
    <w:p w14:paraId="1C0DEE95" w14:textId="77777777" w:rsidR="00260A0D" w:rsidRDefault="00260A0D">
      <w:pPr>
        <w:spacing w:line="480" w:lineRule="auto"/>
        <w:rPr>
          <w:rFonts w:ascii="Times New Roman" w:eastAsia="Times New Roman" w:hAnsi="Times New Roman" w:cs="Times New Roman"/>
          <w:b/>
          <w:sz w:val="24"/>
          <w:szCs w:val="24"/>
        </w:rPr>
      </w:pPr>
    </w:p>
    <w:p w14:paraId="5D868219" w14:textId="77777777" w:rsidR="00260A0D" w:rsidRDefault="00260A0D">
      <w:pPr>
        <w:spacing w:line="480" w:lineRule="auto"/>
        <w:rPr>
          <w:rFonts w:ascii="Times New Roman" w:eastAsia="Times New Roman" w:hAnsi="Times New Roman" w:cs="Times New Roman"/>
          <w:sz w:val="24"/>
          <w:szCs w:val="24"/>
        </w:rPr>
      </w:pPr>
    </w:p>
    <w:p w14:paraId="0276BC60" w14:textId="77777777" w:rsidR="00C87D97" w:rsidRDefault="00C87D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C39ED39" w14:textId="0E16242E" w:rsidR="00260A0D" w:rsidRDefault="00DD7A6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Table 2. </w:t>
      </w:r>
      <w:r>
        <w:rPr>
          <w:rFonts w:ascii="Times New Roman" w:eastAsia="Times New Roman" w:hAnsi="Times New Roman" w:cs="Times New Roman"/>
          <w:sz w:val="24"/>
          <w:szCs w:val="24"/>
        </w:rPr>
        <w:t>Primary polyphenolic compounds observed in the GSE that used for molecular docking simulations</w:t>
      </w:r>
    </w:p>
    <w:tbl>
      <w:tblPr>
        <w:tblStyle w:val="a0"/>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845"/>
        <w:gridCol w:w="1230"/>
        <w:gridCol w:w="2570"/>
        <w:gridCol w:w="2520"/>
      </w:tblGrid>
      <w:tr w:rsidR="00260A0D" w14:paraId="3EE7D782" w14:textId="77777777">
        <w:tc>
          <w:tcPr>
            <w:tcW w:w="1185" w:type="dxa"/>
            <w:shd w:val="clear" w:color="auto" w:fill="auto"/>
            <w:tcMar>
              <w:top w:w="100" w:type="dxa"/>
              <w:left w:w="100" w:type="dxa"/>
              <w:bottom w:w="100" w:type="dxa"/>
              <w:right w:w="100" w:type="dxa"/>
            </w:tcMar>
          </w:tcPr>
          <w:p w14:paraId="254E6C04"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Category</w:t>
            </w:r>
          </w:p>
        </w:tc>
        <w:tc>
          <w:tcPr>
            <w:tcW w:w="1845" w:type="dxa"/>
            <w:shd w:val="clear" w:color="auto" w:fill="auto"/>
            <w:tcMar>
              <w:top w:w="100" w:type="dxa"/>
              <w:left w:w="100" w:type="dxa"/>
              <w:bottom w:w="100" w:type="dxa"/>
              <w:right w:w="100" w:type="dxa"/>
            </w:tcMar>
          </w:tcPr>
          <w:p w14:paraId="4C9293CB"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Polyphenolic compounds</w:t>
            </w:r>
          </w:p>
        </w:tc>
        <w:tc>
          <w:tcPr>
            <w:tcW w:w="1230" w:type="dxa"/>
            <w:shd w:val="clear" w:color="auto" w:fill="auto"/>
            <w:tcMar>
              <w:top w:w="100" w:type="dxa"/>
              <w:left w:w="100" w:type="dxa"/>
              <w:bottom w:w="100" w:type="dxa"/>
              <w:right w:w="100" w:type="dxa"/>
            </w:tcMar>
          </w:tcPr>
          <w:p w14:paraId="2E3CB162"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Molecular formula</w:t>
            </w:r>
          </w:p>
        </w:tc>
        <w:tc>
          <w:tcPr>
            <w:tcW w:w="2570" w:type="dxa"/>
            <w:shd w:val="clear" w:color="auto" w:fill="auto"/>
            <w:tcMar>
              <w:top w:w="100" w:type="dxa"/>
              <w:left w:w="100" w:type="dxa"/>
              <w:bottom w:w="100" w:type="dxa"/>
              <w:right w:w="100" w:type="dxa"/>
            </w:tcMar>
          </w:tcPr>
          <w:p w14:paraId="696DBFE3"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Theoretical molecular weight (g/mol)</w:t>
            </w:r>
          </w:p>
        </w:tc>
        <w:tc>
          <w:tcPr>
            <w:tcW w:w="2520" w:type="dxa"/>
            <w:shd w:val="clear" w:color="auto" w:fill="auto"/>
            <w:tcMar>
              <w:top w:w="100" w:type="dxa"/>
              <w:left w:w="100" w:type="dxa"/>
              <w:bottom w:w="100" w:type="dxa"/>
              <w:right w:w="100" w:type="dxa"/>
            </w:tcMar>
          </w:tcPr>
          <w:p w14:paraId="326745A7"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Observed molecular weight (g/mol)</w:t>
            </w:r>
          </w:p>
        </w:tc>
      </w:tr>
      <w:tr w:rsidR="00260A0D" w14:paraId="001CC86C" w14:textId="77777777">
        <w:trPr>
          <w:trHeight w:val="420"/>
        </w:trPr>
        <w:tc>
          <w:tcPr>
            <w:tcW w:w="1185" w:type="dxa"/>
            <w:vMerge w:val="restart"/>
            <w:shd w:val="clear" w:color="auto" w:fill="auto"/>
            <w:tcMar>
              <w:top w:w="100" w:type="dxa"/>
              <w:left w:w="100" w:type="dxa"/>
              <w:bottom w:w="100" w:type="dxa"/>
              <w:right w:w="100" w:type="dxa"/>
            </w:tcMar>
          </w:tcPr>
          <w:p w14:paraId="5F4366C6"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Monomers flavan-3-ol</w:t>
            </w:r>
          </w:p>
        </w:tc>
        <w:tc>
          <w:tcPr>
            <w:tcW w:w="1845" w:type="dxa"/>
            <w:shd w:val="clear" w:color="auto" w:fill="auto"/>
            <w:tcMar>
              <w:top w:w="100" w:type="dxa"/>
              <w:left w:w="100" w:type="dxa"/>
              <w:bottom w:w="100" w:type="dxa"/>
              <w:right w:w="100" w:type="dxa"/>
            </w:tcMar>
          </w:tcPr>
          <w:p w14:paraId="37CA9DE3"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Catechin</w:t>
            </w:r>
          </w:p>
        </w:tc>
        <w:tc>
          <w:tcPr>
            <w:tcW w:w="1230" w:type="dxa"/>
            <w:shd w:val="clear" w:color="auto" w:fill="auto"/>
            <w:tcMar>
              <w:top w:w="100" w:type="dxa"/>
              <w:left w:w="100" w:type="dxa"/>
              <w:bottom w:w="100" w:type="dxa"/>
              <w:right w:w="100" w:type="dxa"/>
            </w:tcMar>
          </w:tcPr>
          <w:p w14:paraId="7317CCC7" w14:textId="77777777" w:rsidR="00260A0D" w:rsidRDefault="00DD7A64">
            <w:pPr>
              <w:widowControl w:val="0"/>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15</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6</w:t>
            </w:r>
          </w:p>
        </w:tc>
        <w:tc>
          <w:tcPr>
            <w:tcW w:w="2570" w:type="dxa"/>
            <w:shd w:val="clear" w:color="auto" w:fill="auto"/>
            <w:tcMar>
              <w:top w:w="100" w:type="dxa"/>
              <w:left w:w="100" w:type="dxa"/>
              <w:bottom w:w="100" w:type="dxa"/>
              <w:right w:w="100" w:type="dxa"/>
            </w:tcMar>
          </w:tcPr>
          <w:p w14:paraId="7317DAC9"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290.268</w:t>
            </w:r>
          </w:p>
        </w:tc>
        <w:tc>
          <w:tcPr>
            <w:tcW w:w="2520" w:type="dxa"/>
            <w:shd w:val="clear" w:color="auto" w:fill="auto"/>
            <w:tcMar>
              <w:top w:w="100" w:type="dxa"/>
              <w:left w:w="100" w:type="dxa"/>
              <w:bottom w:w="100" w:type="dxa"/>
              <w:right w:w="100" w:type="dxa"/>
            </w:tcMar>
          </w:tcPr>
          <w:p w14:paraId="753151D1"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290.079</w:t>
            </w:r>
          </w:p>
        </w:tc>
      </w:tr>
      <w:tr w:rsidR="00260A0D" w14:paraId="01C0FF76" w14:textId="77777777">
        <w:trPr>
          <w:trHeight w:val="420"/>
        </w:trPr>
        <w:tc>
          <w:tcPr>
            <w:tcW w:w="1185" w:type="dxa"/>
            <w:vMerge/>
            <w:shd w:val="clear" w:color="auto" w:fill="auto"/>
            <w:tcMar>
              <w:top w:w="100" w:type="dxa"/>
              <w:left w:w="100" w:type="dxa"/>
              <w:bottom w:w="100" w:type="dxa"/>
              <w:right w:w="100" w:type="dxa"/>
            </w:tcMar>
          </w:tcPr>
          <w:p w14:paraId="6B4196B2"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4E3F2519"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Epicatechin</w:t>
            </w:r>
          </w:p>
        </w:tc>
        <w:tc>
          <w:tcPr>
            <w:tcW w:w="1230" w:type="dxa"/>
            <w:shd w:val="clear" w:color="auto" w:fill="auto"/>
            <w:tcMar>
              <w:top w:w="100" w:type="dxa"/>
              <w:left w:w="100" w:type="dxa"/>
              <w:bottom w:w="100" w:type="dxa"/>
              <w:right w:w="100" w:type="dxa"/>
            </w:tcMar>
          </w:tcPr>
          <w:p w14:paraId="677F10AA" w14:textId="77777777" w:rsidR="00260A0D" w:rsidRDefault="00DD7A64">
            <w:pPr>
              <w:widowControl w:val="0"/>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15</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14</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6</w:t>
            </w:r>
          </w:p>
        </w:tc>
        <w:tc>
          <w:tcPr>
            <w:tcW w:w="2570" w:type="dxa"/>
            <w:shd w:val="clear" w:color="auto" w:fill="auto"/>
            <w:tcMar>
              <w:top w:w="100" w:type="dxa"/>
              <w:left w:w="100" w:type="dxa"/>
              <w:bottom w:w="100" w:type="dxa"/>
              <w:right w:w="100" w:type="dxa"/>
            </w:tcMar>
          </w:tcPr>
          <w:p w14:paraId="10AF28C5"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290.268</w:t>
            </w:r>
          </w:p>
        </w:tc>
        <w:tc>
          <w:tcPr>
            <w:tcW w:w="2520" w:type="dxa"/>
            <w:shd w:val="clear" w:color="auto" w:fill="auto"/>
            <w:tcMar>
              <w:top w:w="100" w:type="dxa"/>
              <w:left w:w="100" w:type="dxa"/>
              <w:bottom w:w="100" w:type="dxa"/>
              <w:right w:w="100" w:type="dxa"/>
            </w:tcMar>
          </w:tcPr>
          <w:p w14:paraId="2ABBCD55"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290.079</w:t>
            </w:r>
          </w:p>
        </w:tc>
      </w:tr>
      <w:tr w:rsidR="00260A0D" w14:paraId="1EFB3DD2" w14:textId="77777777">
        <w:trPr>
          <w:trHeight w:val="420"/>
        </w:trPr>
        <w:tc>
          <w:tcPr>
            <w:tcW w:w="1185" w:type="dxa"/>
            <w:vMerge/>
            <w:shd w:val="clear" w:color="auto" w:fill="auto"/>
            <w:tcMar>
              <w:top w:w="100" w:type="dxa"/>
              <w:left w:w="100" w:type="dxa"/>
              <w:bottom w:w="100" w:type="dxa"/>
              <w:right w:w="100" w:type="dxa"/>
            </w:tcMar>
          </w:tcPr>
          <w:p w14:paraId="64151394"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179CFA13"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Epicatechin gallate</w:t>
            </w:r>
          </w:p>
        </w:tc>
        <w:tc>
          <w:tcPr>
            <w:tcW w:w="1230" w:type="dxa"/>
            <w:shd w:val="clear" w:color="auto" w:fill="auto"/>
            <w:tcMar>
              <w:top w:w="100" w:type="dxa"/>
              <w:left w:w="100" w:type="dxa"/>
              <w:bottom w:w="100" w:type="dxa"/>
              <w:right w:w="100" w:type="dxa"/>
            </w:tcMar>
          </w:tcPr>
          <w:p w14:paraId="7C326531"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22</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18</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10</w:t>
            </w:r>
          </w:p>
        </w:tc>
        <w:tc>
          <w:tcPr>
            <w:tcW w:w="2570" w:type="dxa"/>
            <w:shd w:val="clear" w:color="auto" w:fill="auto"/>
            <w:tcMar>
              <w:top w:w="100" w:type="dxa"/>
              <w:left w:w="100" w:type="dxa"/>
              <w:bottom w:w="100" w:type="dxa"/>
              <w:right w:w="100" w:type="dxa"/>
            </w:tcMar>
          </w:tcPr>
          <w:p w14:paraId="34611524"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442.372</w:t>
            </w:r>
          </w:p>
        </w:tc>
        <w:tc>
          <w:tcPr>
            <w:tcW w:w="2520" w:type="dxa"/>
            <w:shd w:val="clear" w:color="auto" w:fill="auto"/>
            <w:tcMar>
              <w:top w:w="100" w:type="dxa"/>
              <w:left w:w="100" w:type="dxa"/>
              <w:bottom w:w="100" w:type="dxa"/>
              <w:right w:w="100" w:type="dxa"/>
            </w:tcMar>
          </w:tcPr>
          <w:p w14:paraId="0B74E82A"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442.090</w:t>
            </w:r>
          </w:p>
        </w:tc>
      </w:tr>
      <w:tr w:rsidR="00260A0D" w14:paraId="34DC5E3A" w14:textId="77777777">
        <w:trPr>
          <w:trHeight w:val="420"/>
        </w:trPr>
        <w:tc>
          <w:tcPr>
            <w:tcW w:w="1185" w:type="dxa"/>
            <w:vMerge w:val="restart"/>
            <w:shd w:val="clear" w:color="auto" w:fill="auto"/>
            <w:tcMar>
              <w:top w:w="100" w:type="dxa"/>
              <w:left w:w="100" w:type="dxa"/>
              <w:bottom w:w="100" w:type="dxa"/>
              <w:right w:w="100" w:type="dxa"/>
            </w:tcMar>
          </w:tcPr>
          <w:p w14:paraId="277F5B5C"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Dimers flavan-3-ol</w:t>
            </w:r>
          </w:p>
        </w:tc>
        <w:tc>
          <w:tcPr>
            <w:tcW w:w="1845" w:type="dxa"/>
            <w:shd w:val="clear" w:color="auto" w:fill="auto"/>
            <w:tcMar>
              <w:top w:w="100" w:type="dxa"/>
              <w:left w:w="100" w:type="dxa"/>
              <w:bottom w:w="100" w:type="dxa"/>
              <w:right w:w="100" w:type="dxa"/>
            </w:tcMar>
          </w:tcPr>
          <w:p w14:paraId="5BE0A97E"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Procyanidin B1</w:t>
            </w:r>
          </w:p>
        </w:tc>
        <w:tc>
          <w:tcPr>
            <w:tcW w:w="1230" w:type="dxa"/>
            <w:shd w:val="clear" w:color="auto" w:fill="auto"/>
            <w:tcMar>
              <w:top w:w="100" w:type="dxa"/>
              <w:left w:w="100" w:type="dxa"/>
              <w:bottom w:w="100" w:type="dxa"/>
              <w:right w:w="100" w:type="dxa"/>
            </w:tcMar>
          </w:tcPr>
          <w:p w14:paraId="54D33524"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26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12</w:t>
            </w:r>
          </w:p>
        </w:tc>
        <w:tc>
          <w:tcPr>
            <w:tcW w:w="2570" w:type="dxa"/>
            <w:shd w:val="clear" w:color="auto" w:fill="auto"/>
            <w:tcMar>
              <w:top w:w="100" w:type="dxa"/>
              <w:left w:w="100" w:type="dxa"/>
              <w:bottom w:w="100" w:type="dxa"/>
              <w:right w:w="100" w:type="dxa"/>
            </w:tcMar>
          </w:tcPr>
          <w:p w14:paraId="45AA9546"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578.520</w:t>
            </w:r>
          </w:p>
        </w:tc>
        <w:tc>
          <w:tcPr>
            <w:tcW w:w="2520" w:type="dxa"/>
            <w:shd w:val="clear" w:color="auto" w:fill="auto"/>
            <w:tcMar>
              <w:top w:w="100" w:type="dxa"/>
              <w:left w:w="100" w:type="dxa"/>
              <w:bottom w:w="100" w:type="dxa"/>
              <w:right w:w="100" w:type="dxa"/>
            </w:tcMar>
          </w:tcPr>
          <w:p w14:paraId="3C2D6730"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578.143</w:t>
            </w:r>
          </w:p>
        </w:tc>
      </w:tr>
      <w:tr w:rsidR="00260A0D" w14:paraId="1598BD7E" w14:textId="77777777">
        <w:trPr>
          <w:trHeight w:val="420"/>
        </w:trPr>
        <w:tc>
          <w:tcPr>
            <w:tcW w:w="1185" w:type="dxa"/>
            <w:vMerge/>
            <w:shd w:val="clear" w:color="auto" w:fill="auto"/>
            <w:tcMar>
              <w:top w:w="100" w:type="dxa"/>
              <w:left w:w="100" w:type="dxa"/>
              <w:bottom w:w="100" w:type="dxa"/>
              <w:right w:w="100" w:type="dxa"/>
            </w:tcMar>
          </w:tcPr>
          <w:p w14:paraId="05179CFB"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75EE0EB7"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Procyanidin B2</w:t>
            </w:r>
          </w:p>
        </w:tc>
        <w:tc>
          <w:tcPr>
            <w:tcW w:w="1230" w:type="dxa"/>
            <w:shd w:val="clear" w:color="auto" w:fill="auto"/>
            <w:tcMar>
              <w:top w:w="100" w:type="dxa"/>
              <w:left w:w="100" w:type="dxa"/>
              <w:bottom w:w="100" w:type="dxa"/>
              <w:right w:w="100" w:type="dxa"/>
            </w:tcMar>
          </w:tcPr>
          <w:p w14:paraId="48B771E6"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26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12</w:t>
            </w:r>
          </w:p>
        </w:tc>
        <w:tc>
          <w:tcPr>
            <w:tcW w:w="2570" w:type="dxa"/>
            <w:shd w:val="clear" w:color="auto" w:fill="auto"/>
            <w:tcMar>
              <w:top w:w="100" w:type="dxa"/>
              <w:left w:w="100" w:type="dxa"/>
              <w:bottom w:w="100" w:type="dxa"/>
              <w:right w:w="100" w:type="dxa"/>
            </w:tcMar>
          </w:tcPr>
          <w:p w14:paraId="4099624A"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578.520</w:t>
            </w:r>
          </w:p>
        </w:tc>
        <w:tc>
          <w:tcPr>
            <w:tcW w:w="2520" w:type="dxa"/>
            <w:shd w:val="clear" w:color="auto" w:fill="auto"/>
            <w:tcMar>
              <w:top w:w="100" w:type="dxa"/>
              <w:left w:w="100" w:type="dxa"/>
              <w:bottom w:w="100" w:type="dxa"/>
              <w:right w:w="100" w:type="dxa"/>
            </w:tcMar>
          </w:tcPr>
          <w:p w14:paraId="575C93A3"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578.143</w:t>
            </w:r>
          </w:p>
        </w:tc>
      </w:tr>
      <w:tr w:rsidR="00260A0D" w14:paraId="7520076E" w14:textId="77777777">
        <w:trPr>
          <w:trHeight w:val="420"/>
        </w:trPr>
        <w:tc>
          <w:tcPr>
            <w:tcW w:w="1185" w:type="dxa"/>
            <w:vMerge/>
            <w:shd w:val="clear" w:color="auto" w:fill="auto"/>
            <w:tcMar>
              <w:top w:w="100" w:type="dxa"/>
              <w:left w:w="100" w:type="dxa"/>
              <w:bottom w:w="100" w:type="dxa"/>
              <w:right w:w="100" w:type="dxa"/>
            </w:tcMar>
          </w:tcPr>
          <w:p w14:paraId="1FAA461E"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6250C157"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Procyanidin B3</w:t>
            </w:r>
          </w:p>
        </w:tc>
        <w:tc>
          <w:tcPr>
            <w:tcW w:w="1230" w:type="dxa"/>
            <w:shd w:val="clear" w:color="auto" w:fill="auto"/>
            <w:tcMar>
              <w:top w:w="100" w:type="dxa"/>
              <w:left w:w="100" w:type="dxa"/>
              <w:bottom w:w="100" w:type="dxa"/>
              <w:right w:w="100" w:type="dxa"/>
            </w:tcMar>
          </w:tcPr>
          <w:p w14:paraId="4F161BA5"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26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12</w:t>
            </w:r>
          </w:p>
        </w:tc>
        <w:tc>
          <w:tcPr>
            <w:tcW w:w="2570" w:type="dxa"/>
            <w:shd w:val="clear" w:color="auto" w:fill="auto"/>
            <w:tcMar>
              <w:top w:w="100" w:type="dxa"/>
              <w:left w:w="100" w:type="dxa"/>
              <w:bottom w:w="100" w:type="dxa"/>
              <w:right w:w="100" w:type="dxa"/>
            </w:tcMar>
          </w:tcPr>
          <w:p w14:paraId="1E2F5825"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578.520</w:t>
            </w:r>
          </w:p>
        </w:tc>
        <w:tc>
          <w:tcPr>
            <w:tcW w:w="2520" w:type="dxa"/>
            <w:shd w:val="clear" w:color="auto" w:fill="auto"/>
            <w:tcMar>
              <w:top w:w="100" w:type="dxa"/>
              <w:left w:w="100" w:type="dxa"/>
              <w:bottom w:w="100" w:type="dxa"/>
              <w:right w:w="100" w:type="dxa"/>
            </w:tcMar>
          </w:tcPr>
          <w:p w14:paraId="195536B2"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578.143</w:t>
            </w:r>
          </w:p>
        </w:tc>
      </w:tr>
      <w:tr w:rsidR="00260A0D" w14:paraId="7E72DBA6" w14:textId="77777777">
        <w:trPr>
          <w:trHeight w:val="420"/>
        </w:trPr>
        <w:tc>
          <w:tcPr>
            <w:tcW w:w="1185" w:type="dxa"/>
            <w:vMerge/>
            <w:shd w:val="clear" w:color="auto" w:fill="auto"/>
            <w:tcMar>
              <w:top w:w="100" w:type="dxa"/>
              <w:left w:w="100" w:type="dxa"/>
              <w:bottom w:w="100" w:type="dxa"/>
              <w:right w:w="100" w:type="dxa"/>
            </w:tcMar>
          </w:tcPr>
          <w:p w14:paraId="68C9ECB6"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258AF5BC"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Procyanidin B4</w:t>
            </w:r>
          </w:p>
        </w:tc>
        <w:tc>
          <w:tcPr>
            <w:tcW w:w="1230" w:type="dxa"/>
            <w:shd w:val="clear" w:color="auto" w:fill="auto"/>
            <w:tcMar>
              <w:top w:w="100" w:type="dxa"/>
              <w:left w:w="100" w:type="dxa"/>
              <w:bottom w:w="100" w:type="dxa"/>
              <w:right w:w="100" w:type="dxa"/>
            </w:tcMar>
          </w:tcPr>
          <w:p w14:paraId="5F01EB30"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30</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26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12</w:t>
            </w:r>
          </w:p>
        </w:tc>
        <w:tc>
          <w:tcPr>
            <w:tcW w:w="2570" w:type="dxa"/>
            <w:shd w:val="clear" w:color="auto" w:fill="auto"/>
            <w:tcMar>
              <w:top w:w="100" w:type="dxa"/>
              <w:left w:w="100" w:type="dxa"/>
              <w:bottom w:w="100" w:type="dxa"/>
              <w:right w:w="100" w:type="dxa"/>
            </w:tcMar>
          </w:tcPr>
          <w:p w14:paraId="67A86BA0"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578.520</w:t>
            </w:r>
          </w:p>
        </w:tc>
        <w:tc>
          <w:tcPr>
            <w:tcW w:w="2520" w:type="dxa"/>
            <w:shd w:val="clear" w:color="auto" w:fill="auto"/>
            <w:tcMar>
              <w:top w:w="100" w:type="dxa"/>
              <w:left w:w="100" w:type="dxa"/>
              <w:bottom w:w="100" w:type="dxa"/>
              <w:right w:w="100" w:type="dxa"/>
            </w:tcMar>
          </w:tcPr>
          <w:p w14:paraId="4335B523"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578.143</w:t>
            </w:r>
          </w:p>
        </w:tc>
      </w:tr>
      <w:tr w:rsidR="00260A0D" w14:paraId="081A5A2E" w14:textId="77777777">
        <w:trPr>
          <w:trHeight w:val="420"/>
        </w:trPr>
        <w:tc>
          <w:tcPr>
            <w:tcW w:w="1185" w:type="dxa"/>
            <w:vMerge w:val="restart"/>
            <w:shd w:val="clear" w:color="auto" w:fill="auto"/>
            <w:tcMar>
              <w:top w:w="100" w:type="dxa"/>
              <w:left w:w="100" w:type="dxa"/>
              <w:bottom w:w="100" w:type="dxa"/>
              <w:right w:w="100" w:type="dxa"/>
            </w:tcMar>
          </w:tcPr>
          <w:p w14:paraId="17616AA4"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Phenolic acid</w:t>
            </w:r>
          </w:p>
        </w:tc>
        <w:tc>
          <w:tcPr>
            <w:tcW w:w="1845" w:type="dxa"/>
            <w:shd w:val="clear" w:color="auto" w:fill="auto"/>
            <w:tcMar>
              <w:top w:w="100" w:type="dxa"/>
              <w:left w:w="100" w:type="dxa"/>
              <w:bottom w:w="100" w:type="dxa"/>
              <w:right w:w="100" w:type="dxa"/>
            </w:tcMar>
          </w:tcPr>
          <w:p w14:paraId="0F44C875"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Gallic acid</w:t>
            </w:r>
          </w:p>
        </w:tc>
        <w:tc>
          <w:tcPr>
            <w:tcW w:w="1230" w:type="dxa"/>
            <w:shd w:val="clear" w:color="auto" w:fill="auto"/>
            <w:tcMar>
              <w:top w:w="100" w:type="dxa"/>
              <w:left w:w="100" w:type="dxa"/>
              <w:bottom w:w="100" w:type="dxa"/>
              <w:right w:w="100" w:type="dxa"/>
            </w:tcMar>
          </w:tcPr>
          <w:p w14:paraId="5CCAF0CA"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7</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5</w:t>
            </w:r>
          </w:p>
        </w:tc>
        <w:tc>
          <w:tcPr>
            <w:tcW w:w="2570" w:type="dxa"/>
            <w:shd w:val="clear" w:color="auto" w:fill="auto"/>
            <w:tcMar>
              <w:top w:w="100" w:type="dxa"/>
              <w:left w:w="100" w:type="dxa"/>
              <w:bottom w:w="100" w:type="dxa"/>
              <w:right w:w="100" w:type="dxa"/>
            </w:tcMar>
          </w:tcPr>
          <w:p w14:paraId="70846FBD"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170.120</w:t>
            </w:r>
          </w:p>
        </w:tc>
        <w:tc>
          <w:tcPr>
            <w:tcW w:w="2520" w:type="dxa"/>
            <w:shd w:val="clear" w:color="auto" w:fill="auto"/>
            <w:tcMar>
              <w:top w:w="100" w:type="dxa"/>
              <w:left w:w="100" w:type="dxa"/>
              <w:bottom w:w="100" w:type="dxa"/>
              <w:right w:w="100" w:type="dxa"/>
            </w:tcMar>
          </w:tcPr>
          <w:p w14:paraId="23BF9741"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170.020</w:t>
            </w:r>
          </w:p>
        </w:tc>
      </w:tr>
      <w:tr w:rsidR="00260A0D" w14:paraId="16B393BC" w14:textId="77777777">
        <w:trPr>
          <w:trHeight w:val="420"/>
        </w:trPr>
        <w:tc>
          <w:tcPr>
            <w:tcW w:w="1185" w:type="dxa"/>
            <w:vMerge/>
            <w:shd w:val="clear" w:color="auto" w:fill="auto"/>
            <w:tcMar>
              <w:top w:w="100" w:type="dxa"/>
              <w:left w:w="100" w:type="dxa"/>
              <w:bottom w:w="100" w:type="dxa"/>
              <w:right w:w="100" w:type="dxa"/>
            </w:tcMar>
          </w:tcPr>
          <w:p w14:paraId="760247B6" w14:textId="77777777" w:rsidR="00260A0D" w:rsidRDefault="00260A0D">
            <w:pPr>
              <w:widowControl w:val="0"/>
              <w:pBdr>
                <w:top w:val="nil"/>
                <w:left w:val="nil"/>
                <w:bottom w:val="nil"/>
                <w:right w:val="nil"/>
                <w:between w:val="nil"/>
              </w:pBdr>
              <w:rPr>
                <w:rFonts w:ascii="Times New Roman" w:eastAsia="Times New Roman" w:hAnsi="Times New Roman" w:cs="Times New Roman"/>
                <w:sz w:val="20"/>
                <w:szCs w:val="20"/>
              </w:rPr>
            </w:pPr>
          </w:p>
        </w:tc>
        <w:tc>
          <w:tcPr>
            <w:tcW w:w="1845" w:type="dxa"/>
            <w:shd w:val="clear" w:color="auto" w:fill="auto"/>
            <w:tcMar>
              <w:top w:w="100" w:type="dxa"/>
              <w:left w:w="100" w:type="dxa"/>
              <w:bottom w:w="100" w:type="dxa"/>
              <w:right w:w="100" w:type="dxa"/>
            </w:tcMar>
          </w:tcPr>
          <w:p w14:paraId="50860960"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Protocatechuic acid</w:t>
            </w:r>
          </w:p>
        </w:tc>
        <w:tc>
          <w:tcPr>
            <w:tcW w:w="1230" w:type="dxa"/>
            <w:shd w:val="clear" w:color="auto" w:fill="auto"/>
            <w:tcMar>
              <w:top w:w="100" w:type="dxa"/>
              <w:left w:w="100" w:type="dxa"/>
              <w:bottom w:w="100" w:type="dxa"/>
              <w:right w:w="100" w:type="dxa"/>
            </w:tcMar>
          </w:tcPr>
          <w:p w14:paraId="4122963F"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vertAlign w:val="subscript"/>
              </w:rPr>
              <w:t>7</w:t>
            </w:r>
            <w:r>
              <w:rPr>
                <w:rFonts w:ascii="Times New Roman" w:eastAsia="Times New Roman" w:hAnsi="Times New Roman" w:cs="Times New Roman"/>
                <w:sz w:val="20"/>
                <w:szCs w:val="20"/>
              </w:rPr>
              <w:t>H</w:t>
            </w:r>
            <w:r>
              <w:rPr>
                <w:rFonts w:ascii="Times New Roman" w:eastAsia="Times New Roman" w:hAnsi="Times New Roman" w:cs="Times New Roman"/>
                <w:sz w:val="20"/>
                <w:szCs w:val="20"/>
                <w:vertAlign w:val="subscript"/>
              </w:rPr>
              <w:t>6</w:t>
            </w:r>
            <w:r>
              <w:rPr>
                <w:rFonts w:ascii="Times New Roman" w:eastAsia="Times New Roman" w:hAnsi="Times New Roman" w:cs="Times New Roman"/>
                <w:sz w:val="20"/>
                <w:szCs w:val="20"/>
              </w:rPr>
              <w:t>O</w:t>
            </w:r>
            <w:r>
              <w:rPr>
                <w:rFonts w:ascii="Times New Roman" w:eastAsia="Times New Roman" w:hAnsi="Times New Roman" w:cs="Times New Roman"/>
                <w:sz w:val="20"/>
                <w:szCs w:val="20"/>
                <w:vertAlign w:val="subscript"/>
              </w:rPr>
              <w:t>4</w:t>
            </w:r>
          </w:p>
        </w:tc>
        <w:tc>
          <w:tcPr>
            <w:tcW w:w="2570" w:type="dxa"/>
            <w:shd w:val="clear" w:color="auto" w:fill="auto"/>
            <w:tcMar>
              <w:top w:w="100" w:type="dxa"/>
              <w:left w:w="100" w:type="dxa"/>
              <w:bottom w:w="100" w:type="dxa"/>
              <w:right w:w="100" w:type="dxa"/>
            </w:tcMar>
          </w:tcPr>
          <w:p w14:paraId="66EAB7B7"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154.120</w:t>
            </w:r>
          </w:p>
        </w:tc>
        <w:tc>
          <w:tcPr>
            <w:tcW w:w="2520" w:type="dxa"/>
            <w:shd w:val="clear" w:color="auto" w:fill="auto"/>
            <w:tcMar>
              <w:top w:w="100" w:type="dxa"/>
              <w:left w:w="100" w:type="dxa"/>
              <w:bottom w:w="100" w:type="dxa"/>
              <w:right w:w="100" w:type="dxa"/>
            </w:tcMar>
          </w:tcPr>
          <w:p w14:paraId="5596D699" w14:textId="77777777" w:rsidR="00260A0D" w:rsidRDefault="00DD7A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154.025</w:t>
            </w:r>
          </w:p>
        </w:tc>
      </w:tr>
    </w:tbl>
    <w:p w14:paraId="02375936" w14:textId="77777777" w:rsidR="00260A0D" w:rsidRDefault="00260A0D">
      <w:pPr>
        <w:spacing w:line="480" w:lineRule="auto"/>
        <w:rPr>
          <w:rFonts w:ascii="Times New Roman" w:eastAsia="Times New Roman" w:hAnsi="Times New Roman" w:cs="Times New Roman"/>
          <w:b/>
          <w:sz w:val="24"/>
          <w:szCs w:val="24"/>
        </w:rPr>
      </w:pPr>
    </w:p>
    <w:p w14:paraId="20660BCA" w14:textId="77777777" w:rsidR="00260A0D" w:rsidRDefault="00260A0D">
      <w:pPr>
        <w:spacing w:line="480" w:lineRule="auto"/>
        <w:rPr>
          <w:rFonts w:ascii="Times New Roman" w:eastAsia="Times New Roman" w:hAnsi="Times New Roman" w:cs="Times New Roman"/>
          <w:sz w:val="24"/>
          <w:szCs w:val="24"/>
        </w:rPr>
      </w:pPr>
    </w:p>
    <w:p w14:paraId="05DF0D72" w14:textId="77777777" w:rsidR="00260A0D" w:rsidRDefault="00260A0D">
      <w:pPr>
        <w:spacing w:line="480" w:lineRule="auto"/>
        <w:rPr>
          <w:rFonts w:ascii="Times New Roman" w:eastAsia="Times New Roman" w:hAnsi="Times New Roman" w:cs="Times New Roman"/>
          <w:b/>
          <w:sz w:val="24"/>
          <w:szCs w:val="24"/>
        </w:rPr>
      </w:pPr>
    </w:p>
    <w:p w14:paraId="5913765A" w14:textId="77777777" w:rsidR="00260A0D" w:rsidRDefault="00DD7A64">
      <w:pPr>
        <w:spacing w:line="48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sz w:val="24"/>
          <w:szCs w:val="24"/>
        </w:rPr>
        <w:lastRenderedPageBreak/>
        <w:drawing>
          <wp:inline distT="114300" distB="114300" distL="114300" distR="114300" wp14:anchorId="20AB9171" wp14:editId="70F769C0">
            <wp:extent cx="3436790" cy="3166914"/>
            <wp:effectExtent l="0" t="0" r="0" b="0"/>
            <wp:docPr id="2" name="image3.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histogram&#10;&#10;Description automatically generated"/>
                    <pic:cNvPicPr preferRelativeResize="0"/>
                  </pic:nvPicPr>
                  <pic:blipFill>
                    <a:blip r:embed="rId14"/>
                    <a:srcRect/>
                    <a:stretch>
                      <a:fillRect/>
                    </a:stretch>
                  </pic:blipFill>
                  <pic:spPr>
                    <a:xfrm>
                      <a:off x="0" y="0"/>
                      <a:ext cx="3436790" cy="3166914"/>
                    </a:xfrm>
                    <a:prstGeom prst="rect">
                      <a:avLst/>
                    </a:prstGeom>
                    <a:ln/>
                  </pic:spPr>
                </pic:pic>
              </a:graphicData>
            </a:graphic>
          </wp:inline>
        </w:drawing>
      </w:r>
    </w:p>
    <w:p w14:paraId="5AB02D6A"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5.</w:t>
      </w:r>
      <w:r>
        <w:rPr>
          <w:rFonts w:ascii="Times New Roman" w:eastAsia="Times New Roman" w:hAnsi="Times New Roman" w:cs="Times New Roman"/>
          <w:sz w:val="24"/>
          <w:szCs w:val="24"/>
        </w:rPr>
        <w:t xml:space="preserve"> Quenching effect of FBS on polyphenolic activity. The “Control” sample was prepared by mixing 10 μL of 1X PBS and 20 μL of FBS followed by adding it to 10 μL of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PFU/mL TV. The “Quenched GSE” sample was prepared by quenching 10 μL of 1694 μg/mL total polyphenols by 20 μL of FBS. Then, 10 μL of 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PFU/mL TV was added to the quenched GSE solution (i.e., the volume ratio of TV, GSE, and FBS was 1:1:2). The y-axis indicates TV infectivity determined by the plaque assay. Mann-Whitney test determined the infectivities of “Control” and “Quenched GSE” samples were not significantly different (p&gt;0.05). This result means that FBS can quench the antiviral activity of 847 μg/mL total polyphenols in a volume ratio of 1:1, the highest total polyphenol concentration in this research.  </w:t>
      </w:r>
    </w:p>
    <w:p w14:paraId="33CB29BA" w14:textId="77777777" w:rsidR="00260A0D" w:rsidRDefault="00260A0D">
      <w:pPr>
        <w:spacing w:line="480" w:lineRule="auto"/>
        <w:rPr>
          <w:rFonts w:ascii="Times New Roman" w:eastAsia="Times New Roman" w:hAnsi="Times New Roman" w:cs="Times New Roman"/>
          <w:b/>
          <w:sz w:val="24"/>
          <w:szCs w:val="24"/>
        </w:rPr>
      </w:pPr>
    </w:p>
    <w:p w14:paraId="140CA5D5" w14:textId="77777777" w:rsidR="00260A0D" w:rsidRDefault="00260A0D">
      <w:pPr>
        <w:spacing w:line="480" w:lineRule="auto"/>
        <w:rPr>
          <w:rFonts w:ascii="Times New Roman" w:eastAsia="Times New Roman" w:hAnsi="Times New Roman" w:cs="Times New Roman"/>
          <w:b/>
          <w:sz w:val="24"/>
          <w:szCs w:val="24"/>
        </w:rPr>
      </w:pPr>
    </w:p>
    <w:p w14:paraId="44428703" w14:textId="77777777" w:rsidR="00260A0D" w:rsidRDefault="00DD7A6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EA0D273" wp14:editId="5AB66E9A">
            <wp:extent cx="3186113" cy="2945058"/>
            <wp:effectExtent l="0" t="0" r="0" b="0"/>
            <wp:docPr id="1"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scatter chart&#10;&#10;Description automatically generated"/>
                    <pic:cNvPicPr preferRelativeResize="0"/>
                  </pic:nvPicPr>
                  <pic:blipFill>
                    <a:blip r:embed="rId15"/>
                    <a:srcRect/>
                    <a:stretch>
                      <a:fillRect/>
                    </a:stretch>
                  </pic:blipFill>
                  <pic:spPr>
                    <a:xfrm>
                      <a:off x="0" y="0"/>
                      <a:ext cx="3186113" cy="2945058"/>
                    </a:xfrm>
                    <a:prstGeom prst="rect">
                      <a:avLst/>
                    </a:prstGeom>
                    <a:ln/>
                  </pic:spPr>
                </pic:pic>
              </a:graphicData>
            </a:graphic>
          </wp:inline>
        </w:drawing>
      </w:r>
    </w:p>
    <w:p w14:paraId="4742657E"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Fig. 6.</w:t>
      </w:r>
      <w:r>
        <w:rPr>
          <w:rFonts w:ascii="Times New Roman" w:eastAsia="Times New Roman" w:hAnsi="Times New Roman" w:cs="Times New Roman"/>
          <w:sz w:val="24"/>
          <w:szCs w:val="24"/>
        </w:rPr>
        <w:t xml:space="preserve"> A calibration curve for the aggregation assay. The x-axis indicates infectivity of the initial TV and the y-axis shows the gene copy number determined by the one-step RT-qPCR assay. The reliable range of the aggregation assay was determined between 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and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PFU/mL.   </w:t>
      </w:r>
    </w:p>
    <w:p w14:paraId="593C5FB9" w14:textId="77777777" w:rsidR="00260A0D" w:rsidRDefault="00260A0D">
      <w:pPr>
        <w:spacing w:line="480" w:lineRule="auto"/>
        <w:rPr>
          <w:rFonts w:ascii="Times New Roman" w:eastAsia="Times New Roman" w:hAnsi="Times New Roman" w:cs="Times New Roman"/>
          <w:sz w:val="24"/>
          <w:szCs w:val="24"/>
        </w:rPr>
      </w:pPr>
    </w:p>
    <w:p w14:paraId="1BA661E3" w14:textId="77777777" w:rsidR="00C87D97" w:rsidRDefault="00C87D97">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14:paraId="7C312AF3" w14:textId="0CF7DB57" w:rsidR="00260A0D" w:rsidRDefault="00DD7A64">
      <w:pPr>
        <w:spacing w:line="48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114300" distB="114300" distL="114300" distR="114300" wp14:anchorId="23BDE835" wp14:editId="47820010">
            <wp:extent cx="3881438" cy="316108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881438" cy="3161083"/>
                    </a:xfrm>
                    <a:prstGeom prst="rect">
                      <a:avLst/>
                    </a:prstGeom>
                    <a:ln/>
                  </pic:spPr>
                </pic:pic>
              </a:graphicData>
            </a:graphic>
          </wp:inline>
        </w:drawing>
      </w:r>
    </w:p>
    <w:p w14:paraId="054997F4"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 7. </w:t>
      </w:r>
      <w:r>
        <w:rPr>
          <w:rFonts w:ascii="Times New Roman" w:eastAsia="Times New Roman" w:hAnsi="Times New Roman" w:cs="Times New Roman"/>
          <w:sz w:val="24"/>
          <w:szCs w:val="24"/>
        </w:rPr>
        <w:t>Inhibition effect of polyphenols on the extracted genomic RNA. The y-axis represents the RT-qPCR assay results and the x-axis indicates sample preparation methods: the 1X means that 25 μL of 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PFU/mL TV was mixed with 25 μL of 1694 μg/mL GSE and 50 μL FBS was added to the mixture. The 10-fold and 100-fold indicate 10- and 100-fold dilution of the 1X solution, respectively. Control meant 25 μL PBS replaced the 25 μL GSE in the 1X solution (i.e., TV:PBS:FBS=25:25:50 uL). Mann-Whitney test analyzed the statistical differences between the two groups. Both 1X and 10X showed significant decreases in copy number/mL while 100-fold dilution did not present a significant difference compared to the control, indicating the 100-fold dilution was required for the RT qPCR assay to prevent the extracted RNA from being inhibited by GSE.</w:t>
      </w:r>
      <w:r>
        <w:rPr>
          <w:rFonts w:ascii="Times New Roman" w:eastAsia="Times New Roman" w:hAnsi="Times New Roman" w:cs="Times New Roman"/>
          <w:b/>
          <w:sz w:val="24"/>
          <w:szCs w:val="24"/>
        </w:rPr>
        <w:t xml:space="preserve"> </w:t>
      </w:r>
    </w:p>
    <w:p w14:paraId="73571FDD" w14:textId="77777777" w:rsidR="00260A0D" w:rsidRDefault="00260A0D">
      <w:pPr>
        <w:spacing w:line="480" w:lineRule="auto"/>
        <w:rPr>
          <w:rFonts w:ascii="Times New Roman" w:eastAsia="Times New Roman" w:hAnsi="Times New Roman" w:cs="Times New Roman"/>
          <w:sz w:val="24"/>
          <w:szCs w:val="24"/>
        </w:rPr>
      </w:pPr>
    </w:p>
    <w:p w14:paraId="5847288B" w14:textId="77777777" w:rsidR="00C87D97" w:rsidRDefault="00C87D9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06E5246" w14:textId="59060DAA" w:rsidR="00260A0D" w:rsidRDefault="00DD7A6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Table 3.</w:t>
      </w:r>
      <w:r>
        <w:rPr>
          <w:rFonts w:ascii="Times New Roman" w:eastAsia="Times New Roman" w:hAnsi="Times New Roman" w:cs="Times New Roman"/>
          <w:sz w:val="24"/>
          <w:szCs w:val="24"/>
        </w:rPr>
        <w:t xml:space="preserve"> Information for RT-qPCR conditions and primers </w:t>
      </w:r>
    </w:p>
    <w:tbl>
      <w:tblPr>
        <w:tblStyle w:val="a1"/>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710"/>
        <w:gridCol w:w="1620"/>
        <w:gridCol w:w="1140"/>
        <w:gridCol w:w="1125"/>
        <w:gridCol w:w="2735"/>
      </w:tblGrid>
      <w:tr w:rsidR="00260A0D" w14:paraId="298BE32E" w14:textId="77777777">
        <w:tc>
          <w:tcPr>
            <w:tcW w:w="1020" w:type="dxa"/>
            <w:shd w:val="clear" w:color="auto" w:fill="D9D9D9"/>
            <w:tcMar>
              <w:top w:w="100" w:type="dxa"/>
              <w:left w:w="100" w:type="dxa"/>
              <w:bottom w:w="100" w:type="dxa"/>
              <w:right w:w="100" w:type="dxa"/>
            </w:tcMar>
          </w:tcPr>
          <w:p w14:paraId="53574456"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process</w:t>
            </w:r>
          </w:p>
        </w:tc>
        <w:tc>
          <w:tcPr>
            <w:tcW w:w="1710" w:type="dxa"/>
            <w:shd w:val="clear" w:color="auto" w:fill="D9D9D9"/>
            <w:tcMar>
              <w:top w:w="100" w:type="dxa"/>
              <w:left w:w="100" w:type="dxa"/>
              <w:bottom w:w="100" w:type="dxa"/>
              <w:right w:w="100" w:type="dxa"/>
            </w:tcMar>
          </w:tcPr>
          <w:p w14:paraId="55E5694A"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Primer name</w:t>
            </w:r>
          </w:p>
        </w:tc>
        <w:tc>
          <w:tcPr>
            <w:tcW w:w="1620" w:type="dxa"/>
            <w:shd w:val="clear" w:color="auto" w:fill="D9D9D9"/>
            <w:tcMar>
              <w:top w:w="100" w:type="dxa"/>
              <w:left w:w="100" w:type="dxa"/>
              <w:bottom w:w="100" w:type="dxa"/>
              <w:right w:w="100" w:type="dxa"/>
            </w:tcMar>
          </w:tcPr>
          <w:p w14:paraId="5D0511C0"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Sequence</w:t>
            </w:r>
            <w:r>
              <w:rPr>
                <w:rFonts w:ascii="Times New Roman" w:eastAsia="Times New Roman" w:hAnsi="Times New Roman" w:cs="Times New Roman"/>
                <w:b/>
                <w:sz w:val="18"/>
                <w:szCs w:val="18"/>
                <w:vertAlign w:val="superscript"/>
              </w:rPr>
              <w:t xml:space="preserve">1) </w:t>
            </w:r>
            <w:r>
              <w:rPr>
                <w:rFonts w:ascii="Times New Roman" w:eastAsia="Times New Roman" w:hAnsi="Times New Roman" w:cs="Times New Roman"/>
                <w:b/>
                <w:sz w:val="18"/>
                <w:szCs w:val="18"/>
              </w:rPr>
              <w:t>(5’-3’)</w:t>
            </w:r>
          </w:p>
        </w:tc>
        <w:tc>
          <w:tcPr>
            <w:tcW w:w="1140" w:type="dxa"/>
            <w:shd w:val="clear" w:color="auto" w:fill="D9D9D9"/>
            <w:tcMar>
              <w:top w:w="100" w:type="dxa"/>
              <w:left w:w="100" w:type="dxa"/>
              <w:bottom w:w="100" w:type="dxa"/>
              <w:right w:w="100" w:type="dxa"/>
            </w:tcMar>
          </w:tcPr>
          <w:p w14:paraId="2686D2BC"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Position in the genome</w:t>
            </w:r>
          </w:p>
        </w:tc>
        <w:tc>
          <w:tcPr>
            <w:tcW w:w="1125" w:type="dxa"/>
            <w:shd w:val="clear" w:color="auto" w:fill="D9D9D9"/>
            <w:tcMar>
              <w:top w:w="100" w:type="dxa"/>
              <w:left w:w="100" w:type="dxa"/>
              <w:bottom w:w="100" w:type="dxa"/>
              <w:right w:w="100" w:type="dxa"/>
            </w:tcMar>
          </w:tcPr>
          <w:p w14:paraId="1D4F43ED"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Amplicon length (bp)</w:t>
            </w:r>
          </w:p>
        </w:tc>
        <w:tc>
          <w:tcPr>
            <w:tcW w:w="2735" w:type="dxa"/>
            <w:shd w:val="clear" w:color="auto" w:fill="D9D9D9"/>
            <w:tcMar>
              <w:top w:w="100" w:type="dxa"/>
              <w:left w:w="100" w:type="dxa"/>
              <w:bottom w:w="100" w:type="dxa"/>
              <w:right w:w="100" w:type="dxa"/>
            </w:tcMar>
          </w:tcPr>
          <w:p w14:paraId="04ED9579" w14:textId="77777777" w:rsidR="00260A0D" w:rsidRDefault="00DD7A64">
            <w:pPr>
              <w:widowControl w:val="0"/>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Reaction conditions</w:t>
            </w:r>
          </w:p>
        </w:tc>
      </w:tr>
      <w:tr w:rsidR="00260A0D" w14:paraId="1962F372" w14:textId="77777777">
        <w:trPr>
          <w:trHeight w:val="400"/>
        </w:trPr>
        <w:tc>
          <w:tcPr>
            <w:tcW w:w="1020" w:type="dxa"/>
            <w:vMerge w:val="restart"/>
            <w:shd w:val="clear" w:color="auto" w:fill="auto"/>
            <w:tcMar>
              <w:top w:w="100" w:type="dxa"/>
              <w:left w:w="100" w:type="dxa"/>
              <w:bottom w:w="100" w:type="dxa"/>
              <w:right w:w="100" w:type="dxa"/>
            </w:tcMar>
          </w:tcPr>
          <w:p w14:paraId="7697133B"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RT-qPCR</w:t>
            </w:r>
          </w:p>
        </w:tc>
        <w:tc>
          <w:tcPr>
            <w:tcW w:w="1710" w:type="dxa"/>
            <w:shd w:val="clear" w:color="auto" w:fill="auto"/>
            <w:tcMar>
              <w:top w:w="100" w:type="dxa"/>
              <w:left w:w="100" w:type="dxa"/>
              <w:bottom w:w="100" w:type="dxa"/>
              <w:right w:w="100" w:type="dxa"/>
            </w:tcMar>
          </w:tcPr>
          <w:p w14:paraId="1CC9AF21"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TV-NSP1-qPCR-F</w:t>
            </w:r>
          </w:p>
        </w:tc>
        <w:tc>
          <w:tcPr>
            <w:tcW w:w="1620" w:type="dxa"/>
            <w:shd w:val="clear" w:color="auto" w:fill="auto"/>
            <w:tcMar>
              <w:top w:w="100" w:type="dxa"/>
              <w:left w:w="100" w:type="dxa"/>
              <w:bottom w:w="100" w:type="dxa"/>
              <w:right w:w="100" w:type="dxa"/>
            </w:tcMar>
          </w:tcPr>
          <w:p w14:paraId="00503FA9"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GTGCGCATCCTTGAGACAAT</w:t>
            </w:r>
          </w:p>
        </w:tc>
        <w:tc>
          <w:tcPr>
            <w:tcW w:w="1140" w:type="dxa"/>
            <w:shd w:val="clear" w:color="auto" w:fill="auto"/>
            <w:tcMar>
              <w:top w:w="100" w:type="dxa"/>
              <w:left w:w="100" w:type="dxa"/>
              <w:bottom w:w="100" w:type="dxa"/>
              <w:right w:w="100" w:type="dxa"/>
            </w:tcMar>
          </w:tcPr>
          <w:p w14:paraId="21A6F27D"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879-899 </w:t>
            </w:r>
          </w:p>
        </w:tc>
        <w:tc>
          <w:tcPr>
            <w:tcW w:w="1125" w:type="dxa"/>
            <w:vMerge w:val="restart"/>
            <w:shd w:val="clear" w:color="auto" w:fill="auto"/>
            <w:tcMar>
              <w:top w:w="100" w:type="dxa"/>
              <w:left w:w="100" w:type="dxa"/>
              <w:bottom w:w="100" w:type="dxa"/>
              <w:right w:w="100" w:type="dxa"/>
            </w:tcMar>
          </w:tcPr>
          <w:p w14:paraId="1CB172D1"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132</w:t>
            </w:r>
            <w:r>
              <w:rPr>
                <w:rFonts w:ascii="Times New Roman" w:eastAsia="Times New Roman" w:hAnsi="Times New Roman" w:cs="Times New Roman"/>
                <w:sz w:val="18"/>
                <w:szCs w:val="18"/>
                <w:vertAlign w:val="superscript"/>
              </w:rPr>
              <w:t>2)</w:t>
            </w:r>
          </w:p>
        </w:tc>
        <w:tc>
          <w:tcPr>
            <w:tcW w:w="2735" w:type="dxa"/>
            <w:vMerge w:val="restart"/>
            <w:shd w:val="clear" w:color="auto" w:fill="auto"/>
            <w:tcMar>
              <w:top w:w="100" w:type="dxa"/>
              <w:left w:w="100" w:type="dxa"/>
              <w:bottom w:w="100" w:type="dxa"/>
              <w:right w:w="100" w:type="dxa"/>
            </w:tcMar>
          </w:tcPr>
          <w:p w14:paraId="5E8E6FC6"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50°C for 10 min and 95°C for 1 min, followed by 40 cycles of (95°C for 10 s, 60°C for 30 sec)</w:t>
            </w:r>
          </w:p>
        </w:tc>
      </w:tr>
      <w:tr w:rsidR="00260A0D" w14:paraId="413D3944" w14:textId="77777777">
        <w:trPr>
          <w:trHeight w:val="400"/>
        </w:trPr>
        <w:tc>
          <w:tcPr>
            <w:tcW w:w="1020" w:type="dxa"/>
            <w:vMerge/>
            <w:shd w:val="clear" w:color="auto" w:fill="auto"/>
            <w:tcMar>
              <w:top w:w="100" w:type="dxa"/>
              <w:left w:w="100" w:type="dxa"/>
              <w:bottom w:w="100" w:type="dxa"/>
              <w:right w:w="100" w:type="dxa"/>
            </w:tcMar>
          </w:tcPr>
          <w:p w14:paraId="04222134" w14:textId="77777777" w:rsidR="00260A0D" w:rsidRDefault="00260A0D">
            <w:pPr>
              <w:widowControl w:val="0"/>
              <w:pBdr>
                <w:top w:val="nil"/>
                <w:left w:val="nil"/>
                <w:bottom w:val="nil"/>
                <w:right w:val="nil"/>
                <w:between w:val="nil"/>
              </w:pBdr>
              <w:rPr>
                <w:rFonts w:ascii="Times New Roman" w:eastAsia="Times New Roman" w:hAnsi="Times New Roman" w:cs="Times New Roman"/>
                <w:sz w:val="18"/>
                <w:szCs w:val="18"/>
              </w:rPr>
            </w:pPr>
          </w:p>
        </w:tc>
        <w:tc>
          <w:tcPr>
            <w:tcW w:w="1710" w:type="dxa"/>
            <w:shd w:val="clear" w:color="auto" w:fill="auto"/>
            <w:tcMar>
              <w:top w:w="100" w:type="dxa"/>
              <w:left w:w="100" w:type="dxa"/>
              <w:bottom w:w="100" w:type="dxa"/>
              <w:right w:w="100" w:type="dxa"/>
            </w:tcMar>
          </w:tcPr>
          <w:p w14:paraId="2C6071A1"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TV-NSP1-qPCR-R</w:t>
            </w:r>
          </w:p>
        </w:tc>
        <w:tc>
          <w:tcPr>
            <w:tcW w:w="1620" w:type="dxa"/>
            <w:shd w:val="clear" w:color="auto" w:fill="auto"/>
            <w:tcMar>
              <w:top w:w="100" w:type="dxa"/>
              <w:left w:w="100" w:type="dxa"/>
              <w:bottom w:w="100" w:type="dxa"/>
              <w:right w:w="100" w:type="dxa"/>
            </w:tcMar>
          </w:tcPr>
          <w:p w14:paraId="0AF3E7A3"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TTGGAGCCGGGTAGAAACAT</w:t>
            </w:r>
          </w:p>
        </w:tc>
        <w:tc>
          <w:tcPr>
            <w:tcW w:w="1140" w:type="dxa"/>
            <w:shd w:val="clear" w:color="auto" w:fill="auto"/>
            <w:tcMar>
              <w:top w:w="100" w:type="dxa"/>
              <w:left w:w="100" w:type="dxa"/>
              <w:bottom w:w="100" w:type="dxa"/>
              <w:right w:w="100" w:type="dxa"/>
            </w:tcMar>
          </w:tcPr>
          <w:p w14:paraId="4A0A09E4" w14:textId="77777777" w:rsidR="00260A0D" w:rsidRDefault="00DD7A64">
            <w:pPr>
              <w:widowControl w:val="0"/>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991-1011</w:t>
            </w:r>
          </w:p>
        </w:tc>
        <w:tc>
          <w:tcPr>
            <w:tcW w:w="1125" w:type="dxa"/>
            <w:vMerge/>
            <w:shd w:val="clear" w:color="auto" w:fill="auto"/>
            <w:tcMar>
              <w:top w:w="100" w:type="dxa"/>
              <w:left w:w="100" w:type="dxa"/>
              <w:bottom w:w="100" w:type="dxa"/>
              <w:right w:w="100" w:type="dxa"/>
            </w:tcMar>
          </w:tcPr>
          <w:p w14:paraId="7E2A5A13" w14:textId="77777777" w:rsidR="00260A0D" w:rsidRDefault="00260A0D">
            <w:pPr>
              <w:widowControl w:val="0"/>
              <w:pBdr>
                <w:top w:val="nil"/>
                <w:left w:val="nil"/>
                <w:bottom w:val="nil"/>
                <w:right w:val="nil"/>
                <w:between w:val="nil"/>
              </w:pBdr>
              <w:rPr>
                <w:rFonts w:ascii="Times New Roman" w:eastAsia="Times New Roman" w:hAnsi="Times New Roman" w:cs="Times New Roman"/>
                <w:sz w:val="18"/>
                <w:szCs w:val="18"/>
              </w:rPr>
            </w:pPr>
          </w:p>
        </w:tc>
        <w:tc>
          <w:tcPr>
            <w:tcW w:w="2735" w:type="dxa"/>
            <w:vMerge/>
            <w:shd w:val="clear" w:color="auto" w:fill="auto"/>
            <w:tcMar>
              <w:top w:w="100" w:type="dxa"/>
              <w:left w:w="100" w:type="dxa"/>
              <w:bottom w:w="100" w:type="dxa"/>
              <w:right w:w="100" w:type="dxa"/>
            </w:tcMar>
          </w:tcPr>
          <w:p w14:paraId="39CE7A79" w14:textId="77777777" w:rsidR="00260A0D" w:rsidRDefault="00260A0D">
            <w:pPr>
              <w:widowControl w:val="0"/>
              <w:pBdr>
                <w:top w:val="nil"/>
                <w:left w:val="nil"/>
                <w:bottom w:val="nil"/>
                <w:right w:val="nil"/>
                <w:between w:val="nil"/>
              </w:pBdr>
              <w:rPr>
                <w:rFonts w:ascii="Times New Roman" w:eastAsia="Times New Roman" w:hAnsi="Times New Roman" w:cs="Times New Roman"/>
                <w:sz w:val="18"/>
                <w:szCs w:val="18"/>
              </w:rPr>
            </w:pPr>
          </w:p>
        </w:tc>
      </w:tr>
    </w:tbl>
    <w:p w14:paraId="64CAC037" w14:textId="77777777" w:rsidR="00260A0D" w:rsidRDefault="00260A0D">
      <w:pPr>
        <w:ind w:left="720"/>
        <w:rPr>
          <w:rFonts w:ascii="Times New Roman" w:eastAsia="Times New Roman" w:hAnsi="Times New Roman" w:cs="Times New Roman"/>
          <w:sz w:val="20"/>
          <w:szCs w:val="20"/>
        </w:rPr>
      </w:pPr>
    </w:p>
    <w:p w14:paraId="513CE801" w14:textId="77777777" w:rsidR="00260A0D" w:rsidRDefault="00DD7A64">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Primer pair specificity was checked by the primer-blast tool (National Center of Biotechnology Information). Each pair of primers were blasted with Rhesus monkey (taxid:9544) which was the host organism. As a result, we confirmed that our primers did not target any sequences of the MA104 cells.</w:t>
      </w:r>
    </w:p>
    <w:p w14:paraId="289D4907" w14:textId="77777777" w:rsidR="00260A0D" w:rsidRDefault="00DD7A64">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The sequence of standard sample for the NSP gene of Tulane virus (Integrated DNA technologies, USA): </w:t>
      </w:r>
    </w:p>
    <w:p w14:paraId="35076324" w14:textId="77777777" w:rsidR="00260A0D" w:rsidRDefault="00DD7A64">
      <w:pPr>
        <w:ind w:left="720"/>
        <w:jc w:val="both"/>
        <w:rPr>
          <w:rFonts w:ascii="Times New Roman" w:eastAsia="Times New Roman" w:hAnsi="Times New Roman" w:cs="Times New Roman"/>
          <w:sz w:val="26"/>
          <w:szCs w:val="26"/>
        </w:rPr>
      </w:pPr>
      <w:r>
        <w:rPr>
          <w:rFonts w:ascii="Times New Roman" w:eastAsia="Times New Roman" w:hAnsi="Times New Roman" w:cs="Times New Roman"/>
        </w:rPr>
        <w:t xml:space="preserve">5’-AGAATTGGACCGAATTTGGCACACACTCAGAATTTGGTGTGCGCATCCTTGAGACAATAACAGGCACAATACCCCCTTGGAAACCTCACCAGGAATCAATATCTGAAGTTCTGGACGACCTCACACACGGTAAAGTCCAAACAGGTGATGATGTTTCTACCCGGCTCCAAAGGTTGAGCGACACTATCAAAGATCTGAGTGTCATGGCTTGTGATCCCTCTGCACCGCCCGAAGTTGCGC-3’ - (GenBank accession number: EU391643). </w:t>
      </w:r>
    </w:p>
    <w:p w14:paraId="77732E7F" w14:textId="77777777" w:rsidR="00260A0D" w:rsidRDefault="00DD7A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8CBB6D9" w14:textId="77777777" w:rsidR="00260A0D" w:rsidRDefault="00260A0D">
      <w:pPr>
        <w:spacing w:line="480" w:lineRule="auto"/>
        <w:ind w:firstLine="720"/>
        <w:jc w:val="both"/>
        <w:rPr>
          <w:rFonts w:ascii="Times New Roman" w:eastAsia="Times New Roman" w:hAnsi="Times New Roman" w:cs="Times New Roman"/>
          <w:b/>
          <w:sz w:val="24"/>
          <w:szCs w:val="24"/>
        </w:rPr>
      </w:pPr>
    </w:p>
    <w:p w14:paraId="5A326E49" w14:textId="77777777" w:rsidR="00260A0D" w:rsidRDefault="00260A0D">
      <w:pPr>
        <w:spacing w:line="480" w:lineRule="auto"/>
        <w:jc w:val="center"/>
        <w:rPr>
          <w:rFonts w:ascii="Times New Roman" w:eastAsia="Times New Roman" w:hAnsi="Times New Roman" w:cs="Times New Roman"/>
          <w:b/>
          <w:color w:val="FF0000"/>
          <w:sz w:val="24"/>
          <w:szCs w:val="24"/>
        </w:rPr>
      </w:pPr>
    </w:p>
    <w:p w14:paraId="555A86F2" w14:textId="77777777" w:rsidR="00C87D97" w:rsidRDefault="00C87D97">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5BBDBCFC" w14:textId="2025632D" w:rsidR="00260A0D" w:rsidRDefault="00DD7A64">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Supplementary Table 4.</w:t>
      </w:r>
      <w:r>
        <w:rPr>
          <w:rFonts w:ascii="Times New Roman" w:eastAsia="Times New Roman" w:hAnsi="Times New Roman" w:cs="Times New Roman"/>
          <w:color w:val="000000"/>
          <w:sz w:val="24"/>
          <w:szCs w:val="24"/>
        </w:rPr>
        <w:t xml:space="preserve"> Checklist for MIQE and location of relevant information in this study  </w:t>
      </w:r>
    </w:p>
    <w:tbl>
      <w:tblPr>
        <w:tblStyle w:val="a2"/>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485"/>
      </w:tblGrid>
      <w:tr w:rsidR="00260A0D" w14:paraId="2693C446" w14:textId="77777777">
        <w:trPr>
          <w:trHeight w:val="400"/>
        </w:trPr>
        <w:tc>
          <w:tcPr>
            <w:tcW w:w="4905"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vAlign w:val="center"/>
          </w:tcPr>
          <w:p w14:paraId="190800EB" w14:textId="77777777" w:rsidR="00260A0D" w:rsidRDefault="00DD7A64">
            <w:pPr>
              <w:widowControl w:val="0"/>
              <w:jc w:val="center"/>
              <w:rPr>
                <w:rFonts w:ascii="Times New Roman" w:eastAsia="Times New Roman" w:hAnsi="Times New Roman" w:cs="Times New Roman"/>
                <w:b/>
              </w:rPr>
            </w:pPr>
            <w:r>
              <w:rPr>
                <w:rFonts w:ascii="Times New Roman" w:eastAsia="Times New Roman" w:hAnsi="Times New Roman" w:cs="Times New Roman"/>
                <w:b/>
              </w:rPr>
              <w:t>Item to check</w:t>
            </w:r>
          </w:p>
        </w:tc>
        <w:tc>
          <w:tcPr>
            <w:tcW w:w="4485" w:type="dxa"/>
            <w:tcBorders>
              <w:top w:val="single" w:sz="8" w:space="0" w:color="000000"/>
              <w:left w:val="single" w:sz="8" w:space="0" w:color="000000"/>
              <w:bottom w:val="single" w:sz="8" w:space="0" w:color="000000"/>
              <w:right w:val="single" w:sz="8" w:space="0" w:color="000000"/>
            </w:tcBorders>
            <w:shd w:val="clear" w:color="auto" w:fill="D9D9D9"/>
            <w:tcMar>
              <w:top w:w="20" w:type="dxa"/>
              <w:left w:w="20" w:type="dxa"/>
              <w:bottom w:w="100" w:type="dxa"/>
              <w:right w:w="20" w:type="dxa"/>
            </w:tcMar>
            <w:vAlign w:val="center"/>
          </w:tcPr>
          <w:p w14:paraId="6317E407" w14:textId="77777777" w:rsidR="00260A0D" w:rsidRDefault="00DD7A64">
            <w:pPr>
              <w:widowControl w:val="0"/>
              <w:jc w:val="center"/>
              <w:rPr>
                <w:rFonts w:ascii="Times New Roman" w:eastAsia="Times New Roman" w:hAnsi="Times New Roman" w:cs="Times New Roman"/>
                <w:b/>
              </w:rPr>
            </w:pPr>
            <w:r>
              <w:rPr>
                <w:rFonts w:ascii="Times New Roman" w:eastAsia="Times New Roman" w:hAnsi="Times New Roman" w:cs="Times New Roman"/>
                <w:b/>
              </w:rPr>
              <w:t>Location</w:t>
            </w:r>
          </w:p>
        </w:tc>
      </w:tr>
      <w:tr w:rsidR="00260A0D" w14:paraId="05D8D764"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0DDD8235"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 Experimental design</w:t>
            </w:r>
          </w:p>
        </w:tc>
      </w:tr>
      <w:tr w:rsidR="00260A0D" w14:paraId="7655F974"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ACBCA4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 Definition of experimental and control groups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71BF36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13803951"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B4FD01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 Number within each group</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FEE495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 Each figure</w:t>
            </w:r>
          </w:p>
        </w:tc>
      </w:tr>
      <w:tr w:rsidR="00260A0D" w14:paraId="26CE8B28"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3923A06F"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 Sample </w:t>
            </w:r>
          </w:p>
        </w:tc>
      </w:tr>
      <w:tr w:rsidR="00260A0D" w14:paraId="4429FA64"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CBD4649"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 Description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43E46A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B4E0549"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977BA3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 Volume/mass of sample processed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1300C21"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31213544"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B2D9D4F"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 Processing procedure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FF8A6B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71DD8EA2"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20549B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 Sample storage conditions and duration</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FEAE84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67DA9744"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5BB5C886"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3. Nucleic acid extraction </w:t>
            </w:r>
          </w:p>
        </w:tc>
      </w:tr>
      <w:tr w:rsidR="00260A0D" w14:paraId="0FA4363B"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7E9FCB2"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 Procedure and/or instrumentation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6900F3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4ED208F"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9C11E1F"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 Name of kit and details of any modifications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0AD56F0"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0B58B814"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806F30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 Contamination assessment (DNA or RNA)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DA62EA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2F3016FB"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659A90F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 Nucleic acid quantification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5B801F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6F9DA023"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2EE622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 Instrument and method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E37D970"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BC220E6" w14:textId="77777777">
        <w:trPr>
          <w:trHeight w:val="46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D1541B3" w14:textId="77777777" w:rsidR="00260A0D" w:rsidRDefault="00DD7A64">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 Inhibition testing (C</w:t>
            </w:r>
            <w:r>
              <w:rPr>
                <w:rFonts w:ascii="Times New Roman" w:eastAsia="Times New Roman" w:hAnsi="Times New Roman" w:cs="Times New Roman"/>
                <w:color w:val="000000"/>
                <w:sz w:val="20"/>
                <w:szCs w:val="20"/>
                <w:vertAlign w:val="subscript"/>
              </w:rPr>
              <w:t>q</w:t>
            </w:r>
            <w:r>
              <w:rPr>
                <w:rFonts w:ascii="Times New Roman" w:eastAsia="Times New Roman" w:hAnsi="Times New Roman" w:cs="Times New Roman"/>
                <w:color w:val="000000"/>
                <w:sz w:val="20"/>
                <w:szCs w:val="20"/>
              </w:rPr>
              <w:t xml:space="preserve"> dilutions, spike, or other)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386218F" w14:textId="77777777" w:rsidR="00260A0D" w:rsidRDefault="00DD7A64">
            <w:pPr>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Supplementary Fig. </w:t>
            </w:r>
            <w:r>
              <w:rPr>
                <w:rFonts w:ascii="Times New Roman" w:eastAsia="Times New Roman" w:hAnsi="Times New Roman" w:cs="Times New Roman"/>
                <w:sz w:val="20"/>
                <w:szCs w:val="20"/>
              </w:rPr>
              <w:t>7</w:t>
            </w:r>
          </w:p>
        </w:tc>
      </w:tr>
      <w:tr w:rsidR="00260A0D" w14:paraId="2D1B8FD9"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7174E900"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4. Reverse transcription</w:t>
            </w:r>
          </w:p>
        </w:tc>
      </w:tr>
      <w:tr w:rsidR="00260A0D" w14:paraId="1B3B9F9C"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56A529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 Complete reaction conditions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AEE839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Materials and Methods; </w:t>
            </w:r>
            <w:r>
              <w:rPr>
                <w:rFonts w:ascii="Times New Roman" w:eastAsia="Times New Roman" w:hAnsi="Times New Roman" w:cs="Times New Roman"/>
                <w:color w:val="000000"/>
                <w:sz w:val="20"/>
                <w:szCs w:val="20"/>
              </w:rPr>
              <w:t>Supplementary Table 3</w:t>
            </w:r>
          </w:p>
        </w:tc>
      </w:tr>
      <w:tr w:rsidR="00260A0D" w14:paraId="5877041D"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966F66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 Amount of RNA and reaction volume</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E07488C"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77F8072B"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8E5C3E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 Reverse transcriptase and concentration</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1990F9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02CE34C4"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137EB5F"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 Temperature and time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94D3A9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168A2229" w14:textId="77777777">
        <w:trPr>
          <w:trHeight w:val="40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BCAE3B9"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 Manufacturer of reagents and catalog numbers</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18F039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886B8B3"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4C4D3212"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5. qPCR target information </w:t>
            </w:r>
          </w:p>
        </w:tc>
      </w:tr>
      <w:tr w:rsidR="00260A0D" w14:paraId="437B49C8"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36894E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 Gene symbol</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E252EA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2911EC95"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BCA4F5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 Sequence accession number</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B5222E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27040CFB"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FADE2D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 Location of amplicon</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3CE48D0D"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59CCDB7C"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172CA2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 Amplicon length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BC32E1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7C92E299"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30D12C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silico specificity screen (BLAST, and so 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4796BB0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2740A20C"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2A0BF19B"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6. qPCR oligonucleotides </w:t>
            </w:r>
          </w:p>
        </w:tc>
      </w:tr>
      <w:tr w:rsidR="00260A0D" w14:paraId="5A3BD3D9"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5957EEC"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 Primer sequences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0333186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50876F4F"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43B210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 Manufacturer of oligonucleotides</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tcPr>
          <w:p w14:paraId="2B6EB0F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Supplementary Table 3</w:t>
            </w:r>
          </w:p>
        </w:tc>
      </w:tr>
      <w:tr w:rsidR="00260A0D" w14:paraId="2723640E"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76C60E66"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7. qPCR protocol </w:t>
            </w:r>
          </w:p>
        </w:tc>
      </w:tr>
      <w:tr w:rsidR="00260A0D" w14:paraId="190A1EC2"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3C2307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 Complete reaction conditions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BC96A92"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Materials and Methods; </w:t>
            </w:r>
            <w:r>
              <w:rPr>
                <w:rFonts w:ascii="Times New Roman" w:eastAsia="Times New Roman" w:hAnsi="Times New Roman" w:cs="Times New Roman"/>
                <w:color w:val="000000"/>
                <w:sz w:val="20"/>
                <w:szCs w:val="20"/>
              </w:rPr>
              <w:t>Supplementary Table 3</w:t>
            </w:r>
          </w:p>
        </w:tc>
      </w:tr>
      <w:tr w:rsidR="00260A0D" w14:paraId="5E8D427B"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44AC96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 Reaction volume and amount of DNA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41D2E7D"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15990C21"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C3C570D"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 Primer (probe) concentrations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1E47CE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0C878F6D"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B730FC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 Polymerase identity and concentration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8310B3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6159F4E" w14:textId="77777777">
        <w:trPr>
          <w:trHeight w:val="43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79611A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 Buffer/kit identity and manufacturer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330115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63498BA6"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68D3A5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 Manufacturer of plates/tubes and catalog number</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305097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582BDA26"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77F429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 Complete thermocycling parameters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82A41D2"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Materials and Methods; </w:t>
            </w:r>
            <w:r>
              <w:rPr>
                <w:rFonts w:ascii="Times New Roman" w:eastAsia="Times New Roman" w:hAnsi="Times New Roman" w:cs="Times New Roman"/>
                <w:color w:val="000000"/>
                <w:sz w:val="20"/>
                <w:szCs w:val="20"/>
              </w:rPr>
              <w:t>Supplementary Table 3</w:t>
            </w:r>
          </w:p>
        </w:tc>
      </w:tr>
      <w:tr w:rsidR="00260A0D" w14:paraId="6A95F678"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55CBAE0"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 Manufacturer of qPCR instrument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179D965"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7B3964C0"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161D4053"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8. qPCR validation </w:t>
            </w:r>
          </w:p>
        </w:tc>
      </w:tr>
      <w:tr w:rsidR="00260A0D" w14:paraId="6F5088A7"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3DB073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 Specificity (gel, sequence, melt, or digest)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64B0D7B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20E08C9A" w14:textId="77777777">
        <w:trPr>
          <w:trHeight w:val="46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F977490"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 For SYBR Green I, C</w:t>
            </w:r>
            <w:r>
              <w:rPr>
                <w:rFonts w:ascii="Times New Roman" w:eastAsia="Times New Roman" w:hAnsi="Times New Roman" w:cs="Times New Roman"/>
                <w:sz w:val="20"/>
                <w:szCs w:val="20"/>
                <w:vertAlign w:val="subscript"/>
              </w:rPr>
              <w:t>q</w:t>
            </w:r>
            <w:r>
              <w:rPr>
                <w:rFonts w:ascii="Times New Roman" w:eastAsia="Times New Roman" w:hAnsi="Times New Roman" w:cs="Times New Roman"/>
                <w:sz w:val="20"/>
                <w:szCs w:val="20"/>
              </w:rPr>
              <w:t xml:space="preserve"> of the NTC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05FA8ED"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231ACBCF"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617EB73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 Calibration curves with slope and </w:t>
            </w:r>
            <w:r>
              <w:rPr>
                <w:rFonts w:ascii="Times New Roman" w:eastAsia="Times New Roman" w:hAnsi="Times New Roman" w:cs="Times New Roman"/>
                <w:i/>
                <w:sz w:val="20"/>
                <w:szCs w:val="20"/>
              </w:rPr>
              <w:t>y-intercept</w:t>
            </w:r>
            <w:r>
              <w:rPr>
                <w:rFonts w:ascii="Times New Roman" w:eastAsia="Times New Roman" w:hAnsi="Times New Roman" w:cs="Times New Roman"/>
                <w:sz w:val="20"/>
                <w:szCs w:val="20"/>
              </w:rPr>
              <w:t xml:space="preserv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54715C3"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Materials and Methods; </w:t>
            </w:r>
            <w:r>
              <w:rPr>
                <w:rFonts w:ascii="Times New Roman" w:eastAsia="Times New Roman" w:hAnsi="Times New Roman" w:cs="Times New Roman"/>
                <w:color w:val="000000"/>
                <w:sz w:val="20"/>
                <w:szCs w:val="20"/>
              </w:rPr>
              <w:t>Supplementary Fig. 6</w:t>
            </w:r>
          </w:p>
        </w:tc>
      </w:tr>
      <w:tr w:rsidR="00260A0D" w14:paraId="48798F4A"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609823D"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 PCR efficiency calculated from slope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45D64749"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1CEBA5FA"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A7AE691"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r>
              <w:rPr>
                <w:rFonts w:ascii="Times New Roman" w:eastAsia="Times New Roman" w:hAnsi="Times New Roman" w:cs="Times New Roman"/>
                <w:i/>
                <w:sz w:val="20"/>
                <w:szCs w:val="20"/>
              </w:rPr>
              <w:t>r</w:t>
            </w:r>
            <w:r>
              <w:rPr>
                <w:rFonts w:ascii="Times New Roman" w:eastAsia="Times New Roman" w:hAnsi="Times New Roman" w:cs="Times New Roman"/>
                <w:sz w:val="20"/>
                <w:szCs w:val="20"/>
              </w:rPr>
              <w:t xml:space="preserve">2 of calibration curves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7EC3CF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004891B9"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74B1DEC"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 Linear dynamic range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7C79FC1"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55933E7A" w14:textId="77777777">
        <w:trPr>
          <w:trHeight w:val="46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B0B1B2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 C</w:t>
            </w:r>
            <w:r>
              <w:rPr>
                <w:rFonts w:ascii="Times New Roman" w:eastAsia="Times New Roman" w:hAnsi="Times New Roman" w:cs="Times New Roman"/>
                <w:sz w:val="20"/>
                <w:szCs w:val="20"/>
                <w:vertAlign w:val="subscript"/>
              </w:rPr>
              <w:t>q</w:t>
            </w:r>
            <w:r>
              <w:rPr>
                <w:rFonts w:ascii="Times New Roman" w:eastAsia="Times New Roman" w:hAnsi="Times New Roman" w:cs="Times New Roman"/>
                <w:sz w:val="20"/>
                <w:szCs w:val="20"/>
              </w:rPr>
              <w:t xml:space="preserve"> variation at LOD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41E9DA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60F10AF7"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CD09F52"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 Evidence for LOD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A7CCDD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6DD2D1A0" w14:textId="77777777">
        <w:trPr>
          <w:trHeight w:val="400"/>
        </w:trPr>
        <w:tc>
          <w:tcPr>
            <w:tcW w:w="9390" w:type="dxa"/>
            <w:gridSpan w:val="2"/>
            <w:tcBorders>
              <w:top w:val="single" w:sz="8" w:space="0" w:color="000000"/>
              <w:left w:val="single" w:sz="8" w:space="0" w:color="000000"/>
              <w:bottom w:val="single" w:sz="8" w:space="0" w:color="000000"/>
              <w:right w:val="single" w:sz="8" w:space="0" w:color="000000"/>
            </w:tcBorders>
            <w:shd w:val="clear" w:color="auto" w:fill="EFEFEF"/>
            <w:tcMar>
              <w:top w:w="20" w:type="dxa"/>
              <w:left w:w="20" w:type="dxa"/>
              <w:bottom w:w="100" w:type="dxa"/>
              <w:right w:w="20" w:type="dxa"/>
            </w:tcMar>
          </w:tcPr>
          <w:p w14:paraId="1A3E947A" w14:textId="77777777" w:rsidR="00260A0D" w:rsidRDefault="00DD7A64">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9. Data analysis </w:t>
            </w:r>
          </w:p>
        </w:tc>
      </w:tr>
      <w:tr w:rsidR="00260A0D" w14:paraId="5738EAD8"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4BC0E800"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 qPCR analysis program (source, version)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4291320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38427EE" w14:textId="77777777">
        <w:trPr>
          <w:trHeight w:val="46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D963211"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 Method of C</w:t>
            </w:r>
            <w:r>
              <w:rPr>
                <w:rFonts w:ascii="Times New Roman" w:eastAsia="Times New Roman" w:hAnsi="Times New Roman" w:cs="Times New Roman"/>
                <w:sz w:val="20"/>
                <w:szCs w:val="20"/>
                <w:vertAlign w:val="subscript"/>
              </w:rPr>
              <w:t>q</w:t>
            </w:r>
            <w:r>
              <w:rPr>
                <w:rFonts w:ascii="Times New Roman" w:eastAsia="Times New Roman" w:hAnsi="Times New Roman" w:cs="Times New Roman"/>
                <w:sz w:val="20"/>
                <w:szCs w:val="20"/>
              </w:rPr>
              <w:t xml:space="preserve"> determination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460B8899"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903346F"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FFCA0D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 Outlier identification and disposition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9B3279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9445A59"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AFF58F9"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 Results for NTCs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1050958"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699BCDE"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5E4AD8F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 Description of normalization method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7871F38F"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201A5608"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12EF7DAC"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 Number and concordance of biological replicates</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8B4EDF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 each Figure</w:t>
            </w:r>
          </w:p>
        </w:tc>
      </w:tr>
      <w:tr w:rsidR="00260A0D" w14:paraId="3B6E3EC7" w14:textId="77777777">
        <w:trPr>
          <w:trHeight w:val="480"/>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2D632BF4"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 Number and stage of technical replicates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5099E836"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5DD10148"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F6B25FF"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 Repeatability (intraassay variation)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1C9D68F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40CFFFA3"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362B056B"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 Statistical methods for results significance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2B7BA0AE"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Each figure</w:t>
            </w:r>
          </w:p>
        </w:tc>
      </w:tr>
      <w:tr w:rsidR="00260A0D" w14:paraId="33CA908F" w14:textId="77777777">
        <w:trPr>
          <w:trHeight w:val="41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068EF48C"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 Software (source, version) </w:t>
            </w:r>
          </w:p>
        </w:tc>
        <w:tc>
          <w:tcPr>
            <w:tcW w:w="448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35485AA7"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and Methods</w:t>
            </w:r>
          </w:p>
        </w:tc>
      </w:tr>
      <w:tr w:rsidR="00260A0D" w14:paraId="1EFD82F2" w14:textId="77777777">
        <w:trPr>
          <w:trHeight w:val="495"/>
        </w:trPr>
        <w:tc>
          <w:tcPr>
            <w:tcW w:w="4905" w:type="dxa"/>
            <w:tcBorders>
              <w:top w:val="single" w:sz="8" w:space="0" w:color="2A2A2A"/>
              <w:left w:val="single" w:sz="8" w:space="0" w:color="000000"/>
              <w:bottom w:val="single" w:sz="8" w:space="0" w:color="000000"/>
              <w:right w:val="single" w:sz="8" w:space="0" w:color="000000"/>
            </w:tcBorders>
            <w:shd w:val="clear" w:color="auto" w:fill="FFFFFF"/>
            <w:tcMar>
              <w:top w:w="20" w:type="dxa"/>
              <w:left w:w="20" w:type="dxa"/>
              <w:bottom w:w="100" w:type="dxa"/>
              <w:right w:w="20" w:type="dxa"/>
            </w:tcMar>
          </w:tcPr>
          <w:p w14:paraId="7D189A42"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 Data transparency</w:t>
            </w:r>
          </w:p>
        </w:tc>
        <w:tc>
          <w:tcPr>
            <w:tcW w:w="4485" w:type="dxa"/>
            <w:tcBorders>
              <w:top w:val="single" w:sz="8" w:space="0" w:color="2A2A2A"/>
              <w:left w:val="single" w:sz="8" w:space="0" w:color="2A2A2A"/>
              <w:bottom w:val="single" w:sz="8" w:space="0" w:color="000000"/>
              <w:right w:val="single" w:sz="8" w:space="0" w:color="000000"/>
            </w:tcBorders>
            <w:shd w:val="clear" w:color="auto" w:fill="FFFFFF"/>
            <w:tcMar>
              <w:top w:w="20" w:type="dxa"/>
              <w:left w:w="20" w:type="dxa"/>
              <w:bottom w:w="100" w:type="dxa"/>
              <w:right w:w="20" w:type="dxa"/>
            </w:tcMar>
          </w:tcPr>
          <w:p w14:paraId="33E2CDCA" w14:textId="77777777" w:rsidR="00260A0D" w:rsidRDefault="00DD7A64">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Raw data available upon request</w:t>
            </w:r>
          </w:p>
        </w:tc>
      </w:tr>
    </w:tbl>
    <w:p w14:paraId="7E95391B" w14:textId="77777777" w:rsidR="00260A0D" w:rsidRDefault="00260A0D">
      <w:pPr>
        <w:spacing w:line="480" w:lineRule="auto"/>
        <w:rPr>
          <w:rFonts w:ascii="Times New Roman" w:eastAsia="Times New Roman" w:hAnsi="Times New Roman" w:cs="Times New Roman"/>
          <w:sz w:val="24"/>
          <w:szCs w:val="24"/>
        </w:rPr>
      </w:pPr>
    </w:p>
    <w:p w14:paraId="3DBCADAE" w14:textId="77777777" w:rsidR="00260A0D" w:rsidRDefault="00260A0D">
      <w:pPr>
        <w:spacing w:line="480" w:lineRule="auto"/>
        <w:jc w:val="both"/>
        <w:rPr>
          <w:rFonts w:ascii="Times New Roman" w:eastAsia="Times New Roman" w:hAnsi="Times New Roman" w:cs="Times New Roman"/>
          <w:sz w:val="24"/>
          <w:szCs w:val="24"/>
        </w:rPr>
      </w:pPr>
    </w:p>
    <w:p w14:paraId="0A5FC335" w14:textId="665DFD96" w:rsidR="00DD7A64" w:rsidRDefault="00DD7A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E41DCF" w14:textId="11FED4FD" w:rsidR="00DD7A64" w:rsidRPr="00DD7A64" w:rsidRDefault="00DD7A64" w:rsidP="00DD7A64">
      <w:pPr>
        <w:widowControl w:val="0"/>
        <w:autoSpaceDE w:val="0"/>
        <w:autoSpaceDN w:val="0"/>
        <w:adjustRightInd w:val="0"/>
        <w:spacing w:line="480" w:lineRule="auto"/>
        <w:ind w:left="640" w:hanging="640"/>
        <w:rPr>
          <w:rFonts w:ascii="Times New Roman" w:eastAsia="Times New Roman" w:hAnsi="Times New Roman" w:cs="Times New Roman"/>
          <w:b/>
          <w:bCs/>
          <w:sz w:val="24"/>
          <w:szCs w:val="24"/>
        </w:rPr>
      </w:pPr>
      <w:r w:rsidRPr="00DD7A64">
        <w:rPr>
          <w:rFonts w:ascii="Times New Roman" w:eastAsia="Times New Roman" w:hAnsi="Times New Roman" w:cs="Times New Roman"/>
          <w:b/>
          <w:bCs/>
          <w:sz w:val="24"/>
          <w:szCs w:val="24"/>
        </w:rPr>
        <w:lastRenderedPageBreak/>
        <w:t>References</w:t>
      </w:r>
    </w:p>
    <w:p w14:paraId="0EF18FB7" w14:textId="4D3D6ABD" w:rsidR="007E4B39" w:rsidRPr="007E4B39" w:rsidRDefault="00DD7A64" w:rsidP="007E4B39">
      <w:pPr>
        <w:widowControl w:val="0"/>
        <w:autoSpaceDE w:val="0"/>
        <w:autoSpaceDN w:val="0"/>
        <w:adjustRightInd w:val="0"/>
        <w:spacing w:line="480" w:lineRule="auto"/>
        <w:ind w:left="640" w:hanging="640"/>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7E4B39" w:rsidRPr="007E4B39">
        <w:rPr>
          <w:rFonts w:ascii="Times New Roman" w:hAnsi="Times New Roman" w:cs="Times New Roman"/>
          <w:noProof/>
          <w:sz w:val="24"/>
        </w:rPr>
        <w:t xml:space="preserve">1. </w:t>
      </w:r>
      <w:r w:rsidR="007E4B39" w:rsidRPr="007E4B39">
        <w:rPr>
          <w:rFonts w:ascii="Times New Roman" w:hAnsi="Times New Roman" w:cs="Times New Roman"/>
          <w:noProof/>
          <w:sz w:val="24"/>
        </w:rPr>
        <w:tab/>
        <w:t>Gerba CP, Betancourt WQ. 2017. Viral Aggregation: Impact on Virus Behavior in the Environment. Environ Sci Technol 51:7318–7325.</w:t>
      </w:r>
    </w:p>
    <w:p w14:paraId="642317D3" w14:textId="77777777" w:rsidR="007E4B39" w:rsidRPr="007E4B39" w:rsidRDefault="007E4B39" w:rsidP="007E4B39">
      <w:pPr>
        <w:widowControl w:val="0"/>
        <w:autoSpaceDE w:val="0"/>
        <w:autoSpaceDN w:val="0"/>
        <w:adjustRightInd w:val="0"/>
        <w:spacing w:line="480" w:lineRule="auto"/>
        <w:ind w:left="640" w:hanging="640"/>
        <w:rPr>
          <w:rFonts w:ascii="Times New Roman" w:hAnsi="Times New Roman" w:cs="Times New Roman"/>
          <w:noProof/>
          <w:sz w:val="24"/>
        </w:rPr>
      </w:pPr>
      <w:r w:rsidRPr="007E4B39">
        <w:rPr>
          <w:rFonts w:ascii="Times New Roman" w:hAnsi="Times New Roman" w:cs="Times New Roman"/>
          <w:noProof/>
          <w:sz w:val="24"/>
        </w:rPr>
        <w:t xml:space="preserve">2. </w:t>
      </w:r>
      <w:r w:rsidRPr="007E4B39">
        <w:rPr>
          <w:rFonts w:ascii="Times New Roman" w:hAnsi="Times New Roman" w:cs="Times New Roman"/>
          <w:noProof/>
          <w:sz w:val="24"/>
        </w:rPr>
        <w:tab/>
        <w:t>Mattle MJ, Kohn T. 2012. Inactivation and tailing during UV254 disinfection of viruses: Contributions of viral aggregation, light shielding within viral aggregates, and recombination. Environ Sci Technol 46:10022–10030.</w:t>
      </w:r>
    </w:p>
    <w:p w14:paraId="3155EA45" w14:textId="77777777" w:rsidR="007E4B39" w:rsidRPr="007E4B39" w:rsidRDefault="007E4B39" w:rsidP="007E4B39">
      <w:pPr>
        <w:widowControl w:val="0"/>
        <w:autoSpaceDE w:val="0"/>
        <w:autoSpaceDN w:val="0"/>
        <w:adjustRightInd w:val="0"/>
        <w:spacing w:line="480" w:lineRule="auto"/>
        <w:ind w:left="640" w:hanging="640"/>
        <w:rPr>
          <w:rFonts w:ascii="Times New Roman" w:hAnsi="Times New Roman" w:cs="Times New Roman"/>
          <w:noProof/>
          <w:sz w:val="24"/>
        </w:rPr>
      </w:pPr>
      <w:r w:rsidRPr="007E4B39">
        <w:rPr>
          <w:rFonts w:ascii="Times New Roman" w:hAnsi="Times New Roman" w:cs="Times New Roman"/>
          <w:noProof/>
          <w:sz w:val="24"/>
        </w:rPr>
        <w:t xml:space="preserve">3. </w:t>
      </w:r>
      <w:r w:rsidRPr="007E4B39">
        <w:rPr>
          <w:rFonts w:ascii="Times New Roman" w:hAnsi="Times New Roman" w:cs="Times New Roman"/>
          <w:noProof/>
          <w:sz w:val="24"/>
        </w:rPr>
        <w:tab/>
        <w:t>Floyd R, Sharp DG. 1977. Aggregation of poliovirus and reovirus by dilution in water. Appl Environ Microbiol 33:159–167.</w:t>
      </w:r>
    </w:p>
    <w:p w14:paraId="48093321" w14:textId="77777777" w:rsidR="007E4B39" w:rsidRPr="007E4B39" w:rsidRDefault="007E4B39" w:rsidP="007E4B39">
      <w:pPr>
        <w:widowControl w:val="0"/>
        <w:autoSpaceDE w:val="0"/>
        <w:autoSpaceDN w:val="0"/>
        <w:adjustRightInd w:val="0"/>
        <w:spacing w:line="480" w:lineRule="auto"/>
        <w:ind w:left="640" w:hanging="640"/>
        <w:rPr>
          <w:rFonts w:ascii="Times New Roman" w:hAnsi="Times New Roman" w:cs="Times New Roman"/>
          <w:noProof/>
          <w:sz w:val="24"/>
        </w:rPr>
      </w:pPr>
      <w:r w:rsidRPr="007E4B39">
        <w:rPr>
          <w:rFonts w:ascii="Times New Roman" w:hAnsi="Times New Roman" w:cs="Times New Roman"/>
          <w:noProof/>
          <w:sz w:val="24"/>
        </w:rPr>
        <w:t xml:space="preserve">4. </w:t>
      </w:r>
      <w:r w:rsidRPr="007E4B39">
        <w:rPr>
          <w:rFonts w:ascii="Times New Roman" w:hAnsi="Times New Roman" w:cs="Times New Roman"/>
          <w:noProof/>
          <w:sz w:val="24"/>
        </w:rPr>
        <w:tab/>
        <w:t>Kahler AM, Cromeans TL, Metcalfe MG, Humphrey CD, Hill VR. 2016. Aggregation of Adenovirus 2 in Source Water and Impacts on Disinfection by Chlorine. Food Environ Virol 8:148–155.</w:t>
      </w:r>
    </w:p>
    <w:p w14:paraId="23FB5F91" w14:textId="77777777" w:rsidR="007E4B39" w:rsidRPr="007E4B39" w:rsidRDefault="007E4B39" w:rsidP="007E4B39">
      <w:pPr>
        <w:widowControl w:val="0"/>
        <w:autoSpaceDE w:val="0"/>
        <w:autoSpaceDN w:val="0"/>
        <w:adjustRightInd w:val="0"/>
        <w:spacing w:line="480" w:lineRule="auto"/>
        <w:ind w:left="640" w:hanging="640"/>
        <w:rPr>
          <w:rFonts w:ascii="Times New Roman" w:hAnsi="Times New Roman" w:cs="Times New Roman"/>
          <w:noProof/>
          <w:sz w:val="24"/>
        </w:rPr>
      </w:pPr>
      <w:r w:rsidRPr="007E4B39">
        <w:rPr>
          <w:rFonts w:ascii="Times New Roman" w:hAnsi="Times New Roman" w:cs="Times New Roman"/>
          <w:noProof/>
          <w:sz w:val="24"/>
        </w:rPr>
        <w:t xml:space="preserve">5. </w:t>
      </w:r>
      <w:r w:rsidRPr="007E4B39">
        <w:rPr>
          <w:rFonts w:ascii="Times New Roman" w:hAnsi="Times New Roman" w:cs="Times New Roman"/>
          <w:noProof/>
          <w:sz w:val="24"/>
        </w:rPr>
        <w:tab/>
        <w:t>Yu G, Zhang D, Guo F, Tan M, Jiang X, Jiang W. 2013. Cryo-EM Structure of a Novel Calicivirus, Tulane Virus. PLoS One 8.</w:t>
      </w:r>
    </w:p>
    <w:p w14:paraId="3ED660D9" w14:textId="7D8E0AB3" w:rsidR="00260A0D" w:rsidRDefault="00DD7A64" w:rsidP="007E4B39">
      <w:pPr>
        <w:widowControl w:val="0"/>
        <w:autoSpaceDE w:val="0"/>
        <w:autoSpaceDN w:val="0"/>
        <w:adjustRightInd w:val="0"/>
        <w:spacing w:line="480" w:lineRule="auto"/>
        <w:ind w:left="640" w:hanging="640"/>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6D07750" w14:textId="77777777" w:rsidR="00260A0D" w:rsidRDefault="00260A0D">
      <w:pPr>
        <w:spacing w:line="480" w:lineRule="auto"/>
        <w:rPr>
          <w:rFonts w:ascii="Times New Roman" w:eastAsia="Times New Roman" w:hAnsi="Times New Roman" w:cs="Times New Roman"/>
          <w:sz w:val="24"/>
          <w:szCs w:val="24"/>
        </w:rPr>
      </w:pPr>
    </w:p>
    <w:p w14:paraId="131F0E3B" w14:textId="77777777" w:rsidR="00260A0D" w:rsidRDefault="00260A0D">
      <w:pPr>
        <w:spacing w:line="480" w:lineRule="auto"/>
        <w:rPr>
          <w:rFonts w:ascii="Times New Roman" w:eastAsia="Times New Roman" w:hAnsi="Times New Roman" w:cs="Times New Roman"/>
          <w:sz w:val="24"/>
          <w:szCs w:val="24"/>
        </w:rPr>
      </w:pPr>
    </w:p>
    <w:sectPr w:rsidR="00260A0D" w:rsidSect="00F53102">
      <w:footerReference w:type="even" r:id="rId17"/>
      <w:footerReference w:type="default" r:id="rId18"/>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1932" w14:textId="77777777" w:rsidR="00811276" w:rsidRDefault="00811276" w:rsidP="006B6569">
      <w:pPr>
        <w:spacing w:line="240" w:lineRule="auto"/>
      </w:pPr>
      <w:r>
        <w:separator/>
      </w:r>
    </w:p>
  </w:endnote>
  <w:endnote w:type="continuationSeparator" w:id="0">
    <w:p w14:paraId="231F2DA9" w14:textId="77777777" w:rsidR="00811276" w:rsidRDefault="00811276" w:rsidP="006B65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5533184"/>
      <w:docPartObj>
        <w:docPartGallery w:val="Page Numbers (Bottom of Page)"/>
        <w:docPartUnique/>
      </w:docPartObj>
    </w:sdtPr>
    <w:sdtEndPr>
      <w:rPr>
        <w:rStyle w:val="PageNumber"/>
      </w:rPr>
    </w:sdtEndPr>
    <w:sdtContent>
      <w:p w14:paraId="3A8A63B6" w14:textId="68FB8AC1" w:rsidR="006B6569" w:rsidRDefault="006B6569" w:rsidP="00927F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F76B9" w14:textId="77777777" w:rsidR="006B6569" w:rsidRDefault="006B6569" w:rsidP="006B65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124017"/>
      <w:docPartObj>
        <w:docPartGallery w:val="Page Numbers (Bottom of Page)"/>
        <w:docPartUnique/>
      </w:docPartObj>
    </w:sdtPr>
    <w:sdtEndPr>
      <w:rPr>
        <w:rStyle w:val="PageNumber"/>
      </w:rPr>
    </w:sdtEndPr>
    <w:sdtContent>
      <w:p w14:paraId="2147EB14" w14:textId="5F00BFEE" w:rsidR="006B6569" w:rsidRDefault="006B6569" w:rsidP="00927F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0036ED" w14:textId="77777777" w:rsidR="006B6569" w:rsidRDefault="006B6569" w:rsidP="006B65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9354" w14:textId="77777777" w:rsidR="00811276" w:rsidRDefault="00811276" w:rsidP="006B6569">
      <w:pPr>
        <w:spacing w:line="240" w:lineRule="auto"/>
      </w:pPr>
      <w:r>
        <w:separator/>
      </w:r>
    </w:p>
  </w:footnote>
  <w:footnote w:type="continuationSeparator" w:id="0">
    <w:p w14:paraId="5DA276F9" w14:textId="77777777" w:rsidR="00811276" w:rsidRDefault="00811276" w:rsidP="006B65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5673B1"/>
    <w:multiLevelType w:val="multilevel"/>
    <w:tmpl w:val="1F8C8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A0D"/>
    <w:rsid w:val="0008493F"/>
    <w:rsid w:val="00260A0D"/>
    <w:rsid w:val="0045422B"/>
    <w:rsid w:val="006B6569"/>
    <w:rsid w:val="007E4B39"/>
    <w:rsid w:val="00811276"/>
    <w:rsid w:val="008A0BF4"/>
    <w:rsid w:val="00BC6A1D"/>
    <w:rsid w:val="00BC7ED2"/>
    <w:rsid w:val="00C87D97"/>
    <w:rsid w:val="00DD7A64"/>
    <w:rsid w:val="00F53102"/>
    <w:rsid w:val="00F87C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9327D"/>
  <w15:docId w15:val="{5075DAEC-6A3C-2242-8478-5E2C302BD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6B6569"/>
    <w:pPr>
      <w:tabs>
        <w:tab w:val="center" w:pos="4680"/>
        <w:tab w:val="right" w:pos="9360"/>
      </w:tabs>
      <w:spacing w:line="240" w:lineRule="auto"/>
    </w:pPr>
  </w:style>
  <w:style w:type="character" w:customStyle="1" w:styleId="FooterChar">
    <w:name w:val="Footer Char"/>
    <w:basedOn w:val="DefaultParagraphFont"/>
    <w:link w:val="Footer"/>
    <w:uiPriority w:val="99"/>
    <w:rsid w:val="006B6569"/>
  </w:style>
  <w:style w:type="character" w:styleId="PageNumber">
    <w:name w:val="page number"/>
    <w:basedOn w:val="DefaultParagraphFont"/>
    <w:uiPriority w:val="99"/>
    <w:semiHidden/>
    <w:unhideWhenUsed/>
    <w:rsid w:val="006B6569"/>
  </w:style>
  <w:style w:type="character" w:styleId="LineNumber">
    <w:name w:val="line number"/>
    <w:basedOn w:val="DefaultParagraphFont"/>
    <w:uiPriority w:val="99"/>
    <w:semiHidden/>
    <w:unhideWhenUsed/>
    <w:rsid w:val="00F53102"/>
  </w:style>
  <w:style w:type="character" w:styleId="Hyperlink">
    <w:name w:val="Hyperlink"/>
    <w:basedOn w:val="DefaultParagraphFont"/>
    <w:uiPriority w:val="99"/>
    <w:unhideWhenUsed/>
    <w:rsid w:val="00BC7E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hn@illinois.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F3D00-AC29-A34F-B5F8-A57AA6472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3807</Words>
  <Characters>21705</Characters>
  <Application>Microsoft Office Word</Application>
  <DocSecurity>0</DocSecurity>
  <Lines>180</Lines>
  <Paragraphs>50</Paragraphs>
  <ScaleCrop>false</ScaleCrop>
  <Company/>
  <LinksUpToDate>false</LinksUpToDate>
  <CharactersWithSpaces>25462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Oh, Chamteut</cp:lastModifiedBy>
  <cp:revision>8</cp:revision>
  <dcterms:created xsi:type="dcterms:W3CDTF">2021-10-14T02:51:00Z</dcterms:created>
  <dcterms:modified xsi:type="dcterms:W3CDTF">2021-11-12T20:40:00Z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http://www.zotero.org/styles/american-society-for-microbiology</vt:lpwstr>
  </property>
  <property fmtid="{D5CDD505-2E9C-101B-9397-08002B2CF9AE}" pid="9" name="Mendeley Recent Style Name 3_1">
    <vt:lpwstr>American Society for Microbiology</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9f686726-e0b6-324a-acb1-f177b6449fbe</vt:lpwstr>
  </property>
  <property fmtid="{D5CDD505-2E9C-101B-9397-08002B2CF9AE}" pid="24" name="Mendeley Citation Style_1">
    <vt:lpwstr>http://www.zotero.org/styles/american-society-for-microbiology</vt:lpwstr>
  </property>
</Properties>
</file>