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ED17" w14:textId="0BC4C5CF" w:rsidR="00D607B6" w:rsidRPr="00357B1C" w:rsidRDefault="00D607B6" w:rsidP="00D607B6">
      <w:pPr>
        <w:spacing w:line="480" w:lineRule="auto"/>
        <w:rPr>
          <w:b/>
          <w:bCs/>
          <w:color w:val="000000"/>
        </w:rPr>
      </w:pPr>
      <w:r w:rsidRPr="00A94C58">
        <w:rPr>
          <w:b/>
          <w:bCs/>
          <w:color w:val="000000"/>
        </w:rPr>
        <w:t xml:space="preserve">Supplementary </w:t>
      </w:r>
      <w:r w:rsidR="00AA3615">
        <w:rPr>
          <w:b/>
          <w:bCs/>
          <w:color w:val="000000"/>
        </w:rPr>
        <w:t>I</w:t>
      </w:r>
      <w:r w:rsidRPr="00A94C58">
        <w:rPr>
          <w:b/>
          <w:bCs/>
          <w:color w:val="000000"/>
        </w:rPr>
        <w:t>nformation</w:t>
      </w:r>
    </w:p>
    <w:p w14:paraId="6AFC6BF0" w14:textId="77777777" w:rsidR="00D607B6" w:rsidRPr="00A94C58" w:rsidRDefault="00D607B6" w:rsidP="00D607B6">
      <w:pPr>
        <w:spacing w:line="480" w:lineRule="auto"/>
        <w:contextualSpacing/>
        <w:jc w:val="both"/>
      </w:pPr>
      <w:r w:rsidRPr="00A94C58">
        <w:rPr>
          <w:b/>
          <w:bCs/>
          <w:color w:val="000000"/>
        </w:rPr>
        <w:t>Evaluation of qPCR inhibition in soil DNA samples</w:t>
      </w:r>
      <w:r>
        <w:t xml:space="preserve">. </w:t>
      </w:r>
      <w:r w:rsidRPr="00A94C58">
        <w:rPr>
          <w:color w:val="000000"/>
        </w:rPr>
        <w:t xml:space="preserve">Prior to optimizing the </w:t>
      </w:r>
      <w:proofErr w:type="spellStart"/>
      <w:r w:rsidRPr="00A94C58">
        <w:rPr>
          <w:color w:val="000000"/>
        </w:rPr>
        <w:t>FastDNA</w:t>
      </w:r>
      <w:proofErr w:type="spellEnd"/>
      <w:r w:rsidRPr="00A94C58">
        <w:rPr>
          <w:color w:val="000000"/>
        </w:rPr>
        <w:t xml:space="preserve"> Spin Kit for Soil extraction procedure, the spiked positive technique was used to evaluate qPCR inhibition for soil samples that tested negative for </w:t>
      </w:r>
      <w:r w:rsidRPr="00A94C58">
        <w:rPr>
          <w:i/>
          <w:iCs/>
          <w:color w:val="000000"/>
        </w:rPr>
        <w:t xml:space="preserve">A. </w:t>
      </w:r>
      <w:proofErr w:type="spellStart"/>
      <w:r w:rsidRPr="00A94C58">
        <w:rPr>
          <w:i/>
          <w:iCs/>
          <w:color w:val="000000"/>
        </w:rPr>
        <w:t>cochlioides</w:t>
      </w:r>
      <w:proofErr w:type="spellEnd"/>
      <w:r w:rsidRPr="00A94C58">
        <w:rPr>
          <w:i/>
          <w:iCs/>
          <w:color w:val="000000"/>
        </w:rPr>
        <w:t xml:space="preserve"> </w:t>
      </w:r>
      <w:r w:rsidRPr="00A94C58">
        <w:rPr>
          <w:color w:val="000000"/>
        </w:rPr>
        <w:t xml:space="preserve">DNA using the qPCR assay. This technique also revealed how amplification of </w:t>
      </w:r>
      <w:r w:rsidRPr="00A94C58">
        <w:rPr>
          <w:i/>
          <w:iCs/>
          <w:color w:val="000000"/>
        </w:rPr>
        <w:t xml:space="preserve">A. </w:t>
      </w:r>
      <w:proofErr w:type="spellStart"/>
      <w:r w:rsidRPr="00A94C58">
        <w:rPr>
          <w:i/>
          <w:iCs/>
          <w:color w:val="000000"/>
        </w:rPr>
        <w:t>cochlioides</w:t>
      </w:r>
      <w:proofErr w:type="spellEnd"/>
      <w:r w:rsidRPr="00A94C58">
        <w:rPr>
          <w:color w:val="000000"/>
        </w:rPr>
        <w:t xml:space="preserve"> DNA is altered when in the presence of various DNA from soil. The soil DNA samples were spiked with 0.1 </w:t>
      </w:r>
      <w:proofErr w:type="spellStart"/>
      <w:r w:rsidRPr="00A94C58">
        <w:rPr>
          <w:color w:val="000000"/>
        </w:rPr>
        <w:t>pg</w:t>
      </w:r>
      <w:proofErr w:type="spellEnd"/>
      <w:r w:rsidRPr="00A94C58">
        <w:rPr>
          <w:color w:val="000000"/>
        </w:rPr>
        <w:t xml:space="preserve"> of pure </w:t>
      </w:r>
      <w:r w:rsidRPr="00A94C58">
        <w:rPr>
          <w:i/>
          <w:iCs/>
          <w:color w:val="000000"/>
        </w:rPr>
        <w:t xml:space="preserve">A. </w:t>
      </w:r>
      <w:proofErr w:type="spellStart"/>
      <w:r w:rsidRPr="00A94C58">
        <w:rPr>
          <w:i/>
          <w:iCs/>
          <w:color w:val="000000"/>
        </w:rPr>
        <w:t>cochlioides</w:t>
      </w:r>
      <w:proofErr w:type="spellEnd"/>
      <w:r w:rsidRPr="00A94C58">
        <w:rPr>
          <w:color w:val="000000"/>
        </w:rPr>
        <w:t xml:space="preserve"> DNA. In addition, the 0.1 </w:t>
      </w:r>
      <w:proofErr w:type="spellStart"/>
      <w:r w:rsidRPr="00A94C58">
        <w:rPr>
          <w:color w:val="000000"/>
        </w:rPr>
        <w:t>pg</w:t>
      </w:r>
      <w:proofErr w:type="spellEnd"/>
      <w:r w:rsidRPr="00A94C58">
        <w:rPr>
          <w:color w:val="000000"/>
        </w:rPr>
        <w:t xml:space="preserve"> DNA standard was tested by itself in the same qPCR plate, which produced a mean Ct of 26.66. In the absence of PCR inhibition, the Ct values of each soil DNA sample with the spiked 0.1 </w:t>
      </w:r>
      <w:proofErr w:type="spellStart"/>
      <w:r w:rsidRPr="00A94C58">
        <w:rPr>
          <w:color w:val="000000"/>
        </w:rPr>
        <w:t>pg</w:t>
      </w:r>
      <w:proofErr w:type="spellEnd"/>
      <w:r w:rsidRPr="00A94C58">
        <w:rPr>
          <w:color w:val="000000"/>
        </w:rPr>
        <w:t xml:space="preserve"> DNA will be 26.66 or lower. In the presence of any inhibition, the Ct values of the soil sample spiked with 0.1 </w:t>
      </w:r>
      <w:proofErr w:type="spellStart"/>
      <w:r w:rsidRPr="00A94C58">
        <w:rPr>
          <w:color w:val="000000"/>
        </w:rPr>
        <w:t>pg</w:t>
      </w:r>
      <w:proofErr w:type="spellEnd"/>
      <w:r w:rsidRPr="00A94C58">
        <w:rPr>
          <w:color w:val="000000"/>
        </w:rPr>
        <w:t xml:space="preserve"> DNA will be higher than 26.66. If there is no qPCR amplification for the spiked soil DNA sample, while the 0.1 </w:t>
      </w:r>
      <w:proofErr w:type="spellStart"/>
      <w:r w:rsidRPr="00A94C58">
        <w:rPr>
          <w:color w:val="000000"/>
        </w:rPr>
        <w:t>pg</w:t>
      </w:r>
      <w:proofErr w:type="spellEnd"/>
      <w:r w:rsidRPr="00A94C58">
        <w:rPr>
          <w:color w:val="000000"/>
        </w:rPr>
        <w:t xml:space="preserve"> DNA standard alone produces a normal Ct value, this signifies complete inhibition of PCR. </w:t>
      </w:r>
    </w:p>
    <w:p w14:paraId="70C5B532" w14:textId="77777777" w:rsidR="00D607B6" w:rsidRDefault="00D607B6" w:rsidP="00D607B6">
      <w:pPr>
        <w:spacing w:line="480" w:lineRule="auto"/>
        <w:ind w:firstLine="720"/>
        <w:jc w:val="both"/>
        <w:rPr>
          <w:color w:val="000000"/>
        </w:rPr>
      </w:pPr>
      <w:r w:rsidRPr="00A94C58">
        <w:rPr>
          <w:color w:val="000000"/>
        </w:rPr>
        <w:t xml:space="preserve">Prior to the optimization of the DNA extraction, the qPCR assay was not </w:t>
      </w:r>
      <w:r>
        <w:rPr>
          <w:color w:val="000000"/>
        </w:rPr>
        <w:t>able to detect</w:t>
      </w:r>
      <w:r w:rsidRPr="00A94C58">
        <w:rPr>
          <w:color w:val="000000"/>
        </w:rPr>
        <w:t xml:space="preserve"> </w:t>
      </w:r>
      <w:r w:rsidRPr="00A94C58">
        <w:rPr>
          <w:i/>
          <w:iCs/>
          <w:color w:val="000000"/>
        </w:rPr>
        <w:t xml:space="preserve">A. </w:t>
      </w:r>
      <w:proofErr w:type="spellStart"/>
      <w:r w:rsidRPr="00A94C58">
        <w:rPr>
          <w:i/>
          <w:iCs/>
          <w:color w:val="000000"/>
        </w:rPr>
        <w:t>cochlioides</w:t>
      </w:r>
      <w:proofErr w:type="spellEnd"/>
      <w:r w:rsidRPr="00A94C58">
        <w:rPr>
          <w:color w:val="000000"/>
        </w:rPr>
        <w:t xml:space="preserve"> in DNA samples from soils </w:t>
      </w:r>
      <w:r>
        <w:rPr>
          <w:color w:val="000000"/>
        </w:rPr>
        <w:t>confirmed to</w:t>
      </w:r>
      <w:r w:rsidRPr="00A94C58">
        <w:rPr>
          <w:color w:val="000000"/>
        </w:rPr>
        <w:t xml:space="preserve"> be naturally infested with </w:t>
      </w:r>
      <w:r w:rsidRPr="00A94C58">
        <w:rPr>
          <w:i/>
          <w:iCs/>
          <w:color w:val="000000"/>
        </w:rPr>
        <w:t xml:space="preserve">A. </w:t>
      </w:r>
      <w:proofErr w:type="spellStart"/>
      <w:r w:rsidRPr="00A94C58">
        <w:rPr>
          <w:i/>
          <w:iCs/>
          <w:color w:val="000000"/>
        </w:rPr>
        <w:t>cochlioides</w:t>
      </w:r>
      <w:proofErr w:type="spellEnd"/>
      <w:r w:rsidRPr="00D835AD">
        <w:rPr>
          <w:iCs/>
          <w:color w:val="000000"/>
        </w:rPr>
        <w:t xml:space="preserve"> using</w:t>
      </w:r>
      <w:r w:rsidRPr="00A94C58">
        <w:rPr>
          <w:color w:val="000000"/>
        </w:rPr>
        <w:t xml:space="preserve"> the </w:t>
      </w:r>
      <w:r>
        <w:rPr>
          <w:color w:val="000000"/>
        </w:rPr>
        <w:t xml:space="preserve">soil </w:t>
      </w:r>
      <w:r w:rsidRPr="00A94C58">
        <w:rPr>
          <w:color w:val="000000"/>
        </w:rPr>
        <w:t xml:space="preserve">bioassay. This soil DNA was extracted using the standard protocol for the </w:t>
      </w:r>
      <w:proofErr w:type="spellStart"/>
      <w:r w:rsidRPr="00A94C58">
        <w:rPr>
          <w:color w:val="000000"/>
        </w:rPr>
        <w:t>FastDNA</w:t>
      </w:r>
      <w:proofErr w:type="spellEnd"/>
      <w:r w:rsidRPr="00A94C58">
        <w:rPr>
          <w:color w:val="000000"/>
        </w:rPr>
        <w:t xml:space="preserve"> Spin Kit for Soil, and was negative for </w:t>
      </w:r>
      <w:r w:rsidRPr="00A94C58">
        <w:rPr>
          <w:i/>
          <w:iCs/>
          <w:color w:val="000000"/>
        </w:rPr>
        <w:t xml:space="preserve">A. </w:t>
      </w:r>
      <w:proofErr w:type="spellStart"/>
      <w:r w:rsidRPr="00A94C58">
        <w:rPr>
          <w:i/>
          <w:iCs/>
          <w:color w:val="000000"/>
        </w:rPr>
        <w:t>cochlioides</w:t>
      </w:r>
      <w:proofErr w:type="spellEnd"/>
      <w:r w:rsidRPr="00A94C58">
        <w:rPr>
          <w:i/>
          <w:iCs/>
          <w:color w:val="000000"/>
        </w:rPr>
        <w:t xml:space="preserve"> </w:t>
      </w:r>
      <w:r w:rsidRPr="00A94C58">
        <w:rPr>
          <w:color w:val="000000"/>
        </w:rPr>
        <w:t xml:space="preserve">DNA after being tested with the qPCR assay. Due to the concern that inhibition may have been causing these samples to be negative, the spiked positive technique was used to evaluate inhibition during the qPCR amplification of these samples. The Ct difference was calculated by taking the mean Ct value of each sample and subtracting the mean Ct value of the 0.1 </w:t>
      </w:r>
      <w:proofErr w:type="spellStart"/>
      <w:r w:rsidRPr="00A94C58">
        <w:rPr>
          <w:color w:val="000000"/>
        </w:rPr>
        <w:t>pg</w:t>
      </w:r>
      <w:proofErr w:type="spellEnd"/>
      <w:r w:rsidRPr="00A94C58">
        <w:rPr>
          <w:color w:val="000000"/>
        </w:rPr>
        <w:t xml:space="preserve"> positive control (26.65). Across all soil DNA samples, the range of Ct difference was 0.69-2.14, and the mean Ct difference was 1.25 (Table S1). </w:t>
      </w:r>
      <w:r w:rsidRPr="00A94C58">
        <w:t>The results showed that the PCR amplification of 0</w:t>
      </w:r>
      <w:r w:rsidRPr="00A94C58">
        <w:rPr>
          <w:color w:val="000000"/>
        </w:rPr>
        <w:t xml:space="preserve">.1 </w:t>
      </w:r>
      <w:proofErr w:type="spellStart"/>
      <w:r w:rsidRPr="00A94C58">
        <w:rPr>
          <w:color w:val="000000"/>
        </w:rPr>
        <w:t>pg</w:t>
      </w:r>
      <w:proofErr w:type="spellEnd"/>
      <w:r w:rsidRPr="00A94C58">
        <w:rPr>
          <w:color w:val="000000"/>
        </w:rPr>
        <w:t xml:space="preserve"> of pure </w:t>
      </w:r>
      <w:r w:rsidRPr="00A94C58">
        <w:rPr>
          <w:i/>
          <w:iCs/>
          <w:color w:val="000000"/>
        </w:rPr>
        <w:t xml:space="preserve">A. </w:t>
      </w:r>
      <w:proofErr w:type="spellStart"/>
      <w:r w:rsidRPr="00A94C58">
        <w:rPr>
          <w:i/>
          <w:iCs/>
          <w:color w:val="000000"/>
        </w:rPr>
        <w:t>cochlioides</w:t>
      </w:r>
      <w:proofErr w:type="spellEnd"/>
      <w:r w:rsidRPr="00A94C58">
        <w:rPr>
          <w:i/>
          <w:iCs/>
          <w:color w:val="000000"/>
        </w:rPr>
        <w:t xml:space="preserve"> </w:t>
      </w:r>
      <w:r w:rsidRPr="00A94C58">
        <w:rPr>
          <w:color w:val="000000"/>
        </w:rPr>
        <w:t xml:space="preserve">DNA was reduced slightly in the presence of various soil DNA, but never inhibited. </w:t>
      </w:r>
    </w:p>
    <w:p w14:paraId="6BC5254A" w14:textId="0E372A23" w:rsidR="00D607B6" w:rsidRPr="006A3197" w:rsidRDefault="00AA3615" w:rsidP="00D607B6">
      <w:pPr>
        <w:spacing w:line="480" w:lineRule="auto"/>
      </w:pPr>
      <w:r w:rsidRPr="00AA3615">
        <w:rPr>
          <w:b/>
          <w:bCs/>
          <w:color w:val="000000"/>
        </w:rPr>
        <w:lastRenderedPageBreak/>
        <w:t xml:space="preserve">Supplementary </w:t>
      </w:r>
      <w:r w:rsidR="00D607B6" w:rsidRPr="00AA3615">
        <w:rPr>
          <w:b/>
          <w:bCs/>
          <w:color w:val="000000"/>
        </w:rPr>
        <w:t>Table S1</w:t>
      </w:r>
      <w:r w:rsidR="00D607B6" w:rsidRPr="006A3197">
        <w:rPr>
          <w:color w:val="000000"/>
        </w:rPr>
        <w:t xml:space="preserve">. Mean Ct values of naturally infested soil sample DNA extracted with the standard protocol of the </w:t>
      </w:r>
      <w:proofErr w:type="spellStart"/>
      <w:r w:rsidR="00D607B6" w:rsidRPr="006A3197">
        <w:rPr>
          <w:color w:val="000000"/>
        </w:rPr>
        <w:t>FastDNA</w:t>
      </w:r>
      <w:proofErr w:type="spellEnd"/>
      <w:r w:rsidR="00D607B6" w:rsidRPr="006A3197">
        <w:rPr>
          <w:color w:val="000000"/>
        </w:rPr>
        <w:t xml:space="preserve"> Spin Kit for Soil with </w:t>
      </w:r>
      <w:r w:rsidR="00D607B6">
        <w:rPr>
          <w:color w:val="000000"/>
        </w:rPr>
        <w:t>spiked</w:t>
      </w:r>
      <w:r w:rsidR="00D607B6" w:rsidRPr="006A3197">
        <w:rPr>
          <w:color w:val="000000"/>
        </w:rPr>
        <w:t xml:space="preserve"> positive control (PC). The PC was 0.1 </w:t>
      </w:r>
      <w:proofErr w:type="spellStart"/>
      <w:r w:rsidR="00D607B6" w:rsidRPr="006A3197">
        <w:rPr>
          <w:color w:val="000000"/>
        </w:rPr>
        <w:t>pg</w:t>
      </w:r>
      <w:proofErr w:type="spellEnd"/>
      <w:r w:rsidR="00D607B6" w:rsidRPr="006A3197">
        <w:rPr>
          <w:color w:val="000000"/>
        </w:rPr>
        <w:t xml:space="preserve"> </w:t>
      </w:r>
      <w:r w:rsidR="00D607B6" w:rsidRPr="006A3197">
        <w:rPr>
          <w:i/>
          <w:iCs/>
          <w:color w:val="000000"/>
        </w:rPr>
        <w:t xml:space="preserve">Aphanomyces </w:t>
      </w:r>
      <w:proofErr w:type="spellStart"/>
      <w:r w:rsidR="00D607B6" w:rsidRPr="006A3197">
        <w:rPr>
          <w:i/>
          <w:iCs/>
          <w:color w:val="000000"/>
        </w:rPr>
        <w:t>cochlioides</w:t>
      </w:r>
      <w:proofErr w:type="spellEnd"/>
      <w:r w:rsidR="00D607B6" w:rsidRPr="006A3197">
        <w:rPr>
          <w:i/>
          <w:iCs/>
          <w:color w:val="000000"/>
        </w:rPr>
        <w:t xml:space="preserve"> </w:t>
      </w:r>
      <w:r w:rsidR="00D607B6" w:rsidRPr="006A3197">
        <w:rPr>
          <w:color w:val="000000"/>
        </w:rPr>
        <w:t>DNA</w:t>
      </w:r>
      <w:r w:rsidR="00D607B6">
        <w:rPr>
          <w:color w:val="000000"/>
        </w:rPr>
        <w:t xml:space="preserve"> with a consistent Ct value of 26.65</w:t>
      </w:r>
      <w:r w:rsidR="00D607B6" w:rsidRPr="006A3197">
        <w:rPr>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2076"/>
        <w:gridCol w:w="1707"/>
        <w:gridCol w:w="3013"/>
      </w:tblGrid>
      <w:tr w:rsidR="00D607B6" w:rsidRPr="006A3197" w14:paraId="5289D21F" w14:textId="77777777" w:rsidTr="008B5054">
        <w:tc>
          <w:tcPr>
            <w:tcW w:w="0" w:type="auto"/>
            <w:tcBorders>
              <w:top w:val="single" w:sz="4" w:space="0" w:color="auto"/>
              <w:bottom w:val="single" w:sz="4" w:space="0" w:color="auto"/>
            </w:tcBorders>
            <w:tcMar>
              <w:top w:w="100" w:type="dxa"/>
              <w:left w:w="100" w:type="dxa"/>
              <w:bottom w:w="100" w:type="dxa"/>
              <w:right w:w="100" w:type="dxa"/>
            </w:tcMar>
            <w:hideMark/>
          </w:tcPr>
          <w:p w14:paraId="053477E8" w14:textId="77777777" w:rsidR="00D607B6" w:rsidRPr="006A3197" w:rsidRDefault="00D607B6" w:rsidP="008B5054">
            <w:pPr>
              <w:jc w:val="center"/>
            </w:pPr>
            <w:r w:rsidRPr="006A3197">
              <w:rPr>
                <w:b/>
                <w:bCs/>
                <w:color w:val="000000"/>
              </w:rPr>
              <w:t>Sample</w:t>
            </w:r>
            <w:r>
              <w:rPr>
                <w:b/>
                <w:bCs/>
                <w:color w:val="000000"/>
              </w:rPr>
              <w:t xml:space="preserve"> Name</w:t>
            </w:r>
          </w:p>
        </w:tc>
        <w:tc>
          <w:tcPr>
            <w:tcW w:w="0" w:type="auto"/>
            <w:tcBorders>
              <w:top w:val="single" w:sz="4" w:space="0" w:color="auto"/>
              <w:bottom w:val="single" w:sz="4" w:space="0" w:color="auto"/>
            </w:tcBorders>
            <w:tcMar>
              <w:top w:w="100" w:type="dxa"/>
              <w:left w:w="100" w:type="dxa"/>
              <w:bottom w:w="100" w:type="dxa"/>
              <w:right w:w="100" w:type="dxa"/>
            </w:tcMar>
            <w:hideMark/>
          </w:tcPr>
          <w:p w14:paraId="48E8A1AC" w14:textId="77777777" w:rsidR="00D607B6" w:rsidRPr="006A3197" w:rsidRDefault="00D607B6" w:rsidP="008B5054">
            <w:pPr>
              <w:jc w:val="center"/>
            </w:pPr>
            <w:r w:rsidRPr="006A3197">
              <w:rPr>
                <w:b/>
                <w:bCs/>
                <w:color w:val="000000"/>
              </w:rPr>
              <w:t>Mean Ct value</w:t>
            </w:r>
          </w:p>
        </w:tc>
        <w:tc>
          <w:tcPr>
            <w:tcW w:w="0" w:type="auto"/>
            <w:tcBorders>
              <w:top w:val="single" w:sz="4" w:space="0" w:color="auto"/>
              <w:bottom w:val="single" w:sz="4" w:space="0" w:color="auto"/>
            </w:tcBorders>
            <w:tcMar>
              <w:top w:w="100" w:type="dxa"/>
              <w:left w:w="100" w:type="dxa"/>
              <w:bottom w:w="100" w:type="dxa"/>
              <w:right w:w="100" w:type="dxa"/>
            </w:tcMar>
            <w:hideMark/>
          </w:tcPr>
          <w:p w14:paraId="1F8F2BA3" w14:textId="77777777" w:rsidR="00D607B6" w:rsidRPr="006A3197" w:rsidRDefault="00D607B6" w:rsidP="008B5054">
            <w:pPr>
              <w:jc w:val="center"/>
            </w:pPr>
            <w:r w:rsidRPr="006A3197">
              <w:rPr>
                <w:b/>
                <w:bCs/>
                <w:color w:val="000000"/>
              </w:rPr>
              <w:t xml:space="preserve">Ct </w:t>
            </w:r>
            <w:r>
              <w:rPr>
                <w:b/>
                <w:bCs/>
                <w:color w:val="000000"/>
              </w:rPr>
              <w:t>value deviation</w:t>
            </w:r>
            <w:r w:rsidRPr="006A3197">
              <w:rPr>
                <w:b/>
                <w:bCs/>
                <w:color w:val="000000"/>
              </w:rPr>
              <w:t xml:space="preserve"> from PC</w:t>
            </w:r>
          </w:p>
        </w:tc>
      </w:tr>
      <w:tr w:rsidR="00D607B6" w:rsidRPr="006A3197" w14:paraId="3418F9FA" w14:textId="77777777" w:rsidTr="008B5054">
        <w:tc>
          <w:tcPr>
            <w:tcW w:w="0" w:type="auto"/>
            <w:tcMar>
              <w:top w:w="100" w:type="dxa"/>
              <w:left w:w="100" w:type="dxa"/>
              <w:bottom w:w="100" w:type="dxa"/>
              <w:right w:w="100" w:type="dxa"/>
            </w:tcMar>
          </w:tcPr>
          <w:p w14:paraId="0C4EDB29" w14:textId="77777777" w:rsidR="00D607B6" w:rsidRPr="006A3197" w:rsidRDefault="00D607B6" w:rsidP="008B5054">
            <w:pPr>
              <w:jc w:val="center"/>
              <w:rPr>
                <w:color w:val="000000"/>
              </w:rPr>
            </w:pPr>
            <w:r w:rsidRPr="006A3197">
              <w:rPr>
                <w:color w:val="000000"/>
              </w:rPr>
              <w:t>AC10 S3 + PC</w:t>
            </w:r>
          </w:p>
        </w:tc>
        <w:tc>
          <w:tcPr>
            <w:tcW w:w="0" w:type="auto"/>
            <w:tcMar>
              <w:top w:w="100" w:type="dxa"/>
              <w:left w:w="100" w:type="dxa"/>
              <w:bottom w:w="100" w:type="dxa"/>
              <w:right w:w="100" w:type="dxa"/>
            </w:tcMar>
          </w:tcPr>
          <w:p w14:paraId="483A7CF3" w14:textId="77777777" w:rsidR="00D607B6" w:rsidRPr="006A3197" w:rsidRDefault="00D607B6" w:rsidP="008B5054">
            <w:pPr>
              <w:jc w:val="center"/>
              <w:rPr>
                <w:color w:val="000000"/>
              </w:rPr>
            </w:pPr>
            <w:r w:rsidRPr="006A3197">
              <w:rPr>
                <w:color w:val="000000"/>
              </w:rPr>
              <w:t>27.79</w:t>
            </w:r>
          </w:p>
        </w:tc>
        <w:tc>
          <w:tcPr>
            <w:tcW w:w="0" w:type="auto"/>
            <w:tcMar>
              <w:top w:w="100" w:type="dxa"/>
              <w:left w:w="100" w:type="dxa"/>
              <w:bottom w:w="100" w:type="dxa"/>
              <w:right w:w="100" w:type="dxa"/>
            </w:tcMar>
          </w:tcPr>
          <w:p w14:paraId="06D853F1" w14:textId="77777777" w:rsidR="00D607B6" w:rsidRPr="006A3197" w:rsidRDefault="00D607B6" w:rsidP="008B5054">
            <w:pPr>
              <w:jc w:val="center"/>
              <w:rPr>
                <w:color w:val="000000"/>
              </w:rPr>
            </w:pPr>
            <w:r w:rsidRPr="006A3197">
              <w:rPr>
                <w:color w:val="000000"/>
              </w:rPr>
              <w:t>1.14</w:t>
            </w:r>
          </w:p>
        </w:tc>
      </w:tr>
      <w:tr w:rsidR="00D607B6" w:rsidRPr="006A3197" w14:paraId="0D377D03" w14:textId="77777777" w:rsidTr="008B5054">
        <w:tc>
          <w:tcPr>
            <w:tcW w:w="0" w:type="auto"/>
            <w:tcMar>
              <w:top w:w="100" w:type="dxa"/>
              <w:left w:w="100" w:type="dxa"/>
              <w:bottom w:w="100" w:type="dxa"/>
              <w:right w:w="100" w:type="dxa"/>
            </w:tcMar>
            <w:hideMark/>
          </w:tcPr>
          <w:p w14:paraId="3D3AB2DA" w14:textId="77777777" w:rsidR="00D607B6" w:rsidRPr="006A3197" w:rsidRDefault="00D607B6" w:rsidP="008B5054">
            <w:pPr>
              <w:jc w:val="center"/>
            </w:pPr>
            <w:r w:rsidRPr="006A3197">
              <w:rPr>
                <w:color w:val="000000"/>
              </w:rPr>
              <w:t>AC10 S4 + PC</w:t>
            </w:r>
          </w:p>
        </w:tc>
        <w:tc>
          <w:tcPr>
            <w:tcW w:w="0" w:type="auto"/>
            <w:tcMar>
              <w:top w:w="100" w:type="dxa"/>
              <w:left w:w="100" w:type="dxa"/>
              <w:bottom w:w="100" w:type="dxa"/>
              <w:right w:w="100" w:type="dxa"/>
            </w:tcMar>
            <w:hideMark/>
          </w:tcPr>
          <w:p w14:paraId="0FEC3688" w14:textId="77777777" w:rsidR="00D607B6" w:rsidRPr="006A3197" w:rsidRDefault="00D607B6" w:rsidP="008B5054">
            <w:pPr>
              <w:jc w:val="center"/>
            </w:pPr>
            <w:r w:rsidRPr="006A3197">
              <w:rPr>
                <w:color w:val="000000"/>
              </w:rPr>
              <w:t>27.34</w:t>
            </w:r>
          </w:p>
        </w:tc>
        <w:tc>
          <w:tcPr>
            <w:tcW w:w="0" w:type="auto"/>
            <w:tcMar>
              <w:top w:w="100" w:type="dxa"/>
              <w:left w:w="100" w:type="dxa"/>
              <w:bottom w:w="100" w:type="dxa"/>
              <w:right w:w="100" w:type="dxa"/>
            </w:tcMar>
            <w:hideMark/>
          </w:tcPr>
          <w:p w14:paraId="73F4B102" w14:textId="77777777" w:rsidR="00D607B6" w:rsidRPr="006A3197" w:rsidRDefault="00D607B6" w:rsidP="008B5054">
            <w:pPr>
              <w:jc w:val="center"/>
            </w:pPr>
            <w:r w:rsidRPr="006A3197">
              <w:rPr>
                <w:color w:val="000000"/>
              </w:rPr>
              <w:t>0.69</w:t>
            </w:r>
          </w:p>
        </w:tc>
      </w:tr>
      <w:tr w:rsidR="00D607B6" w:rsidRPr="006A3197" w14:paraId="532F4FD9" w14:textId="77777777" w:rsidTr="008B5054">
        <w:tc>
          <w:tcPr>
            <w:tcW w:w="0" w:type="auto"/>
            <w:tcMar>
              <w:top w:w="100" w:type="dxa"/>
              <w:left w:w="100" w:type="dxa"/>
              <w:bottom w:w="100" w:type="dxa"/>
              <w:right w:w="100" w:type="dxa"/>
            </w:tcMar>
            <w:hideMark/>
          </w:tcPr>
          <w:p w14:paraId="24C38321" w14:textId="77777777" w:rsidR="00D607B6" w:rsidRPr="006A3197" w:rsidRDefault="00D607B6" w:rsidP="008B5054">
            <w:pPr>
              <w:jc w:val="center"/>
            </w:pPr>
            <w:r w:rsidRPr="006A3197">
              <w:rPr>
                <w:color w:val="000000"/>
              </w:rPr>
              <w:t>19-38 + PC</w:t>
            </w:r>
          </w:p>
        </w:tc>
        <w:tc>
          <w:tcPr>
            <w:tcW w:w="0" w:type="auto"/>
            <w:tcMar>
              <w:top w:w="100" w:type="dxa"/>
              <w:left w:w="100" w:type="dxa"/>
              <w:bottom w:w="100" w:type="dxa"/>
              <w:right w:w="100" w:type="dxa"/>
            </w:tcMar>
            <w:hideMark/>
          </w:tcPr>
          <w:p w14:paraId="7B8A54D0" w14:textId="77777777" w:rsidR="00D607B6" w:rsidRPr="006A3197" w:rsidRDefault="00D607B6" w:rsidP="008B5054">
            <w:pPr>
              <w:jc w:val="center"/>
            </w:pPr>
            <w:r w:rsidRPr="006A3197">
              <w:rPr>
                <w:color w:val="000000"/>
              </w:rPr>
              <w:t>28.05</w:t>
            </w:r>
          </w:p>
        </w:tc>
        <w:tc>
          <w:tcPr>
            <w:tcW w:w="0" w:type="auto"/>
            <w:tcMar>
              <w:top w:w="100" w:type="dxa"/>
              <w:left w:w="100" w:type="dxa"/>
              <w:bottom w:w="100" w:type="dxa"/>
              <w:right w:w="100" w:type="dxa"/>
            </w:tcMar>
            <w:hideMark/>
          </w:tcPr>
          <w:p w14:paraId="04E4A8E0" w14:textId="77777777" w:rsidR="00D607B6" w:rsidRPr="006A3197" w:rsidRDefault="00D607B6" w:rsidP="008B5054">
            <w:pPr>
              <w:jc w:val="center"/>
            </w:pPr>
            <w:r w:rsidRPr="006A3197">
              <w:rPr>
                <w:color w:val="000000"/>
              </w:rPr>
              <w:t>1.4</w:t>
            </w:r>
          </w:p>
        </w:tc>
      </w:tr>
      <w:tr w:rsidR="00D607B6" w:rsidRPr="006A3197" w14:paraId="133F6970" w14:textId="77777777" w:rsidTr="008B5054">
        <w:tc>
          <w:tcPr>
            <w:tcW w:w="0" w:type="auto"/>
            <w:tcMar>
              <w:top w:w="100" w:type="dxa"/>
              <w:left w:w="100" w:type="dxa"/>
              <w:bottom w:w="100" w:type="dxa"/>
              <w:right w:w="100" w:type="dxa"/>
            </w:tcMar>
            <w:hideMark/>
          </w:tcPr>
          <w:p w14:paraId="591713B1" w14:textId="77777777" w:rsidR="00D607B6" w:rsidRPr="006A3197" w:rsidRDefault="00D607B6" w:rsidP="008B5054">
            <w:pPr>
              <w:jc w:val="center"/>
            </w:pPr>
            <w:r w:rsidRPr="006A3197">
              <w:rPr>
                <w:color w:val="000000"/>
              </w:rPr>
              <w:t>19-43 + PC</w:t>
            </w:r>
          </w:p>
        </w:tc>
        <w:tc>
          <w:tcPr>
            <w:tcW w:w="0" w:type="auto"/>
            <w:tcMar>
              <w:top w:w="100" w:type="dxa"/>
              <w:left w:w="100" w:type="dxa"/>
              <w:bottom w:w="100" w:type="dxa"/>
              <w:right w:w="100" w:type="dxa"/>
            </w:tcMar>
            <w:hideMark/>
          </w:tcPr>
          <w:p w14:paraId="655B61AA" w14:textId="77777777" w:rsidR="00D607B6" w:rsidRPr="006A3197" w:rsidRDefault="00D607B6" w:rsidP="008B5054">
            <w:pPr>
              <w:jc w:val="center"/>
            </w:pPr>
            <w:r w:rsidRPr="006A3197">
              <w:rPr>
                <w:color w:val="000000"/>
              </w:rPr>
              <w:t>28.79</w:t>
            </w:r>
          </w:p>
        </w:tc>
        <w:tc>
          <w:tcPr>
            <w:tcW w:w="0" w:type="auto"/>
            <w:tcMar>
              <w:top w:w="100" w:type="dxa"/>
              <w:left w:w="100" w:type="dxa"/>
              <w:bottom w:w="100" w:type="dxa"/>
              <w:right w:w="100" w:type="dxa"/>
            </w:tcMar>
            <w:hideMark/>
          </w:tcPr>
          <w:p w14:paraId="7DBE93F7" w14:textId="77777777" w:rsidR="00D607B6" w:rsidRPr="006A3197" w:rsidRDefault="00D607B6" w:rsidP="008B5054">
            <w:pPr>
              <w:jc w:val="center"/>
            </w:pPr>
            <w:r w:rsidRPr="006A3197">
              <w:rPr>
                <w:color w:val="000000"/>
              </w:rPr>
              <w:t>2.14</w:t>
            </w:r>
          </w:p>
        </w:tc>
      </w:tr>
      <w:tr w:rsidR="00D607B6" w:rsidRPr="006A3197" w14:paraId="173C58A6" w14:textId="77777777" w:rsidTr="008B5054">
        <w:tc>
          <w:tcPr>
            <w:tcW w:w="0" w:type="auto"/>
            <w:tcMar>
              <w:top w:w="100" w:type="dxa"/>
              <w:left w:w="100" w:type="dxa"/>
              <w:bottom w:w="100" w:type="dxa"/>
              <w:right w:w="100" w:type="dxa"/>
            </w:tcMar>
            <w:hideMark/>
          </w:tcPr>
          <w:p w14:paraId="02BCA729" w14:textId="77777777" w:rsidR="00D607B6" w:rsidRPr="006A3197" w:rsidRDefault="00D607B6" w:rsidP="008B5054">
            <w:pPr>
              <w:jc w:val="center"/>
            </w:pPr>
            <w:r w:rsidRPr="006A3197">
              <w:rPr>
                <w:color w:val="000000"/>
              </w:rPr>
              <w:t>19-47 + PC</w:t>
            </w:r>
          </w:p>
        </w:tc>
        <w:tc>
          <w:tcPr>
            <w:tcW w:w="0" w:type="auto"/>
            <w:tcMar>
              <w:top w:w="100" w:type="dxa"/>
              <w:left w:w="100" w:type="dxa"/>
              <w:bottom w:w="100" w:type="dxa"/>
              <w:right w:w="100" w:type="dxa"/>
            </w:tcMar>
            <w:hideMark/>
          </w:tcPr>
          <w:p w14:paraId="1A658F96" w14:textId="77777777" w:rsidR="00D607B6" w:rsidRPr="006A3197" w:rsidRDefault="00D607B6" w:rsidP="008B5054">
            <w:pPr>
              <w:jc w:val="center"/>
            </w:pPr>
            <w:r w:rsidRPr="006A3197">
              <w:rPr>
                <w:color w:val="000000"/>
              </w:rPr>
              <w:t>27.82</w:t>
            </w:r>
          </w:p>
        </w:tc>
        <w:tc>
          <w:tcPr>
            <w:tcW w:w="0" w:type="auto"/>
            <w:tcMar>
              <w:top w:w="100" w:type="dxa"/>
              <w:left w:w="100" w:type="dxa"/>
              <w:bottom w:w="100" w:type="dxa"/>
              <w:right w:w="100" w:type="dxa"/>
            </w:tcMar>
            <w:hideMark/>
          </w:tcPr>
          <w:p w14:paraId="4542301B" w14:textId="77777777" w:rsidR="00D607B6" w:rsidRPr="006A3197" w:rsidRDefault="00D607B6" w:rsidP="008B5054">
            <w:pPr>
              <w:jc w:val="center"/>
            </w:pPr>
            <w:r w:rsidRPr="006A3197">
              <w:rPr>
                <w:color w:val="000000"/>
              </w:rPr>
              <w:t>1.17</w:t>
            </w:r>
          </w:p>
        </w:tc>
      </w:tr>
      <w:tr w:rsidR="00D607B6" w:rsidRPr="006A3197" w14:paraId="7FEDB784" w14:textId="77777777" w:rsidTr="008B5054">
        <w:tc>
          <w:tcPr>
            <w:tcW w:w="0" w:type="auto"/>
            <w:tcMar>
              <w:top w:w="100" w:type="dxa"/>
              <w:left w:w="100" w:type="dxa"/>
              <w:bottom w:w="100" w:type="dxa"/>
              <w:right w:w="100" w:type="dxa"/>
            </w:tcMar>
            <w:hideMark/>
          </w:tcPr>
          <w:p w14:paraId="01218DCF" w14:textId="77777777" w:rsidR="00D607B6" w:rsidRPr="006A3197" w:rsidRDefault="00D607B6" w:rsidP="008B5054">
            <w:pPr>
              <w:jc w:val="center"/>
            </w:pPr>
            <w:r w:rsidRPr="006A3197">
              <w:rPr>
                <w:color w:val="000000"/>
              </w:rPr>
              <w:t>19-59 + PC</w:t>
            </w:r>
          </w:p>
        </w:tc>
        <w:tc>
          <w:tcPr>
            <w:tcW w:w="0" w:type="auto"/>
            <w:tcMar>
              <w:top w:w="100" w:type="dxa"/>
              <w:left w:w="100" w:type="dxa"/>
              <w:bottom w:w="100" w:type="dxa"/>
              <w:right w:w="100" w:type="dxa"/>
            </w:tcMar>
            <w:hideMark/>
          </w:tcPr>
          <w:p w14:paraId="7F49E5D5" w14:textId="77777777" w:rsidR="00D607B6" w:rsidRPr="006A3197" w:rsidRDefault="00D607B6" w:rsidP="008B5054">
            <w:pPr>
              <w:jc w:val="center"/>
            </w:pPr>
            <w:r w:rsidRPr="006A3197">
              <w:rPr>
                <w:color w:val="000000"/>
              </w:rPr>
              <w:t>27.99</w:t>
            </w:r>
          </w:p>
        </w:tc>
        <w:tc>
          <w:tcPr>
            <w:tcW w:w="0" w:type="auto"/>
            <w:tcMar>
              <w:top w:w="100" w:type="dxa"/>
              <w:left w:w="100" w:type="dxa"/>
              <w:bottom w:w="100" w:type="dxa"/>
              <w:right w:w="100" w:type="dxa"/>
            </w:tcMar>
            <w:hideMark/>
          </w:tcPr>
          <w:p w14:paraId="51031FF4" w14:textId="77777777" w:rsidR="00D607B6" w:rsidRPr="006A3197" w:rsidRDefault="00D607B6" w:rsidP="008B5054">
            <w:pPr>
              <w:jc w:val="center"/>
            </w:pPr>
            <w:r w:rsidRPr="006A3197">
              <w:rPr>
                <w:color w:val="000000"/>
              </w:rPr>
              <w:t>1.34</w:t>
            </w:r>
          </w:p>
        </w:tc>
      </w:tr>
      <w:tr w:rsidR="00D607B6" w:rsidRPr="006A3197" w14:paraId="1F3C2890" w14:textId="77777777" w:rsidTr="008B5054">
        <w:tc>
          <w:tcPr>
            <w:tcW w:w="0" w:type="auto"/>
            <w:tcMar>
              <w:top w:w="100" w:type="dxa"/>
              <w:left w:w="100" w:type="dxa"/>
              <w:bottom w:w="100" w:type="dxa"/>
              <w:right w:w="100" w:type="dxa"/>
            </w:tcMar>
            <w:hideMark/>
          </w:tcPr>
          <w:p w14:paraId="5DA64806" w14:textId="77777777" w:rsidR="00D607B6" w:rsidRPr="006A3197" w:rsidRDefault="00D607B6" w:rsidP="008B5054">
            <w:pPr>
              <w:jc w:val="center"/>
            </w:pPr>
            <w:r w:rsidRPr="006A3197">
              <w:rPr>
                <w:color w:val="000000"/>
              </w:rPr>
              <w:t>19-60 + PC</w:t>
            </w:r>
          </w:p>
        </w:tc>
        <w:tc>
          <w:tcPr>
            <w:tcW w:w="0" w:type="auto"/>
            <w:tcMar>
              <w:top w:w="100" w:type="dxa"/>
              <w:left w:w="100" w:type="dxa"/>
              <w:bottom w:w="100" w:type="dxa"/>
              <w:right w:w="100" w:type="dxa"/>
            </w:tcMar>
            <w:hideMark/>
          </w:tcPr>
          <w:p w14:paraId="4F25FECC" w14:textId="77777777" w:rsidR="00D607B6" w:rsidRPr="006A3197" w:rsidRDefault="00D607B6" w:rsidP="008B5054">
            <w:pPr>
              <w:jc w:val="center"/>
            </w:pPr>
            <w:r w:rsidRPr="006A3197">
              <w:rPr>
                <w:color w:val="000000"/>
              </w:rPr>
              <w:t>27.89</w:t>
            </w:r>
          </w:p>
        </w:tc>
        <w:tc>
          <w:tcPr>
            <w:tcW w:w="0" w:type="auto"/>
            <w:tcMar>
              <w:top w:w="100" w:type="dxa"/>
              <w:left w:w="100" w:type="dxa"/>
              <w:bottom w:w="100" w:type="dxa"/>
              <w:right w:w="100" w:type="dxa"/>
            </w:tcMar>
            <w:hideMark/>
          </w:tcPr>
          <w:p w14:paraId="7FACB22B" w14:textId="77777777" w:rsidR="00D607B6" w:rsidRPr="006A3197" w:rsidRDefault="00D607B6" w:rsidP="008B5054">
            <w:pPr>
              <w:jc w:val="center"/>
            </w:pPr>
            <w:r w:rsidRPr="006A3197">
              <w:rPr>
                <w:color w:val="000000"/>
              </w:rPr>
              <w:t>1.24</w:t>
            </w:r>
          </w:p>
        </w:tc>
      </w:tr>
      <w:tr w:rsidR="00D607B6" w:rsidRPr="006A3197" w14:paraId="65943FE4" w14:textId="77777777" w:rsidTr="008B5054">
        <w:tc>
          <w:tcPr>
            <w:tcW w:w="0" w:type="auto"/>
            <w:tcMar>
              <w:top w:w="100" w:type="dxa"/>
              <w:left w:w="100" w:type="dxa"/>
              <w:bottom w:w="100" w:type="dxa"/>
              <w:right w:w="100" w:type="dxa"/>
            </w:tcMar>
            <w:hideMark/>
          </w:tcPr>
          <w:p w14:paraId="61ECE969" w14:textId="77777777" w:rsidR="00D607B6" w:rsidRPr="006A3197" w:rsidRDefault="00D607B6" w:rsidP="008B5054">
            <w:pPr>
              <w:jc w:val="center"/>
            </w:pPr>
            <w:r w:rsidRPr="006A3197">
              <w:rPr>
                <w:color w:val="000000"/>
              </w:rPr>
              <w:t>SM-AN + PC</w:t>
            </w:r>
          </w:p>
        </w:tc>
        <w:tc>
          <w:tcPr>
            <w:tcW w:w="0" w:type="auto"/>
            <w:tcMar>
              <w:top w:w="100" w:type="dxa"/>
              <w:left w:w="100" w:type="dxa"/>
              <w:bottom w:w="100" w:type="dxa"/>
              <w:right w:w="100" w:type="dxa"/>
            </w:tcMar>
            <w:hideMark/>
          </w:tcPr>
          <w:p w14:paraId="58C35DD3" w14:textId="77777777" w:rsidR="00D607B6" w:rsidRPr="006A3197" w:rsidRDefault="00D607B6" w:rsidP="008B5054">
            <w:pPr>
              <w:jc w:val="center"/>
            </w:pPr>
            <w:r w:rsidRPr="006A3197">
              <w:rPr>
                <w:color w:val="000000"/>
              </w:rPr>
              <w:t>27.99</w:t>
            </w:r>
          </w:p>
        </w:tc>
        <w:tc>
          <w:tcPr>
            <w:tcW w:w="0" w:type="auto"/>
            <w:tcMar>
              <w:top w:w="100" w:type="dxa"/>
              <w:left w:w="100" w:type="dxa"/>
              <w:bottom w:w="100" w:type="dxa"/>
              <w:right w:w="100" w:type="dxa"/>
            </w:tcMar>
            <w:hideMark/>
          </w:tcPr>
          <w:p w14:paraId="59F34B15" w14:textId="77777777" w:rsidR="00D607B6" w:rsidRPr="006A3197" w:rsidRDefault="00D607B6" w:rsidP="008B5054">
            <w:pPr>
              <w:jc w:val="center"/>
            </w:pPr>
            <w:r w:rsidRPr="006A3197">
              <w:rPr>
                <w:color w:val="000000"/>
              </w:rPr>
              <w:t>1.34</w:t>
            </w:r>
          </w:p>
        </w:tc>
      </w:tr>
      <w:tr w:rsidR="00D607B6" w:rsidRPr="006A3197" w14:paraId="7C6D92AD" w14:textId="77777777" w:rsidTr="008B5054">
        <w:tc>
          <w:tcPr>
            <w:tcW w:w="0" w:type="auto"/>
            <w:tcMar>
              <w:top w:w="100" w:type="dxa"/>
              <w:left w:w="100" w:type="dxa"/>
              <w:bottom w:w="100" w:type="dxa"/>
              <w:right w:w="100" w:type="dxa"/>
            </w:tcMar>
            <w:hideMark/>
          </w:tcPr>
          <w:p w14:paraId="0363F0D0" w14:textId="77777777" w:rsidR="00D607B6" w:rsidRPr="006A3197" w:rsidRDefault="00D607B6" w:rsidP="008B5054">
            <w:pPr>
              <w:jc w:val="center"/>
            </w:pPr>
            <w:r w:rsidRPr="006A3197">
              <w:rPr>
                <w:color w:val="000000"/>
              </w:rPr>
              <w:t>Grandin + PC</w:t>
            </w:r>
          </w:p>
        </w:tc>
        <w:tc>
          <w:tcPr>
            <w:tcW w:w="0" w:type="auto"/>
            <w:tcMar>
              <w:top w:w="100" w:type="dxa"/>
              <w:left w:w="100" w:type="dxa"/>
              <w:bottom w:w="100" w:type="dxa"/>
              <w:right w:w="100" w:type="dxa"/>
            </w:tcMar>
            <w:hideMark/>
          </w:tcPr>
          <w:p w14:paraId="2C1A0D04" w14:textId="77777777" w:rsidR="00D607B6" w:rsidRPr="006A3197" w:rsidRDefault="00D607B6" w:rsidP="008B5054">
            <w:pPr>
              <w:jc w:val="center"/>
            </w:pPr>
            <w:r w:rsidRPr="006A3197">
              <w:rPr>
                <w:color w:val="000000"/>
              </w:rPr>
              <w:t>27.49</w:t>
            </w:r>
          </w:p>
        </w:tc>
        <w:tc>
          <w:tcPr>
            <w:tcW w:w="0" w:type="auto"/>
            <w:tcMar>
              <w:top w:w="100" w:type="dxa"/>
              <w:left w:w="100" w:type="dxa"/>
              <w:bottom w:w="100" w:type="dxa"/>
              <w:right w:w="100" w:type="dxa"/>
            </w:tcMar>
            <w:hideMark/>
          </w:tcPr>
          <w:p w14:paraId="7E7227CB" w14:textId="77777777" w:rsidR="00D607B6" w:rsidRPr="006A3197" w:rsidRDefault="00D607B6" w:rsidP="008B5054">
            <w:pPr>
              <w:jc w:val="center"/>
            </w:pPr>
            <w:r w:rsidRPr="006A3197">
              <w:rPr>
                <w:color w:val="000000"/>
              </w:rPr>
              <w:t>0.84</w:t>
            </w:r>
          </w:p>
        </w:tc>
      </w:tr>
      <w:tr w:rsidR="00D607B6" w:rsidRPr="006A3197" w14:paraId="68776659" w14:textId="77777777" w:rsidTr="008B5054">
        <w:tc>
          <w:tcPr>
            <w:tcW w:w="0" w:type="auto"/>
            <w:tcMar>
              <w:top w:w="100" w:type="dxa"/>
              <w:left w:w="100" w:type="dxa"/>
              <w:bottom w:w="100" w:type="dxa"/>
              <w:right w:w="100" w:type="dxa"/>
            </w:tcMar>
            <w:hideMark/>
          </w:tcPr>
          <w:p w14:paraId="12A0E179" w14:textId="77777777" w:rsidR="00D607B6" w:rsidRPr="006A3197" w:rsidRDefault="00D607B6" w:rsidP="008B5054">
            <w:pPr>
              <w:jc w:val="center"/>
            </w:pPr>
            <w:r w:rsidRPr="006A3197">
              <w:rPr>
                <w:color w:val="000000"/>
              </w:rPr>
              <w:t>Climax South + PC</w:t>
            </w:r>
          </w:p>
        </w:tc>
        <w:tc>
          <w:tcPr>
            <w:tcW w:w="0" w:type="auto"/>
            <w:tcMar>
              <w:top w:w="100" w:type="dxa"/>
              <w:left w:w="100" w:type="dxa"/>
              <w:bottom w:w="100" w:type="dxa"/>
              <w:right w:w="100" w:type="dxa"/>
            </w:tcMar>
            <w:hideMark/>
          </w:tcPr>
          <w:p w14:paraId="40F6A4B7" w14:textId="77777777" w:rsidR="00D607B6" w:rsidRPr="006A3197" w:rsidRDefault="00D607B6" w:rsidP="008B5054">
            <w:pPr>
              <w:jc w:val="center"/>
            </w:pPr>
            <w:r w:rsidRPr="006A3197">
              <w:rPr>
                <w:color w:val="000000"/>
              </w:rPr>
              <w:t>27.55</w:t>
            </w:r>
          </w:p>
        </w:tc>
        <w:tc>
          <w:tcPr>
            <w:tcW w:w="0" w:type="auto"/>
            <w:tcMar>
              <w:top w:w="100" w:type="dxa"/>
              <w:left w:w="100" w:type="dxa"/>
              <w:bottom w:w="100" w:type="dxa"/>
              <w:right w:w="100" w:type="dxa"/>
            </w:tcMar>
            <w:hideMark/>
          </w:tcPr>
          <w:p w14:paraId="5119DE71" w14:textId="77777777" w:rsidR="00D607B6" w:rsidRPr="006A3197" w:rsidRDefault="00D607B6" w:rsidP="008B5054">
            <w:pPr>
              <w:jc w:val="center"/>
            </w:pPr>
            <w:r w:rsidRPr="006A3197">
              <w:rPr>
                <w:color w:val="000000"/>
              </w:rPr>
              <w:t>0.9</w:t>
            </w:r>
          </w:p>
        </w:tc>
      </w:tr>
      <w:tr w:rsidR="00D607B6" w:rsidRPr="006A3197" w14:paraId="3253AAC6" w14:textId="77777777" w:rsidTr="008B5054">
        <w:tc>
          <w:tcPr>
            <w:tcW w:w="0" w:type="auto"/>
            <w:tcMar>
              <w:top w:w="100" w:type="dxa"/>
              <w:left w:w="100" w:type="dxa"/>
              <w:bottom w:w="100" w:type="dxa"/>
              <w:right w:w="100" w:type="dxa"/>
            </w:tcMar>
            <w:hideMark/>
          </w:tcPr>
          <w:p w14:paraId="479E413E" w14:textId="77777777" w:rsidR="00D607B6" w:rsidRPr="006A3197" w:rsidRDefault="00D607B6" w:rsidP="008B5054">
            <w:pPr>
              <w:jc w:val="center"/>
            </w:pPr>
            <w:r w:rsidRPr="006A3197">
              <w:rPr>
                <w:color w:val="000000"/>
              </w:rPr>
              <w:t>Climax North + PC</w:t>
            </w:r>
          </w:p>
        </w:tc>
        <w:tc>
          <w:tcPr>
            <w:tcW w:w="0" w:type="auto"/>
            <w:tcMar>
              <w:top w:w="100" w:type="dxa"/>
              <w:left w:w="100" w:type="dxa"/>
              <w:bottom w:w="100" w:type="dxa"/>
              <w:right w:w="100" w:type="dxa"/>
            </w:tcMar>
            <w:hideMark/>
          </w:tcPr>
          <w:p w14:paraId="1D39CA5B" w14:textId="77777777" w:rsidR="00D607B6" w:rsidRPr="006A3197" w:rsidRDefault="00D607B6" w:rsidP="008B5054">
            <w:pPr>
              <w:jc w:val="center"/>
            </w:pPr>
            <w:r w:rsidRPr="006A3197">
              <w:rPr>
                <w:color w:val="000000"/>
              </w:rPr>
              <w:t>28.36</w:t>
            </w:r>
          </w:p>
        </w:tc>
        <w:tc>
          <w:tcPr>
            <w:tcW w:w="0" w:type="auto"/>
            <w:tcMar>
              <w:top w:w="100" w:type="dxa"/>
              <w:left w:w="100" w:type="dxa"/>
              <w:bottom w:w="100" w:type="dxa"/>
              <w:right w:w="100" w:type="dxa"/>
            </w:tcMar>
            <w:hideMark/>
          </w:tcPr>
          <w:p w14:paraId="4D14CEF0" w14:textId="77777777" w:rsidR="00D607B6" w:rsidRPr="006A3197" w:rsidRDefault="00D607B6" w:rsidP="008B5054">
            <w:pPr>
              <w:jc w:val="center"/>
            </w:pPr>
            <w:r w:rsidRPr="006A3197">
              <w:rPr>
                <w:color w:val="000000"/>
              </w:rPr>
              <w:t>1.71</w:t>
            </w:r>
          </w:p>
        </w:tc>
      </w:tr>
      <w:tr w:rsidR="00D607B6" w:rsidRPr="006A3197" w14:paraId="369D8CDD" w14:textId="77777777" w:rsidTr="008B5054">
        <w:tc>
          <w:tcPr>
            <w:tcW w:w="0" w:type="auto"/>
            <w:tcBorders>
              <w:bottom w:val="single" w:sz="4" w:space="0" w:color="auto"/>
            </w:tcBorders>
            <w:tcMar>
              <w:top w:w="100" w:type="dxa"/>
              <w:left w:w="100" w:type="dxa"/>
              <w:bottom w:w="100" w:type="dxa"/>
              <w:right w:w="100" w:type="dxa"/>
            </w:tcMar>
            <w:hideMark/>
          </w:tcPr>
          <w:p w14:paraId="4ECB42BF" w14:textId="77777777" w:rsidR="00D607B6" w:rsidRPr="006A3197" w:rsidRDefault="00D607B6" w:rsidP="008B5054">
            <w:pPr>
              <w:jc w:val="center"/>
            </w:pPr>
            <w:proofErr w:type="spellStart"/>
            <w:r w:rsidRPr="006A3197">
              <w:rPr>
                <w:color w:val="000000"/>
              </w:rPr>
              <w:t>Perley</w:t>
            </w:r>
            <w:proofErr w:type="spellEnd"/>
            <w:r w:rsidRPr="006A3197">
              <w:rPr>
                <w:color w:val="000000"/>
              </w:rPr>
              <w:t xml:space="preserve"> + PC</w:t>
            </w:r>
          </w:p>
        </w:tc>
        <w:tc>
          <w:tcPr>
            <w:tcW w:w="0" w:type="auto"/>
            <w:tcBorders>
              <w:bottom w:val="single" w:sz="4" w:space="0" w:color="auto"/>
            </w:tcBorders>
            <w:tcMar>
              <w:top w:w="100" w:type="dxa"/>
              <w:left w:w="100" w:type="dxa"/>
              <w:bottom w:w="100" w:type="dxa"/>
              <w:right w:w="100" w:type="dxa"/>
            </w:tcMar>
            <w:hideMark/>
          </w:tcPr>
          <w:p w14:paraId="66CC8AE7" w14:textId="77777777" w:rsidR="00D607B6" w:rsidRPr="006A3197" w:rsidRDefault="00D607B6" w:rsidP="008B5054">
            <w:pPr>
              <w:jc w:val="center"/>
            </w:pPr>
            <w:r w:rsidRPr="006A3197">
              <w:rPr>
                <w:color w:val="000000"/>
              </w:rPr>
              <w:t>27.72</w:t>
            </w:r>
          </w:p>
        </w:tc>
        <w:tc>
          <w:tcPr>
            <w:tcW w:w="0" w:type="auto"/>
            <w:tcBorders>
              <w:bottom w:val="single" w:sz="4" w:space="0" w:color="auto"/>
            </w:tcBorders>
            <w:tcMar>
              <w:top w:w="100" w:type="dxa"/>
              <w:left w:w="100" w:type="dxa"/>
              <w:bottom w:w="100" w:type="dxa"/>
              <w:right w:w="100" w:type="dxa"/>
            </w:tcMar>
            <w:hideMark/>
          </w:tcPr>
          <w:p w14:paraId="4FF9A0E0" w14:textId="77777777" w:rsidR="00D607B6" w:rsidRPr="006A3197" w:rsidRDefault="00D607B6" w:rsidP="008B5054">
            <w:pPr>
              <w:jc w:val="center"/>
            </w:pPr>
            <w:r w:rsidRPr="006A3197">
              <w:rPr>
                <w:color w:val="000000"/>
              </w:rPr>
              <w:t>1.07</w:t>
            </w:r>
          </w:p>
        </w:tc>
      </w:tr>
    </w:tbl>
    <w:p w14:paraId="5531CBCE" w14:textId="77777777" w:rsidR="00D607B6" w:rsidRDefault="00D607B6" w:rsidP="00D607B6">
      <w:pPr>
        <w:spacing w:line="480" w:lineRule="auto"/>
      </w:pPr>
    </w:p>
    <w:p w14:paraId="72648FA6" w14:textId="77777777" w:rsidR="00D607B6" w:rsidRDefault="00D607B6" w:rsidP="00D607B6">
      <w:pPr>
        <w:spacing w:line="480" w:lineRule="auto"/>
      </w:pPr>
    </w:p>
    <w:p w14:paraId="16E7D023" w14:textId="77777777" w:rsidR="00D607B6" w:rsidRDefault="00D607B6" w:rsidP="00D607B6">
      <w:pPr>
        <w:spacing w:line="480" w:lineRule="auto"/>
      </w:pPr>
    </w:p>
    <w:p w14:paraId="562899DE" w14:textId="45BD0ED0" w:rsidR="00D607B6" w:rsidRDefault="00D607B6" w:rsidP="00D607B6">
      <w:pPr>
        <w:spacing w:line="480" w:lineRule="auto"/>
      </w:pPr>
    </w:p>
    <w:p w14:paraId="00EE1E07" w14:textId="77777777" w:rsidR="00AA3615" w:rsidRDefault="00AA3615" w:rsidP="00D607B6">
      <w:pPr>
        <w:spacing w:line="480" w:lineRule="auto"/>
      </w:pPr>
    </w:p>
    <w:p w14:paraId="6EA3BA9A" w14:textId="77777777" w:rsidR="00D607B6" w:rsidRPr="006A3197" w:rsidRDefault="00D607B6" w:rsidP="00D607B6">
      <w:pPr>
        <w:spacing w:line="480" w:lineRule="auto"/>
      </w:pPr>
    </w:p>
    <w:p w14:paraId="1A3AA7CC" w14:textId="77777777" w:rsidR="00D607B6" w:rsidRPr="006A3197" w:rsidRDefault="00D607B6" w:rsidP="00D607B6">
      <w:pPr>
        <w:spacing w:line="480" w:lineRule="auto"/>
      </w:pPr>
      <w:r w:rsidRPr="006A3197">
        <w:rPr>
          <w:noProof/>
        </w:rPr>
        <w:lastRenderedPageBreak/>
        <w:drawing>
          <wp:inline distT="0" distB="0" distL="0" distR="0" wp14:anchorId="1B4778B2" wp14:editId="1FEE100B">
            <wp:extent cx="5699460" cy="1328286"/>
            <wp:effectExtent l="0" t="0" r="3175" b="5715"/>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rotWithShape="1">
                    <a:blip r:embed="rId4"/>
                    <a:srcRect l="2262" r="1807" b="17808"/>
                    <a:stretch/>
                  </pic:blipFill>
                  <pic:spPr bwMode="auto">
                    <a:xfrm>
                      <a:off x="0" y="0"/>
                      <a:ext cx="5701699" cy="1328808"/>
                    </a:xfrm>
                    <a:prstGeom prst="rect">
                      <a:avLst/>
                    </a:prstGeom>
                    <a:ln>
                      <a:noFill/>
                    </a:ln>
                    <a:extLst>
                      <a:ext uri="{53640926-AAD7-44D8-BBD7-CCE9431645EC}">
                        <a14:shadowObscured xmlns:a14="http://schemas.microsoft.com/office/drawing/2010/main"/>
                      </a:ext>
                    </a:extLst>
                  </pic:spPr>
                </pic:pic>
              </a:graphicData>
            </a:graphic>
          </wp:inline>
        </w:drawing>
      </w:r>
    </w:p>
    <w:p w14:paraId="57440EB5" w14:textId="09CE2DBB" w:rsidR="00D607B6" w:rsidRPr="006A3197" w:rsidRDefault="00AA3615" w:rsidP="00D607B6">
      <w:pPr>
        <w:spacing w:line="480" w:lineRule="auto"/>
      </w:pPr>
      <w:r w:rsidRPr="00AA3615">
        <w:rPr>
          <w:b/>
          <w:bCs/>
        </w:rPr>
        <w:t xml:space="preserve">Supplementary </w:t>
      </w:r>
      <w:r w:rsidR="00D607B6" w:rsidRPr="00AA3615">
        <w:rPr>
          <w:b/>
          <w:bCs/>
        </w:rPr>
        <w:t>Figure S1</w:t>
      </w:r>
      <w:r w:rsidR="00D607B6" w:rsidRPr="006A3197">
        <w:t xml:space="preserve">. Specificity of </w:t>
      </w:r>
      <w:proofErr w:type="spellStart"/>
      <w:r w:rsidR="00D607B6" w:rsidRPr="006A3197">
        <w:t>Aphcoc</w:t>
      </w:r>
      <w:proofErr w:type="spellEnd"/>
      <w:r w:rsidR="00D607B6" w:rsidRPr="006A3197">
        <w:t xml:space="preserve">-F </w:t>
      </w:r>
      <w:r w:rsidR="00D607B6">
        <w:t>(</w:t>
      </w:r>
      <w:r w:rsidR="00D607B6" w:rsidRPr="006A3197">
        <w:t>forward</w:t>
      </w:r>
      <w:r w:rsidR="00D607B6">
        <w:t>)</w:t>
      </w:r>
      <w:r w:rsidR="00D607B6" w:rsidRPr="006A3197">
        <w:t xml:space="preserve"> and </w:t>
      </w:r>
      <w:proofErr w:type="spellStart"/>
      <w:r w:rsidR="00D607B6" w:rsidRPr="006A3197">
        <w:t>Aphcoc</w:t>
      </w:r>
      <w:proofErr w:type="spellEnd"/>
      <w:r w:rsidR="00D607B6" w:rsidRPr="006A3197">
        <w:t xml:space="preserve">-R </w:t>
      </w:r>
      <w:r w:rsidR="00D607B6">
        <w:t>(</w:t>
      </w:r>
      <w:r w:rsidR="00D607B6" w:rsidRPr="006A3197">
        <w:t>reverse</w:t>
      </w:r>
      <w:r w:rsidR="00D607B6">
        <w:t>)</w:t>
      </w:r>
      <w:r w:rsidR="00D607B6" w:rsidRPr="006A3197">
        <w:t xml:space="preserve"> primers (light green), and probe </w:t>
      </w:r>
      <w:proofErr w:type="spellStart"/>
      <w:r w:rsidR="00D607B6" w:rsidRPr="006A3197">
        <w:t>Aphcoc-Pr</w:t>
      </w:r>
      <w:proofErr w:type="spellEnd"/>
      <w:r w:rsidR="00D607B6" w:rsidRPr="006A3197">
        <w:t xml:space="preserve"> (red) amongst 5 isolates of </w:t>
      </w:r>
      <w:r w:rsidR="00D607B6" w:rsidRPr="006A3197">
        <w:rPr>
          <w:i/>
          <w:iCs/>
        </w:rPr>
        <w:t xml:space="preserve">A. </w:t>
      </w:r>
      <w:proofErr w:type="spellStart"/>
      <w:r w:rsidR="00D607B6" w:rsidRPr="006A3197">
        <w:rPr>
          <w:i/>
          <w:iCs/>
        </w:rPr>
        <w:t>cochlioides</w:t>
      </w:r>
      <w:proofErr w:type="spellEnd"/>
      <w:r w:rsidR="00D607B6" w:rsidRPr="006A3197">
        <w:rPr>
          <w:i/>
          <w:iCs/>
        </w:rPr>
        <w:t xml:space="preserve"> </w:t>
      </w:r>
      <w:r w:rsidR="00D607B6" w:rsidRPr="006A3197">
        <w:t xml:space="preserve">and other closely related </w:t>
      </w:r>
      <w:r w:rsidR="00D607B6" w:rsidRPr="006A3197">
        <w:rPr>
          <w:i/>
          <w:iCs/>
        </w:rPr>
        <w:t xml:space="preserve">Aphanomyces </w:t>
      </w:r>
      <w:proofErr w:type="gramStart"/>
      <w:r w:rsidR="00D607B6" w:rsidRPr="00F92A8A">
        <w:rPr>
          <w:iCs/>
        </w:rPr>
        <w:t>spp</w:t>
      </w:r>
      <w:r w:rsidR="00D607B6" w:rsidRPr="006A3197">
        <w:rPr>
          <w:i/>
          <w:iCs/>
        </w:rPr>
        <w:t>.</w:t>
      </w:r>
      <w:r w:rsidR="00D607B6" w:rsidRPr="006A3197">
        <w:t>.</w:t>
      </w:r>
      <w:proofErr w:type="gramEnd"/>
      <w:r w:rsidR="00D607B6" w:rsidRPr="006A3197">
        <w:t xml:space="preserve"> </w:t>
      </w:r>
    </w:p>
    <w:p w14:paraId="68F5082C" w14:textId="77777777" w:rsidR="00041F54" w:rsidRDefault="00041F54"/>
    <w:sectPr w:rsidR="00041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1D"/>
    <w:rsid w:val="00041F54"/>
    <w:rsid w:val="0020281D"/>
    <w:rsid w:val="00783BF8"/>
    <w:rsid w:val="00AA3615"/>
    <w:rsid w:val="00D6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E843"/>
  <w15:chartTrackingRefBased/>
  <w15:docId w15:val="{DDA4DD7E-7858-4640-A718-33128040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7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454</Words>
  <Characters>2422</Characters>
  <Application>Microsoft Office Word</Application>
  <DocSecurity>0</DocSecurity>
  <Lines>71</Lines>
  <Paragraphs>36</Paragraphs>
  <ScaleCrop>false</ScaleCrop>
  <Company>University of Minnesota</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Kumar Chanda</dc:creator>
  <cp:keywords/>
  <dc:description/>
  <cp:lastModifiedBy>Ashok Kumar Chanda</cp:lastModifiedBy>
  <cp:revision>4</cp:revision>
  <dcterms:created xsi:type="dcterms:W3CDTF">2022-04-25T20:33:00Z</dcterms:created>
  <dcterms:modified xsi:type="dcterms:W3CDTF">2022-04-25T22:49:00Z</dcterms:modified>
</cp:coreProperties>
</file>