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8EF5" w14:textId="13A84917" w:rsidR="00A00DB2" w:rsidRPr="001E2820" w:rsidRDefault="009B3933" w:rsidP="00A00DB2">
      <w:pPr>
        <w:rPr>
          <w:rFonts w:cstheme="minorHAnsi"/>
          <w:b/>
          <w:bCs/>
          <w:lang w:val="en-GB"/>
        </w:rPr>
      </w:pPr>
      <w:r w:rsidRPr="001E2820">
        <w:rPr>
          <w:rFonts w:cstheme="minorHAnsi"/>
          <w:b/>
          <w:bCs/>
          <w:lang w:val="en-GB"/>
        </w:rPr>
        <w:t>Individual-specific network inference to capture dynamic microbiome interactions</w:t>
      </w:r>
    </w:p>
    <w:p w14:paraId="744C02F7" w14:textId="5DE6EC13" w:rsidR="009B3933" w:rsidRPr="001E2820" w:rsidRDefault="009B3933" w:rsidP="009B3933">
      <w:pPr>
        <w:rPr>
          <w:rFonts w:cstheme="minorHAnsi"/>
          <w:i/>
          <w:iCs/>
          <w:sz w:val="18"/>
          <w:szCs w:val="18"/>
          <w:lang w:val="en-GB"/>
        </w:rPr>
      </w:pPr>
      <w:r w:rsidRPr="001E2820">
        <w:rPr>
          <w:rFonts w:cstheme="minorHAnsi"/>
          <w:i/>
          <w:iCs/>
          <w:sz w:val="18"/>
          <w:szCs w:val="18"/>
          <w:lang w:val="en-GB"/>
        </w:rPr>
        <w:t xml:space="preserve">Behnam Yousefi, Federico </w:t>
      </w:r>
      <w:proofErr w:type="spellStart"/>
      <w:r w:rsidRPr="001E2820">
        <w:rPr>
          <w:rFonts w:cstheme="minorHAnsi"/>
          <w:i/>
          <w:iCs/>
          <w:sz w:val="18"/>
          <w:szCs w:val="18"/>
          <w:lang w:val="en-GB"/>
        </w:rPr>
        <w:t>Melograna</w:t>
      </w:r>
      <w:proofErr w:type="spellEnd"/>
      <w:r w:rsidRPr="001E2820">
        <w:rPr>
          <w:rFonts w:cstheme="minorHAnsi"/>
          <w:i/>
          <w:iCs/>
          <w:sz w:val="18"/>
          <w:szCs w:val="18"/>
          <w:lang w:val="en-GB"/>
        </w:rPr>
        <w:t xml:space="preserve">, Gianluca </w:t>
      </w:r>
      <w:proofErr w:type="spellStart"/>
      <w:r w:rsidRPr="001E2820">
        <w:rPr>
          <w:rFonts w:cstheme="minorHAnsi"/>
          <w:i/>
          <w:iCs/>
          <w:sz w:val="18"/>
          <w:szCs w:val="18"/>
          <w:lang w:val="en-GB"/>
        </w:rPr>
        <w:t>Galazzo</w:t>
      </w:r>
      <w:proofErr w:type="spellEnd"/>
      <w:r w:rsidRPr="001E2820">
        <w:rPr>
          <w:rFonts w:cstheme="minorHAnsi"/>
          <w:i/>
          <w:iCs/>
          <w:sz w:val="18"/>
          <w:szCs w:val="18"/>
          <w:lang w:val="en-GB"/>
        </w:rPr>
        <w:t xml:space="preserve">, Niels van Best, Monique </w:t>
      </w:r>
      <w:proofErr w:type="spellStart"/>
      <w:r w:rsidRPr="001E2820">
        <w:rPr>
          <w:rFonts w:cstheme="minorHAnsi"/>
          <w:i/>
          <w:iCs/>
          <w:sz w:val="18"/>
          <w:szCs w:val="18"/>
          <w:lang w:val="en-GB"/>
        </w:rPr>
        <w:t>Mommers</w:t>
      </w:r>
      <w:proofErr w:type="spellEnd"/>
      <w:r w:rsidRPr="001E2820">
        <w:rPr>
          <w:rFonts w:cstheme="minorHAnsi"/>
          <w:i/>
          <w:iCs/>
          <w:sz w:val="18"/>
          <w:szCs w:val="18"/>
          <w:lang w:val="en-GB"/>
        </w:rPr>
        <w:t xml:space="preserve">, John </w:t>
      </w:r>
      <w:proofErr w:type="spellStart"/>
      <w:r w:rsidRPr="001E2820">
        <w:rPr>
          <w:rFonts w:cstheme="minorHAnsi"/>
          <w:i/>
          <w:iCs/>
          <w:sz w:val="18"/>
          <w:szCs w:val="18"/>
          <w:lang w:val="en-GB"/>
        </w:rPr>
        <w:t>Penders</w:t>
      </w:r>
      <w:proofErr w:type="spellEnd"/>
      <w:r w:rsidRPr="001E2820">
        <w:rPr>
          <w:rFonts w:cstheme="minorHAnsi"/>
          <w:i/>
          <w:iCs/>
          <w:sz w:val="18"/>
          <w:szCs w:val="18"/>
          <w:lang w:val="en-GB"/>
        </w:rPr>
        <w:t>, Benno Schwikowski, Kristel Van Steen</w:t>
      </w:r>
    </w:p>
    <w:p w14:paraId="5A88CC3D" w14:textId="3A08A30A" w:rsidR="00AD1C8E" w:rsidRDefault="00AD1C8E" w:rsidP="00B53AE9">
      <w:pPr>
        <w:rPr>
          <w:rFonts w:cstheme="minorHAnsi"/>
          <w:sz w:val="22"/>
          <w:szCs w:val="22"/>
          <w:lang w:val="en-GB"/>
        </w:rPr>
      </w:pPr>
    </w:p>
    <w:p w14:paraId="78638C7F" w14:textId="77777777" w:rsidR="00A00DB2" w:rsidRPr="006056F0" w:rsidRDefault="00A00DB2" w:rsidP="00B53AE9">
      <w:pPr>
        <w:rPr>
          <w:rFonts w:cstheme="minorHAnsi"/>
          <w:sz w:val="22"/>
          <w:szCs w:val="22"/>
          <w:lang w:val="en-GB"/>
        </w:rPr>
      </w:pPr>
    </w:p>
    <w:p w14:paraId="1D07B53D" w14:textId="3BB369D0" w:rsidR="00B53AE9" w:rsidRPr="00A00DB2" w:rsidRDefault="00B53AE9" w:rsidP="009F10C4">
      <w:pPr>
        <w:rPr>
          <w:rFonts w:cstheme="minorHAnsi"/>
          <w:b/>
          <w:bCs/>
          <w:lang w:val="en-GB"/>
        </w:rPr>
      </w:pPr>
      <w:bookmarkStart w:id="0" w:name="_btsmzr65vkc5" w:colFirst="0" w:colLast="0"/>
      <w:bookmarkEnd w:id="0"/>
      <w:r w:rsidRPr="00A00DB2">
        <w:rPr>
          <w:rFonts w:cstheme="minorHAnsi"/>
          <w:b/>
          <w:bCs/>
          <w:lang w:val="en-GB"/>
        </w:rPr>
        <w:t xml:space="preserve">Additional file 1: </w:t>
      </w:r>
      <w:bookmarkStart w:id="1" w:name="_2z640rkbbcj0" w:colFirst="0" w:colLast="0"/>
      <w:bookmarkEnd w:id="1"/>
      <w:r w:rsidRPr="00A00DB2">
        <w:rPr>
          <w:rFonts w:cstheme="minorHAnsi"/>
          <w:b/>
          <w:bCs/>
          <w:lang w:val="en-GB"/>
        </w:rPr>
        <w:t xml:space="preserve">Global Network Construction </w:t>
      </w:r>
    </w:p>
    <w:p w14:paraId="4BC0968A" w14:textId="77777777" w:rsidR="00B53AE9" w:rsidRPr="006056F0" w:rsidRDefault="00B53AE9" w:rsidP="00B53AE9">
      <w:pPr>
        <w:rPr>
          <w:rFonts w:cstheme="minorHAnsi"/>
          <w:b/>
          <w:bCs/>
          <w:sz w:val="22"/>
          <w:szCs w:val="22"/>
          <w:lang w:val="en-GB"/>
        </w:rPr>
      </w:pPr>
    </w:p>
    <w:p w14:paraId="365BFA82" w14:textId="016A9CB4" w:rsidR="00B53AE9" w:rsidRPr="006056F0" w:rsidRDefault="00B53AE9" w:rsidP="00B60F2A">
      <w:pPr>
        <w:rPr>
          <w:rFonts w:cstheme="minorHAnsi"/>
          <w:sz w:val="22"/>
          <w:szCs w:val="22"/>
          <w:lang w:val="en-GB"/>
        </w:rPr>
      </w:pPr>
      <w:r w:rsidRPr="006056F0">
        <w:rPr>
          <w:rFonts w:cstheme="minorHAnsi"/>
          <w:sz w:val="22"/>
          <w:szCs w:val="22"/>
          <w:lang w:val="en-GB"/>
        </w:rPr>
        <w:t xml:space="preserve">MAGMA is the primary method for global network construction employed. It consists of several steps. Firstly, OTU’s abundances are modelled using a ZINB (zero-inflated negative binomial) that can also accept covariates. Furthermore, a maximum likelihood approach is used to infer the ZINB. On top of that a sparse precision matrix 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2"/>
                <w:lang w:val="en-GB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  <w:lang w:val="en-GB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2"/>
                    <w:szCs w:val="22"/>
                    <w:lang w:val="en-GB"/>
                  </w:rPr>
                  <m:t>θ</m:t>
                </m:r>
              </m:e>
            </m:acc>
          </m:e>
          <m:sub>
            <m:r>
              <w:rPr>
                <w:rFonts w:ascii="Cambria Math" w:hAnsi="Cambria Math" w:cstheme="minorHAnsi"/>
                <w:sz w:val="22"/>
                <w:szCs w:val="22"/>
                <w:lang w:val="en-GB"/>
              </w:rPr>
              <m:t>ρ</m:t>
            </m:r>
          </m:sub>
        </m:sSub>
      </m:oMath>
      <w:r w:rsidRPr="006056F0">
        <w:rPr>
          <w:rFonts w:cstheme="minorHAnsi"/>
          <w:sz w:val="22"/>
          <w:szCs w:val="22"/>
          <w:lang w:val="en-GB"/>
        </w:rPr>
        <w:t xml:space="preserve"> is estimated.  Different values of penalization parameter </w:t>
      </w:r>
      <m:oMath>
        <m:r>
          <w:rPr>
            <w:rFonts w:ascii="Cambria Math" w:hAnsi="Cambria Math" w:cstheme="minorHAnsi"/>
            <w:sz w:val="22"/>
            <w:szCs w:val="22"/>
            <w:lang w:val="en-GB"/>
          </w:rPr>
          <m:t>ρ</m:t>
        </m:r>
      </m:oMath>
      <w:r w:rsidRPr="006056F0">
        <w:rPr>
          <w:rFonts w:cstheme="minorHAnsi"/>
          <w:sz w:val="22"/>
          <w:szCs w:val="22"/>
          <w:lang w:val="en-GB"/>
        </w:rPr>
        <w:t xml:space="preserve"> yield different precision matrices, and hence </w:t>
      </w:r>
      <m:oMath>
        <m:r>
          <w:rPr>
            <w:rFonts w:ascii="Cambria Math" w:hAnsi="Cambria Math" w:cstheme="minorHAnsi"/>
            <w:sz w:val="22"/>
            <w:szCs w:val="22"/>
            <w:lang w:val="en-GB"/>
          </w:rPr>
          <m:t>ρ</m:t>
        </m:r>
      </m:oMath>
      <w:r w:rsidRPr="006056F0">
        <w:rPr>
          <w:rFonts w:cstheme="minorHAnsi"/>
          <w:sz w:val="22"/>
          <w:szCs w:val="22"/>
          <w:lang w:val="en-GB"/>
        </w:rPr>
        <w:t xml:space="preserve"> is optimized considering three approaches as referred to in</w:t>
      </w:r>
      <w:r w:rsidR="00DF704C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="00DF704C" w:rsidRPr="006056F0">
        <w:rPr>
          <w:rFonts w:cstheme="minorHAnsi"/>
          <w:sz w:val="22"/>
          <w:szCs w:val="22"/>
          <w:lang w:val="en-GB"/>
        </w:rPr>
        <w:t>Cougoul</w:t>
      </w:r>
      <w:proofErr w:type="spellEnd"/>
      <w:r w:rsidR="00DF704C" w:rsidRPr="006056F0">
        <w:rPr>
          <w:rFonts w:cstheme="minorHAnsi"/>
          <w:sz w:val="22"/>
          <w:szCs w:val="22"/>
          <w:lang w:val="en-GB"/>
        </w:rPr>
        <w:t xml:space="preserve"> et al. </w:t>
      </w:r>
      <w:r w:rsidR="00DF704C">
        <w:rPr>
          <w:rFonts w:cstheme="minorHAnsi"/>
          <w:sz w:val="22"/>
          <w:szCs w:val="22"/>
          <w:lang w:val="en-GB"/>
        </w:rPr>
        <w:t>(2019</w:t>
      </w:r>
      <w:r w:rsidR="00B60F2A">
        <w:rPr>
          <w:rFonts w:cstheme="minorHAnsi"/>
          <w:sz w:val="22"/>
          <w:szCs w:val="22"/>
          <w:lang w:val="en-GB"/>
        </w:rPr>
        <w:t>)</w:t>
      </w:r>
      <w:r w:rsidR="00DF704C">
        <w:rPr>
          <w:rFonts w:cstheme="minorHAnsi"/>
          <w:sz w:val="22"/>
          <w:szCs w:val="22"/>
          <w:lang w:val="en-GB"/>
        </w:rPr>
        <w:t xml:space="preserve">. </w:t>
      </w:r>
      <w:r w:rsidRPr="006056F0">
        <w:rPr>
          <w:rFonts w:cstheme="minorHAnsi"/>
          <w:sz w:val="22"/>
          <w:szCs w:val="22"/>
          <w:lang w:val="en-GB"/>
        </w:rPr>
        <w:t>In this work we selected the rotation information criteria (</w:t>
      </w:r>
      <w:r w:rsidR="00B60F2A">
        <w:rPr>
          <w:rFonts w:cstheme="minorHAnsi"/>
          <w:sz w:val="22"/>
          <w:szCs w:val="22"/>
          <w:lang w:val="en-GB"/>
        </w:rPr>
        <w:t xml:space="preserve">RIC – </w:t>
      </w:r>
      <w:r w:rsidR="00B60F2A" w:rsidRPr="006056F0">
        <w:rPr>
          <w:rFonts w:cstheme="minorHAnsi"/>
          <w:sz w:val="22"/>
          <w:szCs w:val="22"/>
          <w:lang w:val="en-GB"/>
        </w:rPr>
        <w:t>Zhao</w:t>
      </w:r>
      <w:r w:rsidR="00B60F2A">
        <w:rPr>
          <w:rFonts w:cstheme="minorHAnsi"/>
          <w:sz w:val="22"/>
          <w:szCs w:val="22"/>
          <w:lang w:val="en-GB"/>
        </w:rPr>
        <w:t xml:space="preserve"> et al. 2012</w:t>
      </w:r>
      <w:r w:rsidRPr="006056F0">
        <w:rPr>
          <w:rFonts w:cstheme="minorHAnsi"/>
          <w:sz w:val="22"/>
          <w:szCs w:val="22"/>
          <w:lang w:val="en-GB"/>
        </w:rPr>
        <w:t xml:space="preserve">) as default in the MAGMA package. Finally, the optimized penalization parameter </w:t>
      </w:r>
      <m:oMath>
        <m:sSup>
          <m:sSupPr>
            <m:ctrlPr>
              <w:rPr>
                <w:rFonts w:ascii="Cambria Math" w:hAnsi="Cambria Math" w:cstheme="minorHAnsi"/>
                <w:i/>
                <w:sz w:val="22"/>
                <w:szCs w:val="22"/>
                <w:lang w:val="en-GB"/>
              </w:rPr>
            </m:ctrlPr>
          </m:sSupPr>
          <m:e>
            <m:r>
              <w:rPr>
                <w:rFonts w:ascii="Cambria Math" w:hAnsi="Cambria Math" w:cstheme="minorHAnsi"/>
                <w:sz w:val="22"/>
                <w:szCs w:val="22"/>
                <w:lang w:val="en-GB"/>
              </w:rPr>
              <m:t>ρ</m:t>
            </m:r>
          </m:e>
          <m:sup>
            <m:r>
              <w:rPr>
                <w:rFonts w:ascii="Cambria Math" w:hAnsi="Cambria Math" w:cstheme="minorHAnsi"/>
                <w:sz w:val="22"/>
                <w:szCs w:val="22"/>
                <w:lang w:val="en-GB"/>
              </w:rPr>
              <m:t>*</m:t>
            </m:r>
          </m:sup>
        </m:sSup>
      </m:oMath>
      <w:r w:rsidRPr="006056F0">
        <w:rPr>
          <w:rFonts w:cstheme="minorHAnsi"/>
          <w:sz w:val="22"/>
          <w:szCs w:val="22"/>
          <w:lang w:val="en-GB"/>
        </w:rPr>
        <w:t xml:space="preserve"> is employed to identify the ASV network from the nonzero elements 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2"/>
                <w:lang w:val="en-GB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  <w:lang w:val="en-GB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2"/>
                    <w:szCs w:val="22"/>
                    <w:lang w:val="en-GB"/>
                  </w:rPr>
                  <m:t>θ</m:t>
                </m:r>
              </m:e>
            </m:acc>
          </m:e>
          <m:sub>
            <m:sSup>
              <m:sSup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  <w:lang w:val="en-GB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2"/>
                    <w:szCs w:val="22"/>
                    <w:lang w:val="en-GB"/>
                  </w:rPr>
                  <m:t>ρ</m:t>
                </m:r>
              </m:e>
              <m:sup>
                <m:r>
                  <w:rPr>
                    <w:rFonts w:ascii="Cambria Math" w:hAnsi="Cambria Math" w:cstheme="minorHAnsi"/>
                    <w:sz w:val="22"/>
                    <w:szCs w:val="22"/>
                    <w:lang w:val="en-GB"/>
                  </w:rPr>
                  <m:t>*</m:t>
                </m:r>
              </m:sup>
            </m:sSup>
          </m:sub>
        </m:sSub>
      </m:oMath>
      <w:r w:rsidRPr="006056F0">
        <w:rPr>
          <w:rFonts w:cstheme="minorHAnsi"/>
          <w:sz w:val="22"/>
          <w:szCs w:val="22"/>
          <w:lang w:val="en-GB"/>
        </w:rPr>
        <w:t xml:space="preserve">. We refer the interested reader to the work of </w:t>
      </w:r>
      <w:proofErr w:type="spellStart"/>
      <w:r w:rsidR="00B60F2A" w:rsidRPr="006056F0">
        <w:rPr>
          <w:rFonts w:cstheme="minorHAnsi"/>
          <w:sz w:val="22"/>
          <w:szCs w:val="22"/>
          <w:lang w:val="en-GB"/>
        </w:rPr>
        <w:t>Cougoul</w:t>
      </w:r>
      <w:proofErr w:type="spellEnd"/>
      <w:r w:rsidR="00B60F2A" w:rsidRPr="006056F0">
        <w:rPr>
          <w:rFonts w:cstheme="minorHAnsi"/>
          <w:sz w:val="22"/>
          <w:szCs w:val="22"/>
          <w:lang w:val="en-GB"/>
        </w:rPr>
        <w:t xml:space="preserve"> et al. </w:t>
      </w:r>
      <w:r w:rsidR="00B60F2A">
        <w:rPr>
          <w:rFonts w:cstheme="minorHAnsi"/>
          <w:sz w:val="22"/>
          <w:szCs w:val="22"/>
          <w:lang w:val="en-GB"/>
        </w:rPr>
        <w:t>(2019)</w:t>
      </w:r>
      <w:r w:rsidR="00B60F2A">
        <w:rPr>
          <w:rFonts w:cstheme="minorHAnsi"/>
          <w:sz w:val="22"/>
          <w:szCs w:val="22"/>
          <w:lang w:val="en-GB"/>
        </w:rPr>
        <w:t xml:space="preserve"> </w:t>
      </w:r>
      <w:r w:rsidRPr="006056F0">
        <w:rPr>
          <w:rFonts w:cstheme="minorHAnsi"/>
          <w:sz w:val="22"/>
          <w:szCs w:val="22"/>
          <w:lang w:val="en-GB"/>
        </w:rPr>
        <w:t>for an in-depth understanding of the MAGMA algorithm.</w:t>
      </w:r>
    </w:p>
    <w:p w14:paraId="01A626EB" w14:textId="77777777" w:rsidR="00B53AE9" w:rsidRPr="006056F0" w:rsidRDefault="00B53AE9" w:rsidP="00B53AE9">
      <w:pPr>
        <w:rPr>
          <w:rFonts w:cstheme="minorHAnsi"/>
          <w:sz w:val="22"/>
          <w:szCs w:val="22"/>
          <w:lang w:val="en-GB"/>
        </w:rPr>
      </w:pPr>
    </w:p>
    <w:p w14:paraId="5E2FC91B" w14:textId="202A1BB7" w:rsidR="00B53AE9" w:rsidRPr="006056F0" w:rsidRDefault="00B53AE9" w:rsidP="00B53AE9">
      <w:pPr>
        <w:rPr>
          <w:rFonts w:cstheme="minorHAnsi"/>
          <w:sz w:val="22"/>
          <w:szCs w:val="22"/>
          <w:lang w:val="en-GB"/>
        </w:rPr>
      </w:pPr>
      <w:r w:rsidRPr="006056F0">
        <w:rPr>
          <w:rFonts w:cstheme="minorHAnsi"/>
          <w:sz w:val="22"/>
          <w:szCs w:val="22"/>
          <w:lang w:val="en-GB"/>
        </w:rPr>
        <w:t xml:space="preserve">An alternative to MAGMA is the widely used </w:t>
      </w:r>
      <w:proofErr w:type="spellStart"/>
      <w:r w:rsidRPr="006056F0">
        <w:rPr>
          <w:rFonts w:cstheme="minorHAnsi"/>
          <w:sz w:val="22"/>
          <w:szCs w:val="22"/>
          <w:lang w:val="en-GB"/>
        </w:rPr>
        <w:t>SparCC</w:t>
      </w:r>
      <w:proofErr w:type="spellEnd"/>
      <w:r w:rsidRPr="006056F0">
        <w:rPr>
          <w:rFonts w:cstheme="minorHAnsi"/>
          <w:sz w:val="22"/>
          <w:szCs w:val="22"/>
          <w:lang w:val="en-GB"/>
        </w:rPr>
        <w:t xml:space="preserve"> approach. </w:t>
      </w:r>
      <w:proofErr w:type="spellStart"/>
      <w:r w:rsidRPr="006056F0">
        <w:rPr>
          <w:rFonts w:cstheme="minorHAnsi"/>
          <w:sz w:val="22"/>
          <w:szCs w:val="22"/>
          <w:lang w:val="en-GB"/>
        </w:rPr>
        <w:t>SparCC</w:t>
      </w:r>
      <w:proofErr w:type="spellEnd"/>
      <w:r w:rsidRPr="006056F0">
        <w:rPr>
          <w:rFonts w:cstheme="minorHAnsi"/>
          <w:sz w:val="22"/>
          <w:szCs w:val="22"/>
          <w:lang w:val="en-GB"/>
        </w:rPr>
        <w:t xml:space="preserve"> applies a log-transformation of the components and then estimates the  Pearson correlations between those components. The algorithm calculates iteratively a “basis correlation”, with the underlying assumption that most pairs do not correlate. This approach reduces the amount of spurious negative correlations derived from the compositional nature of the data</w:t>
      </w:r>
      <w:r w:rsidR="00F33A8F">
        <w:rPr>
          <w:rFonts w:cstheme="minorHAnsi"/>
          <w:sz w:val="22"/>
          <w:szCs w:val="22"/>
          <w:lang w:val="en-GB"/>
        </w:rPr>
        <w:t xml:space="preserve"> (</w:t>
      </w:r>
      <w:r w:rsidR="00F33A8F" w:rsidRPr="00F33A8F">
        <w:rPr>
          <w:rFonts w:cstheme="minorHAnsi"/>
          <w:sz w:val="22"/>
          <w:szCs w:val="22"/>
        </w:rPr>
        <w:t>Friedman</w:t>
      </w:r>
      <w:r w:rsidR="00F33A8F">
        <w:rPr>
          <w:rFonts w:cstheme="minorHAnsi"/>
          <w:sz w:val="22"/>
          <w:szCs w:val="22"/>
          <w:lang w:val="en-US"/>
        </w:rPr>
        <w:t xml:space="preserve"> et al. 2012</w:t>
      </w:r>
      <w:r w:rsidR="00F33A8F">
        <w:rPr>
          <w:rFonts w:cstheme="minorHAnsi"/>
          <w:sz w:val="22"/>
          <w:szCs w:val="22"/>
          <w:lang w:val="en-GB"/>
        </w:rPr>
        <w:t xml:space="preserve">). </w:t>
      </w:r>
      <w:r w:rsidRPr="006056F0">
        <w:rPr>
          <w:rFonts w:cstheme="minorHAnsi"/>
          <w:sz w:val="22"/>
          <w:szCs w:val="22"/>
          <w:lang w:val="en-GB"/>
        </w:rPr>
        <w:t xml:space="preserve">To amend the problem that zero would cause to the log transformation it employs a pseudo-count, </w:t>
      </w:r>
      <w:proofErr w:type="spellStart"/>
      <w:r w:rsidRPr="006056F0">
        <w:rPr>
          <w:rFonts w:cstheme="minorHAnsi"/>
          <w:sz w:val="22"/>
          <w:szCs w:val="22"/>
          <w:lang w:val="en-GB"/>
        </w:rPr>
        <w:t>i.e</w:t>
      </w:r>
      <w:proofErr w:type="spellEnd"/>
      <w:r w:rsidRPr="006056F0">
        <w:rPr>
          <w:rFonts w:cstheme="minorHAnsi"/>
          <w:sz w:val="22"/>
          <w:szCs w:val="22"/>
          <w:lang w:val="en-GB"/>
        </w:rPr>
        <w:t xml:space="preserve">, assigning a small fraction to OTUs not detected in a sample. A fast implementation of </w:t>
      </w:r>
      <w:proofErr w:type="spellStart"/>
      <w:r w:rsidRPr="006056F0">
        <w:rPr>
          <w:rFonts w:cstheme="minorHAnsi"/>
          <w:sz w:val="22"/>
          <w:szCs w:val="22"/>
          <w:lang w:val="en-GB"/>
        </w:rPr>
        <w:t>SparCC</w:t>
      </w:r>
      <w:proofErr w:type="spellEnd"/>
      <w:r w:rsidRPr="006056F0">
        <w:rPr>
          <w:rFonts w:cstheme="minorHAnsi"/>
          <w:sz w:val="22"/>
          <w:szCs w:val="22"/>
          <w:lang w:val="en-GB"/>
        </w:rPr>
        <w:t xml:space="preserve">, used in this study, is given by </w:t>
      </w:r>
      <w:proofErr w:type="spellStart"/>
      <w:r w:rsidRPr="006056F0">
        <w:rPr>
          <w:rFonts w:cstheme="minorHAnsi"/>
          <w:sz w:val="22"/>
          <w:szCs w:val="22"/>
          <w:lang w:val="en-GB"/>
        </w:rPr>
        <w:t>FastSpar</w:t>
      </w:r>
      <w:proofErr w:type="spellEnd"/>
      <w:r w:rsidRPr="006056F0">
        <w:rPr>
          <w:rFonts w:cstheme="minorHAnsi"/>
          <w:sz w:val="22"/>
          <w:szCs w:val="22"/>
          <w:lang w:val="en-GB"/>
        </w:rPr>
        <w:t xml:space="preserve">. </w:t>
      </w:r>
    </w:p>
    <w:p w14:paraId="255BB1FE" w14:textId="77777777" w:rsidR="00B53AE9" w:rsidRPr="006056F0" w:rsidRDefault="00B53AE9" w:rsidP="00B53AE9">
      <w:pPr>
        <w:rPr>
          <w:rFonts w:cstheme="minorHAnsi"/>
          <w:sz w:val="22"/>
          <w:szCs w:val="22"/>
          <w:lang w:val="en-GB"/>
        </w:rPr>
      </w:pPr>
    </w:p>
    <w:p w14:paraId="49C8280D" w14:textId="5D7FE417" w:rsidR="00B53AE9" w:rsidRPr="006056F0" w:rsidRDefault="00B53AE9" w:rsidP="00B53AE9">
      <w:pPr>
        <w:rPr>
          <w:rFonts w:cstheme="minorHAnsi"/>
          <w:sz w:val="22"/>
          <w:szCs w:val="22"/>
          <w:lang w:val="en-GB"/>
        </w:rPr>
      </w:pPr>
      <w:r w:rsidRPr="006056F0">
        <w:rPr>
          <w:rFonts w:cstheme="minorHAnsi"/>
          <w:sz w:val="22"/>
          <w:szCs w:val="22"/>
          <w:lang w:val="en-GB"/>
        </w:rPr>
        <w:t xml:space="preserve">There are many motivations behind MAGMA’s choice over </w:t>
      </w:r>
      <w:proofErr w:type="spellStart"/>
      <w:r w:rsidRPr="006056F0">
        <w:rPr>
          <w:rFonts w:cstheme="minorHAnsi"/>
          <w:sz w:val="22"/>
          <w:szCs w:val="22"/>
          <w:lang w:val="en-GB"/>
        </w:rPr>
        <w:t>SparCC</w:t>
      </w:r>
      <w:proofErr w:type="spellEnd"/>
      <w:r w:rsidRPr="006056F0">
        <w:rPr>
          <w:rFonts w:cstheme="minorHAnsi"/>
          <w:sz w:val="22"/>
          <w:szCs w:val="22"/>
          <w:lang w:val="en-GB"/>
        </w:rPr>
        <w:t xml:space="preserve">. Cardinally, it can include covariates and does not need to adjust via </w:t>
      </w:r>
      <w:proofErr w:type="spellStart"/>
      <w:r w:rsidRPr="006056F0">
        <w:rPr>
          <w:rFonts w:cstheme="minorHAnsi"/>
          <w:sz w:val="22"/>
          <w:szCs w:val="22"/>
          <w:lang w:val="en-GB"/>
        </w:rPr>
        <w:t>pseudocounts</w:t>
      </w:r>
      <w:proofErr w:type="spellEnd"/>
      <w:r w:rsidRPr="006056F0">
        <w:rPr>
          <w:rFonts w:cstheme="minorHAnsi"/>
          <w:sz w:val="22"/>
          <w:szCs w:val="22"/>
          <w:lang w:val="en-GB"/>
        </w:rPr>
        <w:t xml:space="preserve">. Moreover, MAGMA is able to infer direct associations using notions conditional independence. Notably, both </w:t>
      </w:r>
      <w:proofErr w:type="spellStart"/>
      <w:r w:rsidRPr="006056F0">
        <w:rPr>
          <w:rFonts w:cstheme="minorHAnsi"/>
          <w:sz w:val="22"/>
          <w:szCs w:val="22"/>
          <w:lang w:val="en-GB"/>
        </w:rPr>
        <w:t>SparCC</w:t>
      </w:r>
      <w:proofErr w:type="spellEnd"/>
      <w:r w:rsidRPr="006056F0">
        <w:rPr>
          <w:rFonts w:cstheme="minorHAnsi"/>
          <w:sz w:val="22"/>
          <w:szCs w:val="22"/>
          <w:lang w:val="en-GB"/>
        </w:rPr>
        <w:t xml:space="preserve"> and MAGMA work directly on the OTU counts. Hence no pre-transformation is needed. Moreover, both methods take into account the compositional zero-inflated and </w:t>
      </w:r>
      <w:proofErr w:type="spellStart"/>
      <w:r w:rsidRPr="006056F0">
        <w:rPr>
          <w:rFonts w:cstheme="minorHAnsi"/>
          <w:sz w:val="22"/>
          <w:szCs w:val="22"/>
          <w:lang w:val="en-GB"/>
        </w:rPr>
        <w:t>overdispersed</w:t>
      </w:r>
      <w:proofErr w:type="spellEnd"/>
      <w:r w:rsidRPr="006056F0">
        <w:rPr>
          <w:rFonts w:cstheme="minorHAnsi"/>
          <w:sz w:val="22"/>
          <w:szCs w:val="22"/>
          <w:lang w:val="en-GB"/>
        </w:rPr>
        <w:t xml:space="preserve"> nature of the data.  </w:t>
      </w:r>
    </w:p>
    <w:p w14:paraId="0E5E30E8" w14:textId="09551A77" w:rsidR="009F10C4" w:rsidRDefault="009F10C4" w:rsidP="00B53AE9">
      <w:pPr>
        <w:rPr>
          <w:rFonts w:cstheme="minorHAnsi"/>
          <w:sz w:val="22"/>
          <w:szCs w:val="22"/>
          <w:lang w:val="en-GB"/>
        </w:rPr>
      </w:pPr>
    </w:p>
    <w:p w14:paraId="20E50BCB" w14:textId="548D65F7" w:rsidR="00750DE4" w:rsidRDefault="00750DE4" w:rsidP="00B53AE9">
      <w:pPr>
        <w:rPr>
          <w:rFonts w:cstheme="minorHAnsi"/>
          <w:sz w:val="22"/>
          <w:szCs w:val="22"/>
          <w:lang w:val="en-GB"/>
        </w:rPr>
      </w:pPr>
    </w:p>
    <w:p w14:paraId="4F8DA02D" w14:textId="3AF88CC6" w:rsidR="00B60F2A" w:rsidRDefault="00B60F2A" w:rsidP="00B53AE9">
      <w:pPr>
        <w:rPr>
          <w:rFonts w:cstheme="minorHAnsi"/>
          <w:sz w:val="22"/>
          <w:szCs w:val="22"/>
          <w:lang w:val="en-GB"/>
        </w:rPr>
      </w:pPr>
    </w:p>
    <w:p w14:paraId="6C3D58ED" w14:textId="77777777" w:rsidR="003A0436" w:rsidRDefault="003A0436" w:rsidP="00B53AE9">
      <w:pPr>
        <w:rPr>
          <w:rFonts w:cstheme="minorHAnsi"/>
          <w:sz w:val="22"/>
          <w:szCs w:val="22"/>
          <w:lang w:val="en-GB"/>
        </w:rPr>
      </w:pPr>
    </w:p>
    <w:p w14:paraId="52CF7473" w14:textId="4BAB6DCC" w:rsidR="00B60F2A" w:rsidRDefault="00E845F9" w:rsidP="00B53AE9">
      <w:pPr>
        <w:rPr>
          <w:rFonts w:cstheme="minorHAnsi"/>
          <w:b/>
          <w:bCs/>
          <w:sz w:val="22"/>
          <w:szCs w:val="22"/>
          <w:lang w:val="en-GB"/>
        </w:rPr>
      </w:pPr>
      <w:r w:rsidRPr="00E845F9">
        <w:rPr>
          <w:rFonts w:cstheme="minorHAnsi"/>
          <w:b/>
          <w:bCs/>
          <w:sz w:val="22"/>
          <w:szCs w:val="22"/>
          <w:lang w:val="en-GB"/>
        </w:rPr>
        <w:t xml:space="preserve">References: </w:t>
      </w:r>
    </w:p>
    <w:p w14:paraId="0AA01955" w14:textId="77777777" w:rsidR="003A0436" w:rsidRPr="00E845F9" w:rsidRDefault="003A0436" w:rsidP="00B53AE9">
      <w:pPr>
        <w:rPr>
          <w:rFonts w:cstheme="minorHAnsi"/>
          <w:b/>
          <w:bCs/>
          <w:sz w:val="22"/>
          <w:szCs w:val="22"/>
          <w:lang w:val="en-GB"/>
        </w:rPr>
      </w:pPr>
    </w:p>
    <w:p w14:paraId="43EED3C3" w14:textId="3C3EAE24" w:rsidR="003A0436" w:rsidRPr="00BE2909" w:rsidRDefault="00B60F2A" w:rsidP="003A0436">
      <w:pPr>
        <w:spacing w:after="240"/>
        <w:rPr>
          <w:rFonts w:cstheme="minorHAnsi"/>
          <w:sz w:val="18"/>
          <w:szCs w:val="18"/>
        </w:rPr>
      </w:pPr>
      <w:r w:rsidRPr="00BE2909">
        <w:rPr>
          <w:rFonts w:cstheme="minorHAnsi"/>
          <w:sz w:val="18"/>
          <w:szCs w:val="18"/>
        </w:rPr>
        <w:t>Cougoul, Arnaud, Xavier Bailly, and Ernst C. Wit. "MAGMA: inference of sparse microbial association networks." </w:t>
      </w:r>
      <w:r w:rsidRPr="00BE2909">
        <w:rPr>
          <w:rFonts w:cstheme="minorHAnsi"/>
          <w:i/>
          <w:iCs/>
          <w:sz w:val="18"/>
          <w:szCs w:val="18"/>
        </w:rPr>
        <w:t>BioRxiv</w:t>
      </w:r>
      <w:r w:rsidRPr="00BE2909">
        <w:rPr>
          <w:rFonts w:cstheme="minorHAnsi"/>
          <w:sz w:val="18"/>
          <w:szCs w:val="18"/>
        </w:rPr>
        <w:t>(2019): 538579.</w:t>
      </w:r>
    </w:p>
    <w:p w14:paraId="027033DE" w14:textId="25827217" w:rsidR="00F33A8F" w:rsidRPr="00BE2909" w:rsidRDefault="00F33A8F" w:rsidP="003A0436">
      <w:pPr>
        <w:spacing w:after="240"/>
        <w:rPr>
          <w:rFonts w:cstheme="minorHAnsi"/>
          <w:sz w:val="18"/>
          <w:szCs w:val="18"/>
        </w:rPr>
      </w:pPr>
      <w:r w:rsidRPr="00BE2909">
        <w:rPr>
          <w:rFonts w:cstheme="minorHAnsi"/>
          <w:sz w:val="18"/>
          <w:szCs w:val="18"/>
        </w:rPr>
        <w:t>Friedman, Jonathan, and Eric J. Alm. "Inferring correlation networks from genomic survey data." (2012): e1002687.</w:t>
      </w:r>
    </w:p>
    <w:p w14:paraId="2537B9C3" w14:textId="627F51FF" w:rsidR="00B60F2A" w:rsidRPr="00BE2909" w:rsidRDefault="00B60F2A" w:rsidP="003A0436">
      <w:pPr>
        <w:spacing w:after="240"/>
        <w:rPr>
          <w:rFonts w:cstheme="minorHAnsi"/>
          <w:sz w:val="18"/>
          <w:szCs w:val="18"/>
          <w:lang w:val="en-GB"/>
        </w:rPr>
      </w:pPr>
      <w:r w:rsidRPr="00BE2909">
        <w:rPr>
          <w:rFonts w:cstheme="minorHAnsi"/>
          <w:sz w:val="18"/>
          <w:szCs w:val="18"/>
        </w:rPr>
        <w:t>Zhao, Tuo, et al. "The huge package for high-dimensional undirected graph estimation in R." </w:t>
      </w:r>
      <w:r w:rsidRPr="00BE2909">
        <w:rPr>
          <w:rFonts w:cstheme="minorHAnsi"/>
          <w:i/>
          <w:iCs/>
          <w:sz w:val="18"/>
          <w:szCs w:val="18"/>
        </w:rPr>
        <w:t>The Journal of Machine Learning Research</w:t>
      </w:r>
      <w:r w:rsidRPr="00BE2909">
        <w:rPr>
          <w:rFonts w:cstheme="minorHAnsi"/>
          <w:sz w:val="18"/>
          <w:szCs w:val="18"/>
        </w:rPr>
        <w:t> 13.1 (2012): 1059-1062.</w:t>
      </w:r>
    </w:p>
    <w:sectPr w:rsidR="00B60F2A" w:rsidRPr="00BE29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Y0MDOxtDS1sDQwMTNQ0lEKTi0uzszPAykwrAUAu8LWgCwAAAA="/>
    <w:docVar w:name="paperpile-doc-id" w:val="I481W547S237P642"/>
    <w:docVar w:name="paperpile-doc-name" w:val="Additional_File_1.docx"/>
  </w:docVars>
  <w:rsids>
    <w:rsidRoot w:val="00B53AE9"/>
    <w:rsid w:val="00036057"/>
    <w:rsid w:val="00050871"/>
    <w:rsid w:val="00062648"/>
    <w:rsid w:val="000738CD"/>
    <w:rsid w:val="001E2820"/>
    <w:rsid w:val="001F6B07"/>
    <w:rsid w:val="00213202"/>
    <w:rsid w:val="00250BC5"/>
    <w:rsid w:val="0027660D"/>
    <w:rsid w:val="002C3877"/>
    <w:rsid w:val="003700C3"/>
    <w:rsid w:val="003A0436"/>
    <w:rsid w:val="003A4868"/>
    <w:rsid w:val="003D1C62"/>
    <w:rsid w:val="003D6640"/>
    <w:rsid w:val="00463C27"/>
    <w:rsid w:val="004C2A1F"/>
    <w:rsid w:val="00503A0F"/>
    <w:rsid w:val="00537671"/>
    <w:rsid w:val="005826E6"/>
    <w:rsid w:val="0059697C"/>
    <w:rsid w:val="006056F0"/>
    <w:rsid w:val="006258AB"/>
    <w:rsid w:val="00635719"/>
    <w:rsid w:val="00667404"/>
    <w:rsid w:val="00675CC7"/>
    <w:rsid w:val="006810CE"/>
    <w:rsid w:val="006955D2"/>
    <w:rsid w:val="006B6A46"/>
    <w:rsid w:val="0072667E"/>
    <w:rsid w:val="00750DE4"/>
    <w:rsid w:val="00765C1E"/>
    <w:rsid w:val="00784207"/>
    <w:rsid w:val="0082403C"/>
    <w:rsid w:val="008822C2"/>
    <w:rsid w:val="009A2CDF"/>
    <w:rsid w:val="009B3933"/>
    <w:rsid w:val="009F10C4"/>
    <w:rsid w:val="009F70BF"/>
    <w:rsid w:val="00A00DB2"/>
    <w:rsid w:val="00A267A7"/>
    <w:rsid w:val="00AB4843"/>
    <w:rsid w:val="00AD1C8E"/>
    <w:rsid w:val="00AE3D3E"/>
    <w:rsid w:val="00B16469"/>
    <w:rsid w:val="00B40771"/>
    <w:rsid w:val="00B4404C"/>
    <w:rsid w:val="00B53AE9"/>
    <w:rsid w:val="00B60F2A"/>
    <w:rsid w:val="00B72F37"/>
    <w:rsid w:val="00B93AE3"/>
    <w:rsid w:val="00BA4FFA"/>
    <w:rsid w:val="00BD6202"/>
    <w:rsid w:val="00BE2909"/>
    <w:rsid w:val="00C21F7E"/>
    <w:rsid w:val="00C47F66"/>
    <w:rsid w:val="00C511EC"/>
    <w:rsid w:val="00D4417C"/>
    <w:rsid w:val="00D53622"/>
    <w:rsid w:val="00DE1661"/>
    <w:rsid w:val="00DF704C"/>
    <w:rsid w:val="00E00B2D"/>
    <w:rsid w:val="00E0457C"/>
    <w:rsid w:val="00E07DD4"/>
    <w:rsid w:val="00E845F9"/>
    <w:rsid w:val="00F335C3"/>
    <w:rsid w:val="00F33A8F"/>
    <w:rsid w:val="00F554AF"/>
    <w:rsid w:val="00FA3F52"/>
    <w:rsid w:val="00FB1DC0"/>
    <w:rsid w:val="00F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F3EA77"/>
  <w15:chartTrackingRefBased/>
  <w15:docId w15:val="{6507AA4E-DA8D-CD4D-8499-3FC55D89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A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A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70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Behnam Yousefi</dc:creator>
  <cp:keywords/>
  <dc:description/>
  <cp:lastModifiedBy>Behnam Yousefi</cp:lastModifiedBy>
  <cp:revision>71</cp:revision>
  <dcterms:created xsi:type="dcterms:W3CDTF">2022-08-02T10:00:00Z</dcterms:created>
  <dcterms:modified xsi:type="dcterms:W3CDTF">2022-10-06T12:23:00Z</dcterms:modified>
</cp:coreProperties>
</file>