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A0" w:rsidRPr="00DF24FF" w:rsidRDefault="00A43FA0" w:rsidP="0054239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24FF">
        <w:rPr>
          <w:rFonts w:ascii="Times New Roman" w:hAnsi="Times New Roman" w:cs="Times New Roman"/>
          <w:b/>
        </w:rPr>
        <w:t xml:space="preserve">Supplementary analysis of paired E64-treated and untreated </w:t>
      </w:r>
      <w:r w:rsidRPr="00DF24FF">
        <w:rPr>
          <w:rFonts w:ascii="Times New Roman" w:hAnsi="Times New Roman" w:cs="Times New Roman"/>
          <w:b/>
          <w:i/>
        </w:rPr>
        <w:t>P. falciparum</w:t>
      </w:r>
      <w:r w:rsidRPr="00DF24FF">
        <w:rPr>
          <w:rFonts w:ascii="Times New Roman" w:hAnsi="Times New Roman" w:cs="Times New Roman"/>
          <w:b/>
        </w:rPr>
        <w:t xml:space="preserve"> 3D7 schizonts.</w:t>
      </w:r>
    </w:p>
    <w:p w:rsidR="00DF24FF" w:rsidRDefault="00DF24FF" w:rsidP="005423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43FA0" w:rsidRPr="00DF24FF" w:rsidRDefault="00A43FA0" w:rsidP="0054239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24FF">
        <w:rPr>
          <w:rFonts w:ascii="Times New Roman" w:hAnsi="Times New Roman" w:cs="Times New Roman"/>
          <w:b/>
        </w:rPr>
        <w:t>Methods</w:t>
      </w:r>
    </w:p>
    <w:p w:rsidR="00A43FA0" w:rsidRDefault="00A43FA0" w:rsidP="0054239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compare the effect of E64 on parasite transcriptomes, </w:t>
      </w:r>
      <w:r w:rsidR="00DF24FF">
        <w:rPr>
          <w:rFonts w:ascii="Times New Roman" w:hAnsi="Times New Roman" w:cs="Times New Roman"/>
        </w:rPr>
        <w:t>schizont-stage parasites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were </w:t>
      </w:r>
      <w:r w:rsidR="00DF24FF">
        <w:rPr>
          <w:rFonts w:ascii="Times New Roman" w:hAnsi="Times New Roman" w:cs="Times New Roman"/>
        </w:rPr>
        <w:t>incubated</w:t>
      </w:r>
      <w:proofErr w:type="gramEnd"/>
      <w:r>
        <w:rPr>
          <w:rFonts w:ascii="Times New Roman" w:hAnsi="Times New Roman" w:cs="Times New Roman"/>
        </w:rPr>
        <w:t xml:space="preserve"> with 10 </w:t>
      </w:r>
      <w:r w:rsidR="00F57E9D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 xml:space="preserve">M E64 (or PBS control) for 5.5 hours in the presence of </w:t>
      </w:r>
      <w:r w:rsidR="00F57E9D">
        <w:rPr>
          <w:rFonts w:ascii="Times New Roman" w:hAnsi="Times New Roman" w:cs="Times New Roman"/>
        </w:rPr>
        <w:t>uninfected erythrocytes</w:t>
      </w:r>
      <w:r>
        <w:rPr>
          <w:rFonts w:ascii="Times New Roman" w:hAnsi="Times New Roman" w:cs="Times New Roman"/>
        </w:rPr>
        <w:t xml:space="preserve">.  </w:t>
      </w:r>
      <w:r w:rsidR="00DF24FF">
        <w:rPr>
          <w:rFonts w:ascii="Times New Roman" w:hAnsi="Times New Roman" w:cs="Times New Roman"/>
        </w:rPr>
        <w:t xml:space="preserve">Schizonts </w:t>
      </w:r>
      <w:proofErr w:type="gramStart"/>
      <w:r w:rsidR="00DF24FF">
        <w:rPr>
          <w:rFonts w:ascii="Times New Roman" w:hAnsi="Times New Roman" w:cs="Times New Roman"/>
        </w:rPr>
        <w:t>were purified</w:t>
      </w:r>
      <w:proofErr w:type="gramEnd"/>
      <w:r w:rsidR="00DF24FF">
        <w:rPr>
          <w:rFonts w:ascii="Times New Roman" w:hAnsi="Times New Roman" w:cs="Times New Roman"/>
        </w:rPr>
        <w:t xml:space="preserve"> as in the main materials and methods, with the exception that untreated cultures were prepared in three time</w:t>
      </w:r>
      <w:r w:rsidR="000E6550">
        <w:rPr>
          <w:rFonts w:ascii="Times New Roman" w:hAnsi="Times New Roman" w:cs="Times New Roman"/>
        </w:rPr>
        <w:t>s</w:t>
      </w:r>
      <w:r w:rsidR="00DF24FF">
        <w:rPr>
          <w:rFonts w:ascii="Times New Roman" w:hAnsi="Times New Roman" w:cs="Times New Roman"/>
        </w:rPr>
        <w:t xml:space="preserve"> the volume of E64-treated </w:t>
      </w:r>
      <w:r w:rsidR="000E6550">
        <w:rPr>
          <w:rFonts w:ascii="Times New Roman" w:hAnsi="Times New Roman" w:cs="Times New Roman"/>
        </w:rPr>
        <w:t>cultures</w:t>
      </w:r>
      <w:r>
        <w:rPr>
          <w:rFonts w:ascii="Times New Roman" w:hAnsi="Times New Roman" w:cs="Times New Roman"/>
        </w:rPr>
        <w:t xml:space="preserve">, to ensure </w:t>
      </w:r>
      <w:r w:rsidR="000E6550">
        <w:rPr>
          <w:rFonts w:ascii="Times New Roman" w:hAnsi="Times New Roman" w:cs="Times New Roman"/>
        </w:rPr>
        <w:t>that untreated cultures contained sufficient</w:t>
      </w:r>
      <w:r>
        <w:rPr>
          <w:rFonts w:ascii="Times New Roman" w:hAnsi="Times New Roman" w:cs="Times New Roman"/>
        </w:rPr>
        <w:t xml:space="preserve"> remaining schizont-stage </w:t>
      </w:r>
      <w:r w:rsidR="000E6550">
        <w:rPr>
          <w:rFonts w:ascii="Times New Roman" w:hAnsi="Times New Roman" w:cs="Times New Roman"/>
        </w:rPr>
        <w:t xml:space="preserve">material </w:t>
      </w:r>
      <w:r>
        <w:rPr>
          <w:rFonts w:ascii="Times New Roman" w:hAnsi="Times New Roman" w:cs="Times New Roman"/>
        </w:rPr>
        <w:t>for RNA</w:t>
      </w:r>
      <w:r w:rsidR="00F57E9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seq</w:t>
      </w:r>
      <w:proofErr w:type="spellEnd"/>
      <w:r w:rsidR="000E6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following parasite egress over the course of the treatment</w:t>
      </w:r>
      <w:r w:rsidR="00DF24FF">
        <w:rPr>
          <w:rFonts w:ascii="Times New Roman" w:hAnsi="Times New Roman" w:cs="Times New Roman"/>
        </w:rPr>
        <w:t xml:space="preserve">.  Following the treatment, schizonts were </w:t>
      </w:r>
      <w:proofErr w:type="spellStart"/>
      <w:r w:rsidR="00DF24FF">
        <w:rPr>
          <w:rFonts w:ascii="Times New Roman" w:hAnsi="Times New Roman" w:cs="Times New Roman"/>
        </w:rPr>
        <w:t>percoll</w:t>
      </w:r>
      <w:proofErr w:type="spellEnd"/>
      <w:r w:rsidR="00DF24FF">
        <w:rPr>
          <w:rFonts w:ascii="Times New Roman" w:hAnsi="Times New Roman" w:cs="Times New Roman"/>
        </w:rPr>
        <w:t xml:space="preserve"> purified and RNA </w:t>
      </w:r>
      <w:proofErr w:type="gramStart"/>
      <w:r w:rsidR="00DF24FF">
        <w:rPr>
          <w:rFonts w:ascii="Times New Roman" w:hAnsi="Times New Roman" w:cs="Times New Roman"/>
        </w:rPr>
        <w:t>was extracted and sequenced in accordance with main materials and methods</w:t>
      </w:r>
      <w:proofErr w:type="gramEnd"/>
      <w:r w:rsidR="00DF24FF">
        <w:rPr>
          <w:rFonts w:ascii="Times New Roman" w:hAnsi="Times New Roman" w:cs="Times New Roman"/>
        </w:rPr>
        <w:t>.</w:t>
      </w:r>
    </w:p>
    <w:p w:rsidR="00DF24FF" w:rsidRDefault="00DF24FF" w:rsidP="005423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24FF" w:rsidRDefault="00DF24FF" w:rsidP="0054239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24FF">
        <w:rPr>
          <w:rFonts w:ascii="Times New Roman" w:hAnsi="Times New Roman" w:cs="Times New Roman"/>
          <w:b/>
        </w:rPr>
        <w:t>Analysis summary</w:t>
      </w:r>
    </w:p>
    <w:p w:rsidR="00DF24FF" w:rsidRPr="00A43FA0" w:rsidRDefault="00DF24FF" w:rsidP="00DF24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3FA0">
        <w:rPr>
          <w:rFonts w:ascii="Times New Roman" w:hAnsi="Times New Roman" w:cs="Times New Roman"/>
        </w:rPr>
        <w:t>Log</w:t>
      </w:r>
      <w:r w:rsidRPr="00A43FA0">
        <w:rPr>
          <w:rFonts w:ascii="Times New Roman" w:hAnsi="Times New Roman" w:cs="Times New Roman"/>
          <w:vertAlign w:val="subscript"/>
        </w:rPr>
        <w:t>2</w:t>
      </w:r>
      <w:r w:rsidRPr="00A43FA0">
        <w:rPr>
          <w:rFonts w:ascii="Times New Roman" w:hAnsi="Times New Roman" w:cs="Times New Roman"/>
        </w:rPr>
        <w:t xml:space="preserve"> FPKM values for samples and replicates </w:t>
      </w:r>
      <w:proofErr w:type="gramStart"/>
      <w:r w:rsidRPr="00A43FA0">
        <w:rPr>
          <w:rFonts w:ascii="Times New Roman" w:hAnsi="Times New Roman" w:cs="Times New Roman"/>
        </w:rPr>
        <w:t>were all strongly positively correlated</w:t>
      </w:r>
      <w:proofErr w:type="gramEnd"/>
      <w:r w:rsidRPr="00A43FA0">
        <w:rPr>
          <w:rFonts w:ascii="Times New Roman" w:hAnsi="Times New Roman" w:cs="Times New Roman"/>
        </w:rPr>
        <w:t xml:space="preserve"> by both Spearman and Pearson correlations (</w:t>
      </w:r>
      <w:r w:rsidR="00F57E9D">
        <w:rPr>
          <w:rFonts w:ascii="Times New Roman" w:hAnsi="Times New Roman" w:cs="Times New Roman"/>
        </w:rPr>
        <w:t>Correlations Summary 1</w:t>
      </w:r>
      <w:r w:rsidRPr="00A43FA0">
        <w:rPr>
          <w:rFonts w:ascii="Times New Roman" w:hAnsi="Times New Roman" w:cs="Times New Roman"/>
        </w:rPr>
        <w:t>) with significant p-values (</w:t>
      </w:r>
      <w:r w:rsidR="00F57E9D">
        <w:rPr>
          <w:rFonts w:ascii="Times New Roman" w:hAnsi="Times New Roman" w:cs="Times New Roman"/>
        </w:rPr>
        <w:t>Correlations Summary</w:t>
      </w:r>
      <w:r w:rsidRPr="00A43FA0">
        <w:rPr>
          <w:rFonts w:ascii="Times New Roman" w:hAnsi="Times New Roman" w:cs="Times New Roman"/>
        </w:rPr>
        <w:t xml:space="preserve"> 2)</w:t>
      </w:r>
    </w:p>
    <w:tbl>
      <w:tblPr>
        <w:tblStyle w:val="PlainTable1"/>
        <w:tblW w:w="8686" w:type="dxa"/>
        <w:tblLook w:val="04A0" w:firstRow="1" w:lastRow="0" w:firstColumn="1" w:lastColumn="0" w:noHBand="0" w:noVBand="1"/>
      </w:tblPr>
      <w:tblGrid>
        <w:gridCol w:w="1475"/>
        <w:gridCol w:w="850"/>
        <w:gridCol w:w="910"/>
        <w:gridCol w:w="850"/>
        <w:gridCol w:w="910"/>
        <w:gridCol w:w="850"/>
        <w:gridCol w:w="910"/>
        <w:gridCol w:w="850"/>
        <w:gridCol w:w="910"/>
        <w:gridCol w:w="411"/>
      </w:tblGrid>
      <w:tr w:rsidR="00DF24FF" w:rsidRPr="00542391" w:rsidTr="002253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9"/>
            <w:noWrap/>
            <w:vAlign w:val="center"/>
          </w:tcPr>
          <w:p w:rsidR="00DF24FF" w:rsidRDefault="00F57E9D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Correlations Summary</w:t>
            </w:r>
            <w:r w:rsidR="00DF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</w:p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Spearman and Pearson correlations of E64-treated and untreated replicate.</w:t>
            </w:r>
          </w:p>
        </w:tc>
      </w:tr>
      <w:tr w:rsidR="00DF24FF" w:rsidRPr="00542391" w:rsidTr="002253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Rep1-E64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Rep1-Untreated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Rep2-E64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Rep2-Untreated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Rep3-E64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Rep3-Untreated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Rep4-E64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Rep4-Untreated</w:t>
            </w: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Rep1-E64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0.928571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0.904762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411" w:type="dxa"/>
            <w:vMerge w:val="restart"/>
            <w:noWrap/>
            <w:textDirection w:val="tbRl"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Spearman</w:t>
            </w: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Rep1-Untreated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0.997363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0.928571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0.904762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Rep2-E64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0.824789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0.811063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0.857143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0.880952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0.928571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Rep2-Untreated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0.900262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0.891954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0.979414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0.904762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0.928571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Rep3-E64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0.991939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0.989546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0.86838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0.932429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Rep3-Untreated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0.990177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0.995798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0.784867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0.875363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0.984077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0.97619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Rep4-E64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0.911197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0.903819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0.908583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0.942909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0.950347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0.908216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0.952381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Rep4-Untreated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0.912057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0.910578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0.940235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0.974183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0.947738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0.911399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0.983432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0" w:type="dxa"/>
            <w:gridSpan w:val="8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Pearson</w:t>
            </w:r>
          </w:p>
        </w:tc>
        <w:tc>
          <w:tcPr>
            <w:tcW w:w="411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F24FF" w:rsidRDefault="00DF24FF" w:rsidP="00DF24FF">
      <w:pPr>
        <w:spacing w:after="0" w:line="240" w:lineRule="auto"/>
        <w:contextualSpacing/>
      </w:pPr>
    </w:p>
    <w:tbl>
      <w:tblPr>
        <w:tblStyle w:val="PlainTable1"/>
        <w:tblW w:w="8686" w:type="dxa"/>
        <w:tblLook w:val="04A0" w:firstRow="1" w:lastRow="0" w:firstColumn="1" w:lastColumn="0" w:noHBand="0" w:noVBand="1"/>
      </w:tblPr>
      <w:tblGrid>
        <w:gridCol w:w="1475"/>
        <w:gridCol w:w="850"/>
        <w:gridCol w:w="910"/>
        <w:gridCol w:w="850"/>
        <w:gridCol w:w="910"/>
        <w:gridCol w:w="850"/>
        <w:gridCol w:w="910"/>
        <w:gridCol w:w="850"/>
        <w:gridCol w:w="910"/>
        <w:gridCol w:w="411"/>
      </w:tblGrid>
      <w:tr w:rsidR="00DF24FF" w:rsidRPr="00542391" w:rsidTr="002253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9"/>
            <w:noWrap/>
            <w:vAlign w:val="center"/>
          </w:tcPr>
          <w:p w:rsidR="00DF24FF" w:rsidRDefault="00F57E9D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Correlations Summary</w:t>
            </w:r>
            <w:r w:rsidR="00DF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</w:p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Spearman and Pearson p-values for correlations in Table 1.</w:t>
            </w:r>
          </w:p>
        </w:tc>
      </w:tr>
      <w:tr w:rsidR="00DF24FF" w:rsidRPr="00542391" w:rsidTr="002253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Rep1-E64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Rep1-Untreated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Rep2-E64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Rep2-Untreated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Rep3-E64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Rep3-Untreated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Rep4-E64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Rep4-Untreated</w:t>
            </w: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Rep1-E64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2.60E-04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6.79E-04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8.63E-04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411" w:type="dxa"/>
            <w:vMerge w:val="restart"/>
            <w:noWrap/>
            <w:textDirection w:val="tbRl"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Spearman</w:t>
            </w: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Rep1-Untreated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1.62E-07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2.60E-04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6.79E-04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8.63E-04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Rep2-E64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2.49E-04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5.41E-04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2.60E-04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1.38E-02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1.49E-02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2.60E-04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Rep2-Untreated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2.95E-05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6.41E-05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3.83E-06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7.47E-03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6.53E-03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3.31E-05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Rep3-E64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9.21E-07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4.15E-06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1.12E-04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2.09E-05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6.79E-04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8.63E-04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Rep3-Untreated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6.50E-06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5.82E-07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1.17E-03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6.55E-05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6.79E-04</w:t>
            </w: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Rep4-E64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3.33E-05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6.53E-05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5.42E-04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1.71E-04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1.98E-06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2.89E-05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C147F7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0" w:name="_GoBack"/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0.00E+00</w:t>
            </w:r>
            <w:bookmarkEnd w:id="0"/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Rep4-Untreated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1.55E-05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1.46E-05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1.43E-04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1.42E-05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2.85E-06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5.18E-06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6.06E-06</w:t>
            </w:r>
          </w:p>
        </w:tc>
        <w:tc>
          <w:tcPr>
            <w:tcW w:w="850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4FF" w:rsidRPr="00542391" w:rsidTr="002253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0" w:type="dxa"/>
            <w:gridSpan w:val="8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423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Pearson</w:t>
            </w:r>
          </w:p>
        </w:tc>
        <w:tc>
          <w:tcPr>
            <w:tcW w:w="411" w:type="dxa"/>
            <w:noWrap/>
            <w:vAlign w:val="center"/>
            <w:hideMark/>
          </w:tcPr>
          <w:p w:rsidR="00DF24FF" w:rsidRPr="00542391" w:rsidRDefault="00DF24FF" w:rsidP="002253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F24FF" w:rsidRPr="00DF24FF" w:rsidRDefault="00DF24FF" w:rsidP="0054239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43FA0" w:rsidRDefault="00DF24FF" w:rsidP="0054239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Differential gene expression analysis was conducted using DEseq2 with the design formula </w:t>
      </w:r>
      <w:r w:rsidRPr="00DF24FF">
        <w:rPr>
          <w:rFonts w:ascii="Courier New" w:hAnsi="Courier New" w:cs="Courier New"/>
          <w:sz w:val="20"/>
          <w:szCs w:val="20"/>
        </w:rPr>
        <w:t>design = ~ Treatment + Replicate</w:t>
      </w:r>
      <w:r>
        <w:rPr>
          <w:rFonts w:ascii="Times New Roman" w:hAnsi="Times New Roman" w:cs="Times New Roman"/>
        </w:rPr>
        <w:t>.</w:t>
      </w:r>
    </w:p>
    <w:p w:rsidR="000E6550" w:rsidRDefault="000E6550" w:rsidP="000E6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43FA0" w:rsidRPr="000E6550" w:rsidRDefault="00DF24FF" w:rsidP="000E655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single gene</w:t>
      </w:r>
      <w:r w:rsidR="000E6550">
        <w:rPr>
          <w:rFonts w:ascii="Times New Roman" w:hAnsi="Times New Roman" w:cs="Times New Roman"/>
        </w:rPr>
        <w:t>, PF3D7_0220700,</w:t>
      </w:r>
      <w:r>
        <w:rPr>
          <w:rFonts w:ascii="Times New Roman" w:hAnsi="Times New Roman" w:cs="Times New Roman"/>
        </w:rPr>
        <w:t xml:space="preserve"> was differentially expressed by a fold change greater than ±log</w:t>
      </w:r>
      <w:r w:rsidRPr="00DF24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2 and an adjusted p-value &lt; 0.01.</w:t>
      </w:r>
      <w:r w:rsidR="000E6550">
        <w:rPr>
          <w:rFonts w:ascii="Times New Roman" w:hAnsi="Times New Roman" w:cs="Times New Roman"/>
        </w:rPr>
        <w:t xml:space="preserve">  This sub-</w:t>
      </w:r>
      <w:proofErr w:type="spellStart"/>
      <w:r w:rsidR="000E6550">
        <w:rPr>
          <w:rFonts w:ascii="Times New Roman" w:hAnsi="Times New Roman" w:cs="Times New Roman"/>
        </w:rPr>
        <w:t>telomeric</w:t>
      </w:r>
      <w:proofErr w:type="spellEnd"/>
      <w:r w:rsidR="000E6550">
        <w:rPr>
          <w:rFonts w:ascii="Times New Roman" w:hAnsi="Times New Roman" w:cs="Times New Roman"/>
        </w:rPr>
        <w:t xml:space="preserve"> gene encodes an </w:t>
      </w:r>
      <w:r w:rsidR="000E6550" w:rsidRPr="000E6550">
        <w:rPr>
          <w:rFonts w:ascii="Times New Roman" w:hAnsi="Times New Roman" w:cs="Times New Roman"/>
        </w:rPr>
        <w:t xml:space="preserve">exported protein </w:t>
      </w:r>
      <w:r w:rsidR="000E6550">
        <w:rPr>
          <w:rFonts w:ascii="Times New Roman" w:hAnsi="Times New Roman" w:cs="Times New Roman"/>
        </w:rPr>
        <w:t>of unknown function from the ‘</w:t>
      </w:r>
      <w:r w:rsidR="000E6550" w:rsidRPr="000E6550">
        <w:rPr>
          <w:rFonts w:ascii="Times New Roman" w:hAnsi="Times New Roman" w:cs="Times New Roman"/>
        </w:rPr>
        <w:t>hyp9</w:t>
      </w:r>
      <w:r w:rsidR="000E6550">
        <w:rPr>
          <w:rFonts w:ascii="Times New Roman" w:hAnsi="Times New Roman" w:cs="Times New Roman"/>
        </w:rPr>
        <w:t xml:space="preserve"> family.  </w:t>
      </w:r>
    </w:p>
    <w:sectPr w:rsidR="00A43FA0" w:rsidRPr="000E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1"/>
    <w:rsid w:val="000E6550"/>
    <w:rsid w:val="001927DB"/>
    <w:rsid w:val="00267EE9"/>
    <w:rsid w:val="00542391"/>
    <w:rsid w:val="008749EE"/>
    <w:rsid w:val="009626D6"/>
    <w:rsid w:val="00A43FA0"/>
    <w:rsid w:val="00C147F7"/>
    <w:rsid w:val="00DF24FF"/>
    <w:rsid w:val="00E26223"/>
    <w:rsid w:val="00F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BA9C-0388-4905-ADA1-9A330EA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23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65AC-EBE2-47D8-B250-97DB0CD7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Tarr</dc:creator>
  <cp:keywords/>
  <dc:description/>
  <cp:lastModifiedBy>Sarah Tarr</cp:lastModifiedBy>
  <cp:revision>3</cp:revision>
  <dcterms:created xsi:type="dcterms:W3CDTF">2018-04-13T12:44:00Z</dcterms:created>
  <dcterms:modified xsi:type="dcterms:W3CDTF">2018-04-26T08:42:00Z</dcterms:modified>
</cp:coreProperties>
</file>