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12E" w:rsidRPr="00567C84" w:rsidRDefault="00A66959" w:rsidP="00D52FA8">
      <w:pPr>
        <w:spacing w:after="0" w:line="360" w:lineRule="auto"/>
        <w:jc w:val="center"/>
        <w:rPr>
          <w:sz w:val="24"/>
          <w:szCs w:val="24"/>
          <w:lang w:val="en-US"/>
        </w:rPr>
      </w:pPr>
      <w:r w:rsidRPr="00567C84">
        <w:rPr>
          <w:sz w:val="24"/>
          <w:szCs w:val="24"/>
          <w:lang w:val="en-US"/>
        </w:rPr>
        <w:t>Supplemental information for</w:t>
      </w:r>
    </w:p>
    <w:p w:rsidR="00A66959" w:rsidRPr="00567C84" w:rsidRDefault="00A66959" w:rsidP="00D52FA8">
      <w:pPr>
        <w:spacing w:after="0" w:line="360" w:lineRule="auto"/>
        <w:jc w:val="center"/>
        <w:rPr>
          <w:lang w:val="en-US"/>
        </w:rPr>
      </w:pPr>
    </w:p>
    <w:p w:rsidR="00567C84" w:rsidRPr="00567C84" w:rsidRDefault="00567C84" w:rsidP="00D52FA8">
      <w:pPr>
        <w:spacing w:after="0" w:line="360" w:lineRule="auto"/>
        <w:jc w:val="center"/>
        <w:rPr>
          <w:b/>
          <w:sz w:val="24"/>
          <w:szCs w:val="24"/>
          <w:lang w:val="en-US"/>
        </w:rPr>
      </w:pPr>
      <w:r w:rsidRPr="00567C84">
        <w:rPr>
          <w:b/>
          <w:sz w:val="24"/>
          <w:szCs w:val="24"/>
          <w:lang w:val="en-US"/>
        </w:rPr>
        <w:t>Longitudinal increase in sleep problems is related to amyloid deposition in cortical regions with high Homer1 gene expression</w:t>
      </w:r>
    </w:p>
    <w:p w:rsidR="00567C84" w:rsidRPr="00567C84" w:rsidRDefault="00567C84" w:rsidP="009A0845">
      <w:pPr>
        <w:spacing w:after="0" w:line="360" w:lineRule="auto"/>
        <w:rPr>
          <w:b/>
          <w:sz w:val="24"/>
          <w:szCs w:val="24"/>
          <w:lang w:val="en-US"/>
        </w:rPr>
      </w:pPr>
    </w:p>
    <w:p w:rsidR="00567C84" w:rsidRPr="00632FB5" w:rsidRDefault="00567C84" w:rsidP="009A0845">
      <w:pPr>
        <w:spacing w:after="0" w:line="360" w:lineRule="auto"/>
        <w:rPr>
          <w:sz w:val="24"/>
          <w:szCs w:val="24"/>
        </w:rPr>
      </w:pPr>
      <w:r w:rsidRPr="00632FB5">
        <w:rPr>
          <w:sz w:val="24"/>
          <w:szCs w:val="24"/>
        </w:rPr>
        <w:t>Anders M Fjell</w:t>
      </w:r>
      <w:r w:rsidRPr="00632FB5">
        <w:rPr>
          <w:rFonts w:cs="Times New Roman"/>
          <w:sz w:val="24"/>
          <w:szCs w:val="24"/>
          <w:vertAlign w:val="superscript"/>
        </w:rPr>
        <w:t>1,2</w:t>
      </w:r>
      <w:r w:rsidRPr="00632FB5">
        <w:rPr>
          <w:sz w:val="24"/>
          <w:szCs w:val="24"/>
        </w:rPr>
        <w:t>, Donatas Sederevicius</w:t>
      </w:r>
      <w:r w:rsidRPr="00632FB5">
        <w:rPr>
          <w:rFonts w:cs="Times New Roman"/>
          <w:sz w:val="24"/>
          <w:szCs w:val="24"/>
          <w:vertAlign w:val="superscript"/>
        </w:rPr>
        <w:t>1</w:t>
      </w:r>
      <w:r w:rsidRPr="00632FB5">
        <w:rPr>
          <w:sz w:val="24"/>
          <w:szCs w:val="24"/>
        </w:rPr>
        <w:t>, Marhus H Sneve</w:t>
      </w:r>
      <w:r w:rsidRPr="00632FB5">
        <w:rPr>
          <w:rFonts w:cs="Times New Roman"/>
          <w:sz w:val="24"/>
          <w:szCs w:val="24"/>
          <w:vertAlign w:val="superscript"/>
        </w:rPr>
        <w:t>1</w:t>
      </w:r>
      <w:r w:rsidRPr="00632FB5">
        <w:rPr>
          <w:sz w:val="24"/>
          <w:szCs w:val="24"/>
        </w:rPr>
        <w:t>, Ann-Marie Glasø de Lange</w:t>
      </w:r>
      <w:r w:rsidRPr="00632FB5">
        <w:rPr>
          <w:rFonts w:cs="Times New Roman"/>
          <w:sz w:val="24"/>
          <w:szCs w:val="24"/>
          <w:vertAlign w:val="superscript"/>
        </w:rPr>
        <w:t>1</w:t>
      </w:r>
      <w:r w:rsidRPr="00632FB5">
        <w:rPr>
          <w:sz w:val="24"/>
          <w:szCs w:val="24"/>
        </w:rPr>
        <w:t>, Anne Cecilie Sjøli Bråthen</w:t>
      </w:r>
      <w:r w:rsidRPr="00632FB5">
        <w:rPr>
          <w:rFonts w:cs="Times New Roman"/>
          <w:sz w:val="24"/>
          <w:szCs w:val="24"/>
          <w:vertAlign w:val="superscript"/>
        </w:rPr>
        <w:t>1</w:t>
      </w:r>
      <w:r w:rsidRPr="00632FB5">
        <w:rPr>
          <w:sz w:val="24"/>
          <w:szCs w:val="24"/>
        </w:rPr>
        <w:t>, Kristine B Walhovd</w:t>
      </w:r>
      <w:r w:rsidRPr="00632FB5">
        <w:rPr>
          <w:rFonts w:cs="Times New Roman"/>
          <w:sz w:val="24"/>
          <w:szCs w:val="24"/>
          <w:vertAlign w:val="superscript"/>
        </w:rPr>
        <w:t>1,2</w:t>
      </w:r>
    </w:p>
    <w:p w:rsidR="00567C84" w:rsidRPr="00567C84" w:rsidRDefault="00567C84" w:rsidP="009A0845">
      <w:pPr>
        <w:spacing w:after="0" w:line="360" w:lineRule="auto"/>
        <w:rPr>
          <w:rFonts w:cs="Times New Roman"/>
          <w:sz w:val="24"/>
          <w:szCs w:val="24"/>
          <w:lang w:val="en-US"/>
        </w:rPr>
      </w:pPr>
      <w:r w:rsidRPr="00567C84">
        <w:rPr>
          <w:rFonts w:cs="Times New Roman"/>
          <w:sz w:val="24"/>
          <w:szCs w:val="24"/>
          <w:lang w:val="en-US"/>
        </w:rPr>
        <w:t>1) Center for Lifespan Changes in Brain and Cognition, Department of Psychology, University of Oslo, Oslo, Norway</w:t>
      </w:r>
    </w:p>
    <w:p w:rsidR="00567C84" w:rsidRPr="00567C84" w:rsidRDefault="00567C84" w:rsidP="009A0845">
      <w:pPr>
        <w:spacing w:after="0" w:line="360" w:lineRule="auto"/>
        <w:rPr>
          <w:rFonts w:cs="Times New Roman"/>
          <w:sz w:val="24"/>
          <w:szCs w:val="24"/>
          <w:lang w:val="en-US"/>
        </w:rPr>
      </w:pPr>
      <w:r w:rsidRPr="00567C84">
        <w:rPr>
          <w:rFonts w:cs="Times New Roman"/>
          <w:sz w:val="24"/>
          <w:szCs w:val="24"/>
          <w:lang w:val="en-US"/>
        </w:rPr>
        <w:t>2) Department of radiology and nuclear medicine, Oslo University Hospital, Oslo, Norway</w:t>
      </w:r>
    </w:p>
    <w:p w:rsidR="00A66959" w:rsidRDefault="00A66959" w:rsidP="009A0845">
      <w:pPr>
        <w:spacing w:after="0" w:line="360" w:lineRule="auto"/>
        <w:rPr>
          <w:lang w:val="en-US"/>
        </w:rPr>
      </w:pPr>
    </w:p>
    <w:p w:rsidR="00A66959" w:rsidRDefault="00A66959" w:rsidP="009A0845">
      <w:pPr>
        <w:spacing w:after="0" w:line="360" w:lineRule="auto"/>
        <w:rPr>
          <w:lang w:val="en-US"/>
        </w:rPr>
      </w:pPr>
    </w:p>
    <w:p w:rsidR="00567C84" w:rsidRDefault="00567C84" w:rsidP="009A0845">
      <w:pPr>
        <w:spacing w:after="0" w:line="360" w:lineRule="auto"/>
        <w:rPr>
          <w:b/>
          <w:lang w:val="en-US"/>
        </w:rPr>
      </w:pPr>
      <w:r>
        <w:rPr>
          <w:b/>
          <w:lang w:val="en-US"/>
        </w:rPr>
        <w:br w:type="page"/>
      </w:r>
    </w:p>
    <w:p w:rsidR="00A66959" w:rsidRPr="00A66959" w:rsidRDefault="00A66959" w:rsidP="009A0845">
      <w:pPr>
        <w:spacing w:after="0" w:line="360" w:lineRule="auto"/>
        <w:rPr>
          <w:b/>
          <w:lang w:val="en-US"/>
        </w:rPr>
      </w:pPr>
      <w:r w:rsidRPr="00A66959">
        <w:rPr>
          <w:b/>
          <w:lang w:val="en-US"/>
        </w:rPr>
        <w:lastRenderedPageBreak/>
        <w:t>(1) Principal component analysis conducted to obtain a global amyloid factor</w:t>
      </w:r>
    </w:p>
    <w:p w:rsidR="00A66959" w:rsidRPr="00567C84" w:rsidRDefault="00A66959" w:rsidP="009A0845">
      <w:pPr>
        <w:spacing w:after="0" w:line="360" w:lineRule="auto"/>
        <w:rPr>
          <w:lang w:val="en-US"/>
        </w:rPr>
      </w:pPr>
      <w:r>
        <w:rPr>
          <w:lang w:val="en-US"/>
        </w:rPr>
        <w:t xml:space="preserve">We ran a principal component analysis of all 34 cortical regions in each hemisphere to extract a component reflecting global amyloid uptake. This factor accounted for 68.1% of the total variance, </w:t>
      </w:r>
      <w:r w:rsidR="00B274EA">
        <w:rPr>
          <w:lang w:val="en-US"/>
        </w:rPr>
        <w:t xml:space="preserve">with only two regions loading lower than .40 (right and left cuneus), </w:t>
      </w:r>
      <w:r>
        <w:rPr>
          <w:lang w:val="en-US"/>
        </w:rPr>
        <w:t>indicating that this is a reasonable data reduction approach. The scree plot further showed that the 1</w:t>
      </w:r>
      <w:r w:rsidRPr="00A66959">
        <w:rPr>
          <w:vertAlign w:val="superscript"/>
          <w:lang w:val="en-US"/>
        </w:rPr>
        <w:t>st</w:t>
      </w:r>
      <w:r>
        <w:rPr>
          <w:lang w:val="en-US"/>
        </w:rPr>
        <w:t xml:space="preserve"> factor was effective in explaining a large proportion of the total variance, with little variance left to be accounted for by further factors. </w:t>
      </w:r>
    </w:p>
    <w:p w:rsidR="00A66959" w:rsidRPr="00567C84" w:rsidRDefault="00A66959" w:rsidP="009A0845">
      <w:pPr>
        <w:autoSpaceDE w:val="0"/>
        <w:autoSpaceDN w:val="0"/>
        <w:adjustRightInd w:val="0"/>
        <w:spacing w:after="0" w:line="360" w:lineRule="auto"/>
        <w:rPr>
          <w:rFonts w:ascii="Times New Roman" w:hAnsi="Times New Roman" w:cs="Times New Roman"/>
          <w:sz w:val="24"/>
          <w:szCs w:val="24"/>
          <w:lang w:val="en-US"/>
        </w:rPr>
      </w:pPr>
    </w:p>
    <w:p w:rsidR="00A66959" w:rsidRPr="00567C84" w:rsidRDefault="00567C84" w:rsidP="009A0845">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eastAsia="nb-NO"/>
        </w:rPr>
        <w:drawing>
          <wp:inline distT="0" distB="0" distL="0" distR="0" wp14:anchorId="538345B2" wp14:editId="6E158D3C">
            <wp:extent cx="4448175" cy="35613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1663" cy="3564170"/>
                    </a:xfrm>
                    <a:prstGeom prst="rect">
                      <a:avLst/>
                    </a:prstGeom>
                    <a:noFill/>
                    <a:ln>
                      <a:noFill/>
                    </a:ln>
                  </pic:spPr>
                </pic:pic>
              </a:graphicData>
            </a:graphic>
          </wp:inline>
        </w:drawing>
      </w:r>
    </w:p>
    <w:p w:rsidR="00D108A7" w:rsidRDefault="00D108A7" w:rsidP="009A0845">
      <w:pPr>
        <w:spacing w:after="0" w:line="360" w:lineRule="auto"/>
        <w:rPr>
          <w:lang w:val="en-US"/>
        </w:rPr>
      </w:pPr>
      <w:r>
        <w:rPr>
          <w:lang w:val="en-US"/>
        </w:rPr>
        <w:t>The loading of each of the cortical regions on this factor is shown in the table below, sorted by size:</w:t>
      </w:r>
    </w:p>
    <w:p w:rsidR="00D108A7" w:rsidRDefault="00D108A7" w:rsidP="009A0845">
      <w:pPr>
        <w:spacing w:after="0" w:line="360" w:lineRule="auto"/>
        <w:rPr>
          <w:lang w:val="en-US"/>
        </w:rPr>
      </w:pPr>
    </w:p>
    <w:p w:rsidR="00D108A7" w:rsidRPr="00567C84" w:rsidRDefault="00D108A7" w:rsidP="009A0845">
      <w:pPr>
        <w:autoSpaceDE w:val="0"/>
        <w:autoSpaceDN w:val="0"/>
        <w:adjustRightInd w:val="0"/>
        <w:spacing w:after="0" w:line="360" w:lineRule="auto"/>
        <w:rPr>
          <w:rFonts w:ascii="Times New Roman" w:hAnsi="Times New Roman" w:cs="Times New Roman"/>
          <w:sz w:val="24"/>
          <w:szCs w:val="24"/>
          <w:lang w:val="en-US"/>
        </w:rPr>
      </w:pPr>
    </w:p>
    <w:tbl>
      <w:tblPr>
        <w:tblW w:w="3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290"/>
      </w:tblGrid>
      <w:tr w:rsidR="00D108A7" w:rsidRPr="00D108A7">
        <w:trPr>
          <w:cantSplit/>
        </w:trPr>
        <w:tc>
          <w:tcPr>
            <w:tcW w:w="3749" w:type="dxa"/>
            <w:gridSpan w:val="2"/>
            <w:tcBorders>
              <w:top w:val="nil"/>
              <w:left w:val="nil"/>
              <w:bottom w:val="nil"/>
              <w:right w:val="nil"/>
            </w:tcBorders>
            <w:shd w:val="clear" w:color="auto" w:fill="FFFFFF"/>
            <w:vAlign w:val="center"/>
          </w:tcPr>
          <w:p w:rsidR="00D108A7" w:rsidRPr="00D108A7" w:rsidRDefault="00D108A7" w:rsidP="009A0845">
            <w:pPr>
              <w:autoSpaceDE w:val="0"/>
              <w:autoSpaceDN w:val="0"/>
              <w:adjustRightInd w:val="0"/>
              <w:spacing w:after="0" w:line="360" w:lineRule="auto"/>
              <w:ind w:left="60" w:right="60"/>
              <w:jc w:val="center"/>
              <w:rPr>
                <w:rFonts w:ascii="Arial" w:hAnsi="Arial" w:cs="Arial"/>
                <w:color w:val="010205"/>
              </w:rPr>
            </w:pPr>
            <w:r w:rsidRPr="00D108A7">
              <w:rPr>
                <w:rFonts w:ascii="Arial" w:hAnsi="Arial" w:cs="Arial"/>
                <w:b/>
                <w:bCs/>
                <w:color w:val="010205"/>
              </w:rPr>
              <w:t>Component Matrix</w:t>
            </w:r>
            <w:r w:rsidRPr="00D108A7">
              <w:rPr>
                <w:rFonts w:ascii="Arial" w:hAnsi="Arial" w:cs="Arial"/>
                <w:b/>
                <w:bCs/>
                <w:color w:val="010205"/>
                <w:vertAlign w:val="superscript"/>
              </w:rPr>
              <w:t>a</w:t>
            </w:r>
          </w:p>
        </w:tc>
      </w:tr>
      <w:tr w:rsidR="00D108A7" w:rsidRPr="00D108A7">
        <w:trPr>
          <w:cantSplit/>
        </w:trPr>
        <w:tc>
          <w:tcPr>
            <w:tcW w:w="2459" w:type="dxa"/>
            <w:vMerge w:val="restart"/>
            <w:tcBorders>
              <w:top w:val="nil"/>
              <w:left w:val="nil"/>
              <w:bottom w:val="nil"/>
              <w:right w:val="nil"/>
            </w:tcBorders>
            <w:shd w:val="clear" w:color="auto" w:fill="FFFFFF"/>
            <w:vAlign w:val="bottom"/>
          </w:tcPr>
          <w:p w:rsidR="00D108A7" w:rsidRPr="00D108A7" w:rsidRDefault="00D108A7" w:rsidP="009A0845">
            <w:pPr>
              <w:autoSpaceDE w:val="0"/>
              <w:autoSpaceDN w:val="0"/>
              <w:adjustRightInd w:val="0"/>
              <w:spacing w:after="0" w:line="360" w:lineRule="auto"/>
              <w:rPr>
                <w:rFonts w:ascii="Times New Roman" w:hAnsi="Times New Roman" w:cs="Times New Roman"/>
                <w:sz w:val="24"/>
                <w:szCs w:val="24"/>
              </w:rPr>
            </w:pPr>
          </w:p>
        </w:tc>
        <w:tc>
          <w:tcPr>
            <w:tcW w:w="1290" w:type="dxa"/>
            <w:tcBorders>
              <w:top w:val="nil"/>
              <w:left w:val="nil"/>
              <w:bottom w:val="nil"/>
              <w:right w:val="nil"/>
            </w:tcBorders>
            <w:shd w:val="clear" w:color="auto" w:fill="FFFFFF"/>
            <w:vAlign w:val="bottom"/>
          </w:tcPr>
          <w:p w:rsidR="00D108A7" w:rsidRPr="00D108A7" w:rsidRDefault="00D108A7" w:rsidP="009A0845">
            <w:pPr>
              <w:autoSpaceDE w:val="0"/>
              <w:autoSpaceDN w:val="0"/>
              <w:adjustRightInd w:val="0"/>
              <w:spacing w:after="0" w:line="360" w:lineRule="auto"/>
              <w:ind w:left="60" w:right="60"/>
              <w:jc w:val="center"/>
              <w:rPr>
                <w:rFonts w:ascii="Arial" w:hAnsi="Arial" w:cs="Arial"/>
                <w:color w:val="264A60"/>
                <w:sz w:val="18"/>
                <w:szCs w:val="18"/>
              </w:rPr>
            </w:pPr>
            <w:r w:rsidRPr="00D108A7">
              <w:rPr>
                <w:rFonts w:ascii="Arial" w:hAnsi="Arial" w:cs="Arial"/>
                <w:color w:val="264A60"/>
                <w:sz w:val="18"/>
                <w:szCs w:val="18"/>
              </w:rPr>
              <w:t>Component</w:t>
            </w:r>
          </w:p>
        </w:tc>
      </w:tr>
      <w:tr w:rsidR="00D108A7" w:rsidRPr="00D108A7">
        <w:trPr>
          <w:cantSplit/>
        </w:trPr>
        <w:tc>
          <w:tcPr>
            <w:tcW w:w="2459" w:type="dxa"/>
            <w:vMerge/>
            <w:tcBorders>
              <w:top w:val="nil"/>
              <w:left w:val="nil"/>
              <w:bottom w:val="nil"/>
              <w:right w:val="nil"/>
            </w:tcBorders>
            <w:shd w:val="clear" w:color="auto" w:fill="FFFFFF"/>
            <w:vAlign w:val="bottom"/>
          </w:tcPr>
          <w:p w:rsidR="00D108A7" w:rsidRPr="00D108A7" w:rsidRDefault="00D108A7" w:rsidP="009A0845">
            <w:pPr>
              <w:autoSpaceDE w:val="0"/>
              <w:autoSpaceDN w:val="0"/>
              <w:adjustRightInd w:val="0"/>
              <w:spacing w:after="0" w:line="360" w:lineRule="auto"/>
              <w:rPr>
                <w:rFonts w:ascii="Arial" w:hAnsi="Arial" w:cs="Arial"/>
                <w:color w:val="264A60"/>
                <w:sz w:val="18"/>
                <w:szCs w:val="18"/>
              </w:rPr>
            </w:pPr>
          </w:p>
        </w:tc>
        <w:tc>
          <w:tcPr>
            <w:tcW w:w="1290" w:type="dxa"/>
            <w:tcBorders>
              <w:top w:val="nil"/>
              <w:left w:val="nil"/>
              <w:bottom w:val="single" w:sz="8" w:space="0" w:color="152935"/>
              <w:right w:val="nil"/>
            </w:tcBorders>
            <w:shd w:val="clear" w:color="auto" w:fill="FFFFFF"/>
            <w:vAlign w:val="bottom"/>
          </w:tcPr>
          <w:p w:rsidR="00D108A7" w:rsidRPr="00D108A7" w:rsidRDefault="00D108A7" w:rsidP="009A0845">
            <w:pPr>
              <w:autoSpaceDE w:val="0"/>
              <w:autoSpaceDN w:val="0"/>
              <w:adjustRightInd w:val="0"/>
              <w:spacing w:after="0" w:line="360" w:lineRule="auto"/>
              <w:ind w:left="60" w:right="60"/>
              <w:jc w:val="center"/>
              <w:rPr>
                <w:rFonts w:ascii="Arial" w:hAnsi="Arial" w:cs="Arial"/>
                <w:color w:val="264A60"/>
                <w:sz w:val="18"/>
                <w:szCs w:val="18"/>
              </w:rPr>
            </w:pPr>
            <w:r w:rsidRPr="00D108A7">
              <w:rPr>
                <w:rFonts w:ascii="Arial" w:hAnsi="Arial" w:cs="Arial"/>
                <w:color w:val="264A60"/>
                <w:sz w:val="18"/>
                <w:szCs w:val="18"/>
              </w:rPr>
              <w:t>1</w:t>
            </w:r>
          </w:p>
        </w:tc>
      </w:tr>
      <w:tr w:rsidR="00D108A7" w:rsidRPr="00D108A7">
        <w:trPr>
          <w:cantSplit/>
        </w:trPr>
        <w:tc>
          <w:tcPr>
            <w:tcW w:w="2459" w:type="dxa"/>
            <w:tcBorders>
              <w:top w:val="single" w:sz="8" w:space="0" w:color="152935"/>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insula</w:t>
            </w:r>
          </w:p>
        </w:tc>
        <w:tc>
          <w:tcPr>
            <w:tcW w:w="1290" w:type="dxa"/>
            <w:tcBorders>
              <w:top w:val="single" w:sz="8" w:space="0" w:color="152935"/>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960</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precuneus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945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insula</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944</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inferiorparietal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943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isthmuscingulate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942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rostralanteriorcingulate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939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posteriorcingulate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938</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supramarginal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937</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lastRenderedPageBreak/>
              <w:t xml:space="preserve">rh </w:t>
            </w:r>
            <w:r w:rsidRPr="00D108A7">
              <w:rPr>
                <w:rFonts w:ascii="Arial" w:hAnsi="Arial" w:cs="Arial"/>
                <w:color w:val="264A60"/>
                <w:sz w:val="18"/>
                <w:szCs w:val="18"/>
              </w:rPr>
              <w:t>parsopercularis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936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rostralmiddlefrontal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931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parstriangularis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middletemporal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inferiortemporal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superiorfrontal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posteriorcingulate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lateralorbitofrontal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precuneus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lateralorbitofrontal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supramarginal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920</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superiortemporal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rostralanteriorcingulate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rostralmiddlefrontal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medialorbitofrontal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bankssts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parsopercularis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inferiorparietal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910</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inferiortemporal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908</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isthmuscingulate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906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superiorfrontal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905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parsorbitalis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904</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medialorbitofrontal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897</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superiortemporal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895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parahippocampal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891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parstriangularis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891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caudalanteriorcingulate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886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middletemporal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883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parsorbitalis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879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caudalmiddlefrontal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872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superiorparietal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866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caudalanteriorcingulate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866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bankssts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863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caudalmiddlefrontal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863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fusiform</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852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fusiform</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840</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parahippocampal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825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superiorparietal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821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frontalpole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816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frontalpole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811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temporalpole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787</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temporalpole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741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lastRenderedPageBreak/>
              <w:t xml:space="preserve">lh </w:t>
            </w:r>
            <w:r w:rsidRPr="00D108A7">
              <w:rPr>
                <w:rFonts w:ascii="Arial" w:hAnsi="Arial" w:cs="Arial"/>
                <w:color w:val="264A60"/>
                <w:sz w:val="18"/>
                <w:szCs w:val="18"/>
              </w:rPr>
              <w:t>transversetemporal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728</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transversetemporal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713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postcentral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702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paracentral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694</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paracentral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669</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postcentral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662</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precentral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641</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precentral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636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lateraloccipital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567</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ento</w:t>
            </w:r>
            <w:r>
              <w:rPr>
                <w:rFonts w:ascii="Arial" w:hAnsi="Arial" w:cs="Arial"/>
                <w:color w:val="264A60"/>
                <w:sz w:val="18"/>
                <w:szCs w:val="18"/>
              </w:rPr>
              <w:t xml:space="preserve">rh </w:t>
            </w:r>
            <w:r w:rsidRPr="00D108A7">
              <w:rPr>
                <w:rFonts w:ascii="Arial" w:hAnsi="Arial" w:cs="Arial"/>
                <w:color w:val="264A60"/>
                <w:sz w:val="18"/>
                <w:szCs w:val="18"/>
              </w:rPr>
              <w:t>inal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563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ento</w:t>
            </w:r>
            <w:r>
              <w:rPr>
                <w:rFonts w:ascii="Arial" w:hAnsi="Arial" w:cs="Arial"/>
                <w:color w:val="264A60"/>
                <w:sz w:val="18"/>
                <w:szCs w:val="18"/>
              </w:rPr>
              <w:t xml:space="preserve">rh </w:t>
            </w:r>
            <w:r w:rsidRPr="00D108A7">
              <w:rPr>
                <w:rFonts w:ascii="Arial" w:hAnsi="Arial" w:cs="Arial"/>
                <w:color w:val="264A60"/>
                <w:sz w:val="18"/>
                <w:szCs w:val="18"/>
              </w:rPr>
              <w:t>inal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563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lateraloccipital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538</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pericalcarine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513</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pericalcarine</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496</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lingual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447</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lingual</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445</w:t>
            </w:r>
          </w:p>
        </w:tc>
      </w:tr>
      <w:tr w:rsidR="00D108A7" w:rsidRPr="00D108A7">
        <w:trPr>
          <w:cantSplit/>
        </w:trPr>
        <w:tc>
          <w:tcPr>
            <w:tcW w:w="2459" w:type="dxa"/>
            <w:tcBorders>
              <w:top w:val="single" w:sz="8" w:space="0" w:color="AEAEAE"/>
              <w:left w:val="nil"/>
              <w:bottom w:val="single" w:sz="8" w:space="0" w:color="AEAEAE"/>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lh </w:t>
            </w:r>
            <w:r w:rsidRPr="00D108A7">
              <w:rPr>
                <w:rFonts w:ascii="Arial" w:hAnsi="Arial" w:cs="Arial"/>
                <w:color w:val="264A60"/>
                <w:sz w:val="18"/>
                <w:szCs w:val="18"/>
              </w:rPr>
              <w:t>cuneus</w:t>
            </w:r>
          </w:p>
        </w:tc>
        <w:tc>
          <w:tcPr>
            <w:tcW w:w="1290" w:type="dxa"/>
            <w:tcBorders>
              <w:top w:val="single" w:sz="8" w:space="0" w:color="AEAEAE"/>
              <w:left w:val="nil"/>
              <w:bottom w:val="single" w:sz="8" w:space="0" w:color="AEAEAE"/>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376</w:t>
            </w:r>
          </w:p>
        </w:tc>
      </w:tr>
      <w:tr w:rsidR="00D108A7" w:rsidRPr="00D108A7">
        <w:trPr>
          <w:cantSplit/>
        </w:trPr>
        <w:tc>
          <w:tcPr>
            <w:tcW w:w="2459" w:type="dxa"/>
            <w:tcBorders>
              <w:top w:val="single" w:sz="8" w:space="0" w:color="AEAEAE"/>
              <w:left w:val="nil"/>
              <w:bottom w:val="single" w:sz="8" w:space="0" w:color="152935"/>
              <w:right w:val="nil"/>
            </w:tcBorders>
            <w:shd w:val="clear" w:color="auto" w:fill="E0E0E0"/>
          </w:tcPr>
          <w:p w:rsidR="00D108A7" w:rsidRPr="00D108A7" w:rsidRDefault="00D108A7" w:rsidP="009A0845">
            <w:pPr>
              <w:autoSpaceDE w:val="0"/>
              <w:autoSpaceDN w:val="0"/>
              <w:adjustRightInd w:val="0"/>
              <w:spacing w:after="0" w:line="360" w:lineRule="auto"/>
              <w:ind w:left="60" w:right="60"/>
              <w:rPr>
                <w:rFonts w:ascii="Arial" w:hAnsi="Arial" w:cs="Arial"/>
                <w:color w:val="264A60"/>
                <w:sz w:val="18"/>
                <w:szCs w:val="18"/>
              </w:rPr>
            </w:pPr>
            <w:r>
              <w:rPr>
                <w:rFonts w:ascii="Arial" w:hAnsi="Arial" w:cs="Arial"/>
                <w:color w:val="264A60"/>
                <w:sz w:val="18"/>
                <w:szCs w:val="18"/>
              </w:rPr>
              <w:t xml:space="preserve">rh </w:t>
            </w:r>
            <w:r w:rsidRPr="00D108A7">
              <w:rPr>
                <w:rFonts w:ascii="Arial" w:hAnsi="Arial" w:cs="Arial"/>
                <w:color w:val="264A60"/>
                <w:sz w:val="18"/>
                <w:szCs w:val="18"/>
              </w:rPr>
              <w:t>cuneus</w:t>
            </w:r>
          </w:p>
        </w:tc>
        <w:tc>
          <w:tcPr>
            <w:tcW w:w="1290" w:type="dxa"/>
            <w:tcBorders>
              <w:top w:val="single" w:sz="8" w:space="0" w:color="AEAEAE"/>
              <w:left w:val="nil"/>
              <w:bottom w:val="single" w:sz="8" w:space="0" w:color="152935"/>
              <w:right w:val="nil"/>
            </w:tcBorders>
            <w:shd w:val="clear" w:color="auto" w:fill="FFFFFF"/>
          </w:tcPr>
          <w:p w:rsidR="00D108A7" w:rsidRPr="00D108A7" w:rsidRDefault="00D108A7" w:rsidP="009A0845">
            <w:pPr>
              <w:autoSpaceDE w:val="0"/>
              <w:autoSpaceDN w:val="0"/>
              <w:adjustRightInd w:val="0"/>
              <w:spacing w:after="0" w:line="360" w:lineRule="auto"/>
              <w:ind w:left="60" w:right="60"/>
              <w:jc w:val="right"/>
              <w:rPr>
                <w:rFonts w:ascii="Arial" w:hAnsi="Arial" w:cs="Arial"/>
                <w:color w:val="010205"/>
                <w:sz w:val="18"/>
                <w:szCs w:val="18"/>
              </w:rPr>
            </w:pPr>
            <w:r>
              <w:rPr>
                <w:rFonts w:ascii="Arial" w:hAnsi="Arial" w:cs="Arial"/>
                <w:color w:val="010205"/>
                <w:sz w:val="18"/>
                <w:szCs w:val="18"/>
              </w:rPr>
              <w:t>.</w:t>
            </w:r>
            <w:r w:rsidRPr="00D108A7">
              <w:rPr>
                <w:rFonts w:ascii="Arial" w:hAnsi="Arial" w:cs="Arial"/>
                <w:color w:val="010205"/>
                <w:sz w:val="18"/>
                <w:szCs w:val="18"/>
              </w:rPr>
              <w:t>319</w:t>
            </w:r>
          </w:p>
        </w:tc>
      </w:tr>
      <w:tr w:rsidR="00D108A7" w:rsidRPr="002E1AD1">
        <w:trPr>
          <w:cantSplit/>
        </w:trPr>
        <w:tc>
          <w:tcPr>
            <w:tcW w:w="3749" w:type="dxa"/>
            <w:gridSpan w:val="2"/>
            <w:tcBorders>
              <w:top w:val="nil"/>
              <w:left w:val="nil"/>
              <w:bottom w:val="nil"/>
              <w:right w:val="nil"/>
            </w:tcBorders>
            <w:shd w:val="clear" w:color="auto" w:fill="FFFFFF"/>
          </w:tcPr>
          <w:p w:rsidR="00D108A7" w:rsidRPr="00D108A7" w:rsidRDefault="00D108A7" w:rsidP="009A0845">
            <w:pPr>
              <w:autoSpaceDE w:val="0"/>
              <w:autoSpaceDN w:val="0"/>
              <w:adjustRightInd w:val="0"/>
              <w:spacing w:after="0" w:line="360" w:lineRule="auto"/>
              <w:ind w:left="60" w:right="60"/>
              <w:rPr>
                <w:rFonts w:ascii="Arial" w:hAnsi="Arial" w:cs="Arial"/>
                <w:color w:val="010205"/>
                <w:sz w:val="18"/>
                <w:szCs w:val="18"/>
                <w:lang w:val="en-US"/>
              </w:rPr>
            </w:pPr>
            <w:r w:rsidRPr="00D108A7">
              <w:rPr>
                <w:rFonts w:ascii="Arial" w:hAnsi="Arial" w:cs="Arial"/>
                <w:color w:val="010205"/>
                <w:sz w:val="18"/>
                <w:szCs w:val="18"/>
                <w:lang w:val="en-US"/>
              </w:rPr>
              <w:t>Extraction Method: Principal Component Analysis.</w:t>
            </w:r>
          </w:p>
        </w:tc>
      </w:tr>
      <w:tr w:rsidR="00D108A7" w:rsidRPr="00D108A7">
        <w:trPr>
          <w:cantSplit/>
        </w:trPr>
        <w:tc>
          <w:tcPr>
            <w:tcW w:w="3749" w:type="dxa"/>
            <w:gridSpan w:val="2"/>
            <w:tcBorders>
              <w:top w:val="nil"/>
              <w:left w:val="nil"/>
              <w:bottom w:val="nil"/>
              <w:right w:val="nil"/>
            </w:tcBorders>
            <w:shd w:val="clear" w:color="auto" w:fill="FFFFFF"/>
          </w:tcPr>
          <w:p w:rsidR="00D108A7" w:rsidRPr="00D108A7" w:rsidRDefault="00D108A7" w:rsidP="009A0845">
            <w:pPr>
              <w:autoSpaceDE w:val="0"/>
              <w:autoSpaceDN w:val="0"/>
              <w:adjustRightInd w:val="0"/>
              <w:spacing w:after="0" w:line="360" w:lineRule="auto"/>
              <w:ind w:left="60" w:right="60"/>
              <w:rPr>
                <w:rFonts w:ascii="Arial" w:hAnsi="Arial" w:cs="Arial"/>
                <w:color w:val="010205"/>
                <w:sz w:val="18"/>
                <w:szCs w:val="18"/>
              </w:rPr>
            </w:pPr>
            <w:r w:rsidRPr="00D108A7">
              <w:rPr>
                <w:rFonts w:ascii="Arial" w:hAnsi="Arial" w:cs="Arial"/>
                <w:color w:val="010205"/>
                <w:sz w:val="18"/>
                <w:szCs w:val="18"/>
              </w:rPr>
              <w:t>a. 1 components extracted.</w:t>
            </w:r>
          </w:p>
        </w:tc>
      </w:tr>
    </w:tbl>
    <w:p w:rsidR="00D108A7" w:rsidRDefault="00D108A7" w:rsidP="009A0845">
      <w:pPr>
        <w:autoSpaceDE w:val="0"/>
        <w:autoSpaceDN w:val="0"/>
        <w:adjustRightInd w:val="0"/>
        <w:spacing w:after="0" w:line="360" w:lineRule="auto"/>
        <w:rPr>
          <w:rFonts w:ascii="Arial" w:hAnsi="Arial" w:cs="Arial"/>
          <w:sz w:val="24"/>
          <w:szCs w:val="24"/>
        </w:rPr>
      </w:pPr>
    </w:p>
    <w:p w:rsidR="00D108A7" w:rsidRPr="00B274EA" w:rsidRDefault="00D108A7" w:rsidP="009A0845">
      <w:pPr>
        <w:autoSpaceDE w:val="0"/>
        <w:autoSpaceDN w:val="0"/>
        <w:adjustRightInd w:val="0"/>
        <w:spacing w:after="0" w:line="360" w:lineRule="auto"/>
        <w:rPr>
          <w:rFonts w:ascii="Arial" w:hAnsi="Arial" w:cs="Arial"/>
          <w:lang w:val="en-US"/>
        </w:rPr>
      </w:pPr>
      <w:r w:rsidRPr="00B274EA">
        <w:rPr>
          <w:rFonts w:ascii="Arial" w:hAnsi="Arial" w:cs="Arial"/>
          <w:lang w:val="en-US"/>
        </w:rPr>
        <w:t>rh: right hemisphere</w:t>
      </w:r>
    </w:p>
    <w:p w:rsidR="00D108A7" w:rsidRPr="00D108A7" w:rsidRDefault="00D108A7" w:rsidP="009A0845">
      <w:pPr>
        <w:autoSpaceDE w:val="0"/>
        <w:autoSpaceDN w:val="0"/>
        <w:adjustRightInd w:val="0"/>
        <w:spacing w:after="0" w:line="360" w:lineRule="auto"/>
        <w:rPr>
          <w:rFonts w:ascii="Arial" w:hAnsi="Arial" w:cs="Arial"/>
          <w:lang w:val="en-US"/>
        </w:rPr>
      </w:pPr>
      <w:r w:rsidRPr="00B274EA">
        <w:rPr>
          <w:rFonts w:ascii="Arial" w:hAnsi="Arial" w:cs="Arial"/>
          <w:lang w:val="en-US"/>
        </w:rPr>
        <w:t>lh: left hemisphere</w:t>
      </w:r>
    </w:p>
    <w:p w:rsidR="00CC71B6" w:rsidRDefault="00CC71B6" w:rsidP="009A0845">
      <w:pPr>
        <w:spacing w:after="0" w:line="360" w:lineRule="auto"/>
        <w:rPr>
          <w:b/>
          <w:lang w:val="en-US"/>
        </w:rPr>
      </w:pPr>
    </w:p>
    <w:p w:rsidR="00D108A7" w:rsidRPr="00B9476E" w:rsidRDefault="00B9476E" w:rsidP="009A0845">
      <w:pPr>
        <w:spacing w:after="0" w:line="360" w:lineRule="auto"/>
        <w:rPr>
          <w:b/>
          <w:lang w:val="en-US"/>
        </w:rPr>
      </w:pPr>
      <w:r w:rsidRPr="00B9476E">
        <w:rPr>
          <w:b/>
          <w:lang w:val="en-US"/>
        </w:rPr>
        <w:t>Distribution of all correlations between the A</w:t>
      </w:r>
      <w:r w:rsidRPr="00B9476E">
        <w:rPr>
          <w:b/>
        </w:rPr>
        <w:t>β</w:t>
      </w:r>
      <w:r w:rsidRPr="00B9476E">
        <w:rPr>
          <w:b/>
          <w:lang w:val="en-US"/>
        </w:rPr>
        <w:t xml:space="preserve"> – PSQI effect size and expression of all 20736 genes from the Allen Brain Atlas</w:t>
      </w:r>
    </w:p>
    <w:p w:rsidR="00B9476E" w:rsidRDefault="00B9476E" w:rsidP="009A0845">
      <w:pPr>
        <w:spacing w:after="0" w:line="360" w:lineRule="auto"/>
        <w:rPr>
          <w:sz w:val="24"/>
          <w:szCs w:val="24"/>
          <w:lang w:val="en-US"/>
        </w:rPr>
      </w:pPr>
    </w:p>
    <w:p w:rsidR="00B9476E" w:rsidRDefault="00AE57CC" w:rsidP="009A0845">
      <w:pPr>
        <w:spacing w:after="0" w:line="360" w:lineRule="auto"/>
        <w:rPr>
          <w:lang w:val="en-US"/>
        </w:rPr>
      </w:pPr>
      <w:r>
        <w:rPr>
          <w:noProof/>
          <w:lang w:eastAsia="nb-NO"/>
        </w:rPr>
        <w:drawing>
          <wp:inline distT="0" distB="0" distL="0" distR="0">
            <wp:extent cx="5731510" cy="47459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X R-distribution.tif"/>
                    <pic:cNvPicPr/>
                  </pic:nvPicPr>
                  <pic:blipFill>
                    <a:blip r:embed="rId7">
                      <a:extLst>
                        <a:ext uri="{28A0092B-C50C-407E-A947-70E740481C1C}">
                          <a14:useLocalDpi xmlns:a14="http://schemas.microsoft.com/office/drawing/2010/main" val="0"/>
                        </a:ext>
                      </a:extLst>
                    </a:blip>
                    <a:stretch>
                      <a:fillRect/>
                    </a:stretch>
                  </pic:blipFill>
                  <pic:spPr>
                    <a:xfrm>
                      <a:off x="0" y="0"/>
                      <a:ext cx="5731510" cy="4745990"/>
                    </a:xfrm>
                    <a:prstGeom prst="rect">
                      <a:avLst/>
                    </a:prstGeom>
                  </pic:spPr>
                </pic:pic>
              </a:graphicData>
            </a:graphic>
          </wp:inline>
        </w:drawing>
      </w:r>
    </w:p>
    <w:p w:rsidR="00D108A7" w:rsidRDefault="00AE57CC" w:rsidP="009A0845">
      <w:pPr>
        <w:spacing w:after="0" w:line="360" w:lineRule="auto"/>
        <w:rPr>
          <w:lang w:val="en-US"/>
        </w:rPr>
      </w:pPr>
      <w:r>
        <w:rPr>
          <w:lang w:val="en-US"/>
        </w:rPr>
        <w:t>The Homer1 correlation (r = .5</w:t>
      </w:r>
      <w:r w:rsidR="000C6E22">
        <w:rPr>
          <w:lang w:val="en-US"/>
        </w:rPr>
        <w:t>1</w:t>
      </w:r>
      <w:r>
        <w:rPr>
          <w:lang w:val="en-US"/>
        </w:rPr>
        <w:t>) is among the 2.5% most highly positively correlated genes, which equals a two-tailed α-value of &lt; .05.</w:t>
      </w:r>
    </w:p>
    <w:p w:rsidR="00BC39ED" w:rsidRDefault="00BC39ED" w:rsidP="009A0845">
      <w:pPr>
        <w:spacing w:after="0" w:line="360" w:lineRule="auto"/>
        <w:rPr>
          <w:lang w:val="en-US"/>
        </w:rPr>
      </w:pPr>
    </w:p>
    <w:p w:rsidR="00C3662E" w:rsidRPr="00CC71B6" w:rsidRDefault="002F14D9" w:rsidP="009A0845">
      <w:pPr>
        <w:spacing w:after="0" w:line="360" w:lineRule="auto"/>
        <w:rPr>
          <w:sz w:val="24"/>
          <w:szCs w:val="24"/>
          <w:lang w:val="en-US"/>
        </w:rPr>
      </w:pPr>
      <w:r w:rsidRPr="00CC71B6">
        <w:rPr>
          <w:b/>
          <w:sz w:val="24"/>
          <w:szCs w:val="24"/>
          <w:lang w:val="en-US"/>
        </w:rPr>
        <w:t>Gene expression</w:t>
      </w:r>
    </w:p>
    <w:p w:rsidR="002F14D9" w:rsidRPr="00CC71B6" w:rsidRDefault="00083F0D" w:rsidP="009A0845">
      <w:pPr>
        <w:spacing w:after="0" w:line="360" w:lineRule="auto"/>
        <w:rPr>
          <w:sz w:val="24"/>
          <w:szCs w:val="24"/>
          <w:lang w:val="en-US"/>
        </w:rPr>
      </w:pPr>
      <w:r w:rsidRPr="00CC71B6">
        <w:rPr>
          <w:i/>
          <w:sz w:val="24"/>
          <w:szCs w:val="24"/>
          <w:lang w:val="en-US"/>
        </w:rPr>
        <w:t xml:space="preserve">HOMER1 </w:t>
      </w:r>
      <w:r w:rsidRPr="00CC71B6">
        <w:rPr>
          <w:sz w:val="24"/>
          <w:szCs w:val="24"/>
          <w:lang w:val="en-US"/>
        </w:rPr>
        <w:t>expression levels were extracted from the 34 left-hemispheric cortical regions in the Desikan-Killian parcellation using methods described in (ref. French &amp; Paus, 2015).</w:t>
      </w:r>
      <w:r w:rsidR="00173064" w:rsidRPr="00CC71B6">
        <w:rPr>
          <w:sz w:val="24"/>
          <w:szCs w:val="24"/>
          <w:lang w:val="en-US"/>
        </w:rPr>
        <w:t xml:space="preserve"> </w:t>
      </w:r>
      <w:r w:rsidR="002F5AA7" w:rsidRPr="00CC71B6">
        <w:rPr>
          <w:sz w:val="24"/>
          <w:szCs w:val="24"/>
          <w:lang w:val="en-US"/>
        </w:rPr>
        <w:t>Briefly</w:t>
      </w:r>
      <w:r w:rsidR="00173064" w:rsidRPr="00CC71B6">
        <w:rPr>
          <w:sz w:val="24"/>
          <w:szCs w:val="24"/>
          <w:lang w:val="en-US"/>
        </w:rPr>
        <w:t xml:space="preserve">, </w:t>
      </w:r>
      <w:r w:rsidR="00CD7893" w:rsidRPr="00CC71B6">
        <w:rPr>
          <w:sz w:val="24"/>
          <w:szCs w:val="24"/>
          <w:lang w:val="en-US"/>
        </w:rPr>
        <w:t xml:space="preserve">normalized </w:t>
      </w:r>
      <w:r w:rsidR="00173064" w:rsidRPr="00CC71B6">
        <w:rPr>
          <w:sz w:val="24"/>
          <w:szCs w:val="24"/>
          <w:lang w:val="en-US"/>
        </w:rPr>
        <w:t>microarray gene expression data was downloaded from the the Allen Brain Atlas, and for each donor all cortical samples were assigned to a surface region based on their MNI152 coordinates</w:t>
      </w:r>
      <w:r w:rsidR="00CD7893" w:rsidRPr="00CC71B6">
        <w:rPr>
          <w:sz w:val="24"/>
          <w:szCs w:val="24"/>
          <w:lang w:val="en-US"/>
        </w:rPr>
        <w:t xml:space="preserve"> (which are</w:t>
      </w:r>
      <w:r w:rsidR="00173064" w:rsidRPr="00CC71B6">
        <w:rPr>
          <w:sz w:val="24"/>
          <w:szCs w:val="24"/>
          <w:lang w:val="en-US"/>
        </w:rPr>
        <w:t xml:space="preserve"> provi</w:t>
      </w:r>
      <w:r w:rsidR="00CD7893" w:rsidRPr="00CC71B6">
        <w:rPr>
          <w:sz w:val="24"/>
          <w:szCs w:val="24"/>
          <w:lang w:val="en-US"/>
        </w:rPr>
        <w:t xml:space="preserve">ded when downloading the data). Summed over all donors, 1269 cortical samples were mapped to the 34 left-hemispheric regions; all regions were represented with sample data from at least three donors </w:t>
      </w:r>
      <w:r w:rsidR="000C6E22" w:rsidRPr="00CC71B6">
        <w:rPr>
          <w:sz w:val="24"/>
          <w:szCs w:val="24"/>
          <w:lang w:val="en-US"/>
        </w:rPr>
        <w:t xml:space="preserve">(28/34 regions had data from all donors), </w:t>
      </w:r>
      <w:r w:rsidR="00CD7893" w:rsidRPr="00CC71B6">
        <w:rPr>
          <w:sz w:val="24"/>
          <w:szCs w:val="24"/>
          <w:lang w:val="en-US"/>
        </w:rPr>
        <w:t xml:space="preserve">and at least six samples. For each region, median </w:t>
      </w:r>
      <w:r w:rsidR="00CD7893" w:rsidRPr="00CC71B6">
        <w:rPr>
          <w:i/>
          <w:sz w:val="24"/>
          <w:szCs w:val="24"/>
          <w:lang w:val="en-US"/>
        </w:rPr>
        <w:t>HOMER1</w:t>
      </w:r>
      <w:r w:rsidR="00CD7893" w:rsidRPr="00CC71B6">
        <w:rPr>
          <w:sz w:val="24"/>
          <w:szCs w:val="24"/>
          <w:lang w:val="en-US"/>
        </w:rPr>
        <w:t xml:space="preserve"> expression across donors was calculated and used to indicate regional variation in expression in the current analyses.</w:t>
      </w:r>
    </w:p>
    <w:p w:rsidR="00BB4752" w:rsidRPr="00CC71B6" w:rsidRDefault="003E73CA" w:rsidP="009A0845">
      <w:pPr>
        <w:spacing w:after="0" w:line="360" w:lineRule="auto"/>
        <w:rPr>
          <w:sz w:val="24"/>
          <w:szCs w:val="24"/>
          <w:lang w:val="en-US"/>
        </w:rPr>
      </w:pPr>
      <w:r w:rsidRPr="00CC71B6">
        <w:rPr>
          <w:sz w:val="24"/>
          <w:szCs w:val="24"/>
          <w:lang w:val="en-US"/>
        </w:rPr>
        <w:t xml:space="preserve">Follow-up analyses showed that the correlation between Aβ – PSQI effect size and </w:t>
      </w:r>
      <w:r w:rsidRPr="00CC71B6">
        <w:rPr>
          <w:i/>
          <w:sz w:val="24"/>
          <w:szCs w:val="24"/>
          <w:lang w:val="en-US"/>
        </w:rPr>
        <w:t xml:space="preserve">HOMER1 </w:t>
      </w:r>
      <w:r w:rsidRPr="00CC71B6">
        <w:rPr>
          <w:sz w:val="24"/>
          <w:szCs w:val="24"/>
          <w:lang w:val="en-US"/>
        </w:rPr>
        <w:t>expression was present in 6/6 donors</w:t>
      </w:r>
      <w:r w:rsidR="00E11AD8" w:rsidRPr="00CC71B6">
        <w:rPr>
          <w:sz w:val="24"/>
          <w:szCs w:val="24"/>
          <w:lang w:val="en-US"/>
        </w:rPr>
        <w:t xml:space="preserve">. Here, we first converted the Aβ – PSQI effect size surface maps to </w:t>
      </w:r>
      <w:r w:rsidR="00BB4752" w:rsidRPr="00CC71B6">
        <w:rPr>
          <w:sz w:val="24"/>
          <w:szCs w:val="24"/>
          <w:lang w:val="en-US"/>
        </w:rPr>
        <w:t>1mm</w:t>
      </w:r>
      <w:r w:rsidR="00BB4752" w:rsidRPr="00CC71B6">
        <w:rPr>
          <w:sz w:val="24"/>
          <w:szCs w:val="24"/>
          <w:vertAlign w:val="superscript"/>
          <w:lang w:val="en-US"/>
        </w:rPr>
        <w:t>3</w:t>
      </w:r>
      <w:r w:rsidR="00BB4752" w:rsidRPr="00CC71B6">
        <w:rPr>
          <w:sz w:val="24"/>
          <w:szCs w:val="24"/>
          <w:lang w:val="en-US"/>
        </w:rPr>
        <w:t xml:space="preserve"> </w:t>
      </w:r>
      <w:r w:rsidR="00E11AD8" w:rsidRPr="00CC71B6">
        <w:rPr>
          <w:sz w:val="24"/>
          <w:szCs w:val="24"/>
          <w:lang w:val="en-US"/>
        </w:rPr>
        <w:t>M</w:t>
      </w:r>
      <w:r w:rsidR="00E838AF" w:rsidRPr="00CC71B6">
        <w:rPr>
          <w:sz w:val="24"/>
          <w:szCs w:val="24"/>
          <w:lang w:val="en-US"/>
        </w:rPr>
        <w:t xml:space="preserve">NI152 volume space. Next, and for each donor separately, we extracted Aβ – PSQI effect size estimates from each cortical gene expression sample available in that donor, based on the MNI-coordinates of the sample. </w:t>
      </w:r>
      <w:r w:rsidR="00BB4752" w:rsidRPr="00CC71B6">
        <w:rPr>
          <w:sz w:val="24"/>
          <w:szCs w:val="24"/>
          <w:lang w:val="en-US"/>
        </w:rPr>
        <w:t>All Aβ – PSQI effect size estimates falling within 3mm of the sample MNI-coordinate were considered representative of the sample and averaged.</w:t>
      </w:r>
      <w:r w:rsidR="0066486B" w:rsidRPr="00CC71B6">
        <w:rPr>
          <w:sz w:val="24"/>
          <w:szCs w:val="24"/>
          <w:lang w:val="en-US"/>
        </w:rPr>
        <w:t xml:space="preserve"> Following this approach, the number of gene expression samples associated with a location within the MNI152 cortical ribbon ranged between 210 and 517 across the six donors (210-269 excluding </w:t>
      </w:r>
      <w:r w:rsidR="008A3B8B" w:rsidRPr="00CC71B6">
        <w:rPr>
          <w:sz w:val="24"/>
          <w:szCs w:val="24"/>
          <w:lang w:val="en-US"/>
        </w:rPr>
        <w:t xml:space="preserve">the </w:t>
      </w:r>
      <w:r w:rsidR="0066486B" w:rsidRPr="00CC71B6">
        <w:rPr>
          <w:sz w:val="24"/>
          <w:szCs w:val="24"/>
          <w:lang w:val="en-US"/>
        </w:rPr>
        <w:t xml:space="preserve">two donors being represented with samples in both hemispheres). Spearman correlations testing the relationship between </w:t>
      </w:r>
      <w:r w:rsidR="0066486B" w:rsidRPr="00CC71B6">
        <w:rPr>
          <w:i/>
          <w:sz w:val="24"/>
          <w:szCs w:val="24"/>
          <w:lang w:val="en-US"/>
        </w:rPr>
        <w:t>HOMER1</w:t>
      </w:r>
      <w:r w:rsidR="0066486B" w:rsidRPr="00CC71B6">
        <w:rPr>
          <w:sz w:val="24"/>
          <w:szCs w:val="24"/>
          <w:lang w:val="en-US"/>
        </w:rPr>
        <w:t xml:space="preserve"> expression and Aβ – PSQI effect size at each donor's samples within the MNI152 cortical ribbon showed significant positive relationships in all donors (</w:t>
      </w:r>
      <w:r w:rsidR="0066486B" w:rsidRPr="00CC71B6">
        <w:rPr>
          <w:i/>
          <w:sz w:val="24"/>
          <w:szCs w:val="24"/>
          <w:lang w:val="en-US"/>
        </w:rPr>
        <w:t>p</w:t>
      </w:r>
      <w:r w:rsidR="0066486B" w:rsidRPr="00CC71B6">
        <w:rPr>
          <w:sz w:val="24"/>
          <w:szCs w:val="24"/>
          <w:lang w:val="en-US"/>
        </w:rPr>
        <w:t>-values ranging from &lt;.01 to &lt; 2e-10, rho between .11 and .30</w:t>
      </w:r>
      <w:r w:rsidR="00296DA6" w:rsidRPr="00CC71B6">
        <w:rPr>
          <w:sz w:val="24"/>
          <w:szCs w:val="24"/>
          <w:lang w:val="en-US"/>
        </w:rPr>
        <w:t xml:space="preserve">). </w:t>
      </w:r>
    </w:p>
    <w:p w:rsidR="00BB4752" w:rsidRPr="00FE5655" w:rsidRDefault="00BB4752" w:rsidP="009A0845">
      <w:pPr>
        <w:spacing w:after="0" w:line="360" w:lineRule="auto"/>
        <w:rPr>
          <w:sz w:val="24"/>
          <w:szCs w:val="24"/>
          <w:highlight w:val="yellow"/>
          <w:lang w:val="en-US"/>
        </w:rPr>
      </w:pPr>
      <w:r w:rsidRPr="00FE5655">
        <w:rPr>
          <w:noProof/>
          <w:sz w:val="24"/>
          <w:szCs w:val="24"/>
          <w:highlight w:val="yellow"/>
          <w:lang w:eastAsia="nb-NO"/>
        </w:rPr>
        <w:drawing>
          <wp:inline distT="0" distB="0" distL="0" distR="0">
            <wp:extent cx="4268156" cy="4171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_HOMER1.tiff"/>
                    <pic:cNvPicPr/>
                  </pic:nvPicPr>
                  <pic:blipFill>
                    <a:blip r:embed="rId8">
                      <a:extLst>
                        <a:ext uri="{28A0092B-C50C-407E-A947-70E740481C1C}">
                          <a14:useLocalDpi xmlns:a14="http://schemas.microsoft.com/office/drawing/2010/main" val="0"/>
                        </a:ext>
                      </a:extLst>
                    </a:blip>
                    <a:stretch>
                      <a:fillRect/>
                    </a:stretch>
                  </pic:blipFill>
                  <pic:spPr>
                    <a:xfrm>
                      <a:off x="0" y="0"/>
                      <a:ext cx="4275373" cy="4178425"/>
                    </a:xfrm>
                    <a:prstGeom prst="rect">
                      <a:avLst/>
                    </a:prstGeom>
                  </pic:spPr>
                </pic:pic>
              </a:graphicData>
            </a:graphic>
          </wp:inline>
        </w:drawing>
      </w:r>
    </w:p>
    <w:p w:rsidR="00083F0D" w:rsidRPr="00CC71B6" w:rsidRDefault="00296DA6" w:rsidP="009A0845">
      <w:pPr>
        <w:spacing w:after="0" w:line="360" w:lineRule="auto"/>
        <w:rPr>
          <w:i/>
          <w:sz w:val="24"/>
          <w:szCs w:val="24"/>
          <w:lang w:val="en-US"/>
        </w:rPr>
      </w:pPr>
      <w:r w:rsidRPr="00CC71B6">
        <w:rPr>
          <w:i/>
          <w:sz w:val="24"/>
          <w:szCs w:val="24"/>
          <w:lang w:val="en-US"/>
        </w:rPr>
        <w:t>Figure showing a</w:t>
      </w:r>
      <w:r w:rsidR="00BC497E" w:rsidRPr="00CC71B6">
        <w:rPr>
          <w:i/>
          <w:sz w:val="24"/>
          <w:szCs w:val="24"/>
          <w:lang w:val="en-US"/>
        </w:rPr>
        <w:t>n</w:t>
      </w:r>
      <w:r w:rsidRPr="00CC71B6">
        <w:rPr>
          <w:i/>
          <w:sz w:val="24"/>
          <w:szCs w:val="24"/>
          <w:lang w:val="en-US"/>
        </w:rPr>
        <w:t xml:space="preserve"> </w:t>
      </w:r>
      <w:r w:rsidR="00BC497E" w:rsidRPr="00CC71B6">
        <w:rPr>
          <w:i/>
          <w:sz w:val="24"/>
          <w:szCs w:val="24"/>
          <w:lang w:val="en-US"/>
        </w:rPr>
        <w:t>axial</w:t>
      </w:r>
      <w:r w:rsidRPr="00CC71B6">
        <w:rPr>
          <w:i/>
          <w:sz w:val="24"/>
          <w:szCs w:val="24"/>
          <w:lang w:val="en-US"/>
        </w:rPr>
        <w:t xml:space="preserve"> view of the cortical Aβ – PSQI effect size in MNI152-space (red-yellow cortical ribbon), and the gene expression samples from one of the donors with samples in both hemispheres (H0351.2001). Samples overlapping with the cortical ribbon were included in the analyses at the single-donor level.</w:t>
      </w:r>
    </w:p>
    <w:p w:rsidR="0043709E" w:rsidRPr="00CC71B6" w:rsidRDefault="0043709E" w:rsidP="009A0845">
      <w:pPr>
        <w:spacing w:after="0" w:line="360" w:lineRule="auto"/>
        <w:rPr>
          <w:sz w:val="24"/>
          <w:szCs w:val="24"/>
          <w:lang w:val="en-US"/>
        </w:rPr>
      </w:pPr>
    </w:p>
    <w:p w:rsidR="002F14D9" w:rsidRDefault="0043709E" w:rsidP="009A0845">
      <w:pPr>
        <w:spacing w:after="0" w:line="360" w:lineRule="auto"/>
        <w:rPr>
          <w:sz w:val="24"/>
          <w:szCs w:val="24"/>
          <w:lang w:val="en-US"/>
        </w:rPr>
      </w:pPr>
      <w:r w:rsidRPr="00CC71B6">
        <w:rPr>
          <w:sz w:val="24"/>
          <w:szCs w:val="24"/>
          <w:lang w:val="en-US"/>
        </w:rPr>
        <w:t xml:space="preserve">The six </w:t>
      </w:r>
      <w:r w:rsidR="009774FB" w:rsidRPr="00CC71B6">
        <w:rPr>
          <w:sz w:val="24"/>
          <w:szCs w:val="24"/>
          <w:lang w:val="en-US"/>
        </w:rPr>
        <w:t xml:space="preserve">donors in the Allen Human Brain Atlas Microarray Survey are described in detail in the </w:t>
      </w:r>
      <w:r w:rsidR="00FE5655" w:rsidRPr="00CC71B6">
        <w:rPr>
          <w:sz w:val="24"/>
          <w:szCs w:val="24"/>
          <w:lang w:val="en-US"/>
        </w:rPr>
        <w:t>Donor Profile Technical White P</w:t>
      </w:r>
      <w:r w:rsidR="009774FB" w:rsidRPr="00CC71B6">
        <w:rPr>
          <w:sz w:val="24"/>
          <w:szCs w:val="24"/>
          <w:lang w:val="en-US"/>
        </w:rPr>
        <w:t xml:space="preserve">aper available at </w:t>
      </w:r>
      <w:r w:rsidR="00FE5655" w:rsidRPr="00CC71B6">
        <w:rPr>
          <w:sz w:val="24"/>
          <w:szCs w:val="24"/>
          <w:lang w:val="en-US"/>
        </w:rPr>
        <w:t>http://help.brain-map.org/display/humanbrain/Documentation.  Importantly, none of the donors showed abnormal levels of amyloid p</w:t>
      </w:r>
      <w:r w:rsidR="00CC71B6">
        <w:rPr>
          <w:sz w:val="24"/>
          <w:szCs w:val="24"/>
          <w:lang w:val="en-US"/>
        </w:rPr>
        <w:t>laques or neurofibrillary tangle</w:t>
      </w:r>
      <w:r w:rsidR="00FE5655" w:rsidRPr="00CC71B6">
        <w:rPr>
          <w:sz w:val="24"/>
          <w:szCs w:val="24"/>
          <w:lang w:val="en-US"/>
        </w:rPr>
        <w:t>s</w:t>
      </w:r>
      <w:r w:rsidR="00CC71B6">
        <w:rPr>
          <w:sz w:val="24"/>
          <w:szCs w:val="24"/>
          <w:lang w:val="en-US"/>
        </w:rPr>
        <w:t>.</w:t>
      </w:r>
    </w:p>
    <w:p w:rsidR="00CC71B6" w:rsidRDefault="00CC71B6" w:rsidP="009A0845">
      <w:pPr>
        <w:spacing w:after="0" w:line="360" w:lineRule="auto"/>
        <w:rPr>
          <w:sz w:val="24"/>
          <w:szCs w:val="24"/>
          <w:lang w:val="en-US"/>
        </w:rPr>
      </w:pPr>
    </w:p>
    <w:p w:rsidR="009A0845" w:rsidRPr="009A0845" w:rsidRDefault="009A0845" w:rsidP="009A0845">
      <w:pPr>
        <w:spacing w:after="0" w:line="360" w:lineRule="auto"/>
        <w:rPr>
          <w:i/>
          <w:sz w:val="24"/>
          <w:szCs w:val="24"/>
          <w:lang w:val="en-US"/>
        </w:rPr>
      </w:pPr>
      <w:r w:rsidRPr="009A0845">
        <w:rPr>
          <w:i/>
          <w:sz w:val="24"/>
          <w:szCs w:val="24"/>
          <w:lang w:val="en-US"/>
        </w:rPr>
        <w:t>Control analyses - Sleep, memory and depression</w:t>
      </w:r>
    </w:p>
    <w:p w:rsidR="009A0845" w:rsidRPr="009A0845" w:rsidRDefault="009A0845" w:rsidP="009A0845">
      <w:pPr>
        <w:spacing w:after="0" w:line="360" w:lineRule="auto"/>
        <w:rPr>
          <w:sz w:val="24"/>
          <w:szCs w:val="24"/>
          <w:lang w:val="en-US"/>
        </w:rPr>
      </w:pPr>
      <w:r w:rsidRPr="009A0845">
        <w:rPr>
          <w:sz w:val="24"/>
          <w:szCs w:val="24"/>
          <w:lang w:val="en-US"/>
        </w:rPr>
        <w:t xml:space="preserve">Participants underwent a visuo-constructive recall test (The Rey-Osterreith Complex Figure Text: CFT) </w:t>
      </w:r>
      <w:r>
        <w:rPr>
          <w:sz w:val="24"/>
          <w:szCs w:val="24"/>
        </w:rPr>
        <w:fldChar w:fldCharType="begin"/>
      </w:r>
      <w:r w:rsidR="00B93554" w:rsidRPr="00B93554">
        <w:rPr>
          <w:sz w:val="24"/>
          <w:szCs w:val="24"/>
          <w:lang w:val="en-US"/>
        </w:rPr>
        <w:instrText xml:space="preserve"> ADDIN EN.CITE &lt;EndNote&gt;&lt;Cite&gt;&lt;Author&gt;Poulton&lt;/Author&gt;&lt;Year&gt;1995&lt;/Year&gt;&lt;RecNum&gt;36&lt;/RecNum&gt;&lt;DisplayText&gt;(1)&lt;/DisplayText&gt;&lt;record&gt;&lt;rec-number&gt;36&lt;/rec-number&gt;&lt;foreign-keys&gt;&lt;key app="EN" db-id="aa5vexxdj0rwsaevpf6xds2msedrt05f9avr" timestamp="1526998114"&gt;36&lt;/key&gt;&lt;/foreign-keys&gt;&lt;ref-type name="Journal Article"&gt;17&lt;/ref-type&gt;&lt;contributors&gt;&lt;authors&gt;&lt;author&gt;Poulton, R. G.&lt;/author&gt;&lt;author&gt;Moffitt, T. E.&lt;/author&gt;&lt;/authors&gt;&lt;/contributors&gt;&lt;auth-address&gt;Clinical Research Unit for Anxiety Disorders, University of New South Wales at St. Vincent&amp;apos;s Hospital, Sydney, Australia&lt;/auth-address&gt;&lt;titles&gt;&lt;title&gt;The Rey-Osterreith Complex Figure Test: norms for young adolescents and an examination of validity&lt;/title&gt;&lt;secondary-title&gt;Arch Clin Neuropsychol&lt;/secondary-title&gt;&lt;/titles&gt;&lt;periodical&gt;&lt;full-title&gt;Arch Clin Neuropsychol&lt;/full-title&gt;&lt;/periodical&gt;&lt;pages&gt;47-56&lt;/pages&gt;&lt;volume&gt;10&lt;/volume&gt;&lt;number&gt;1&lt;/number&gt;&lt;dates&gt;&lt;year&gt;1995&lt;/year&gt;&lt;pub-dates&gt;&lt;date&gt;Jan&lt;/date&gt;&lt;/pub-dates&gt;&lt;/dates&gt;&lt;isbn&gt;0887-6177 (Print)&amp;#xD;0887-6177 (Linking)&lt;/isbn&gt;&lt;accession-num&gt;14588449&lt;/accession-num&gt;&lt;urls&gt;&lt;related-urls&gt;&lt;url&gt;https://www.ncbi.nlm.nih.gov/pubmed/14588449&lt;/url&gt;&lt;/related-urls&gt;&lt;/urls&gt;&lt;/record&gt;&lt;/Cite&gt;&lt;/EndNote&gt;</w:instrText>
      </w:r>
      <w:r>
        <w:rPr>
          <w:sz w:val="24"/>
          <w:szCs w:val="24"/>
        </w:rPr>
        <w:fldChar w:fldCharType="separate"/>
      </w:r>
      <w:r w:rsidR="00B93554" w:rsidRPr="00B93554">
        <w:rPr>
          <w:noProof/>
          <w:sz w:val="24"/>
          <w:szCs w:val="24"/>
          <w:lang w:val="en-US"/>
        </w:rPr>
        <w:t>(1)</w:t>
      </w:r>
      <w:r>
        <w:rPr>
          <w:sz w:val="24"/>
          <w:szCs w:val="24"/>
        </w:rPr>
        <w:fldChar w:fldCharType="end"/>
      </w:r>
      <w:r w:rsidRPr="009A0845">
        <w:rPr>
          <w:sz w:val="24"/>
          <w:szCs w:val="24"/>
          <w:lang w:val="en-US"/>
        </w:rPr>
        <w:t xml:space="preserve">, where they were asked to </w:t>
      </w:r>
      <w:r w:rsidRPr="009A0845">
        <w:rPr>
          <w:sz w:val="24"/>
          <w:szCs w:val="24"/>
          <w:lang w:val="en-US"/>
        </w:rPr>
        <w:t>copy a complex figure on a sheet of paper. 30 minutes later, they were given an unannounced test, asked to reproduce the drawing from their memory. We calculated score at baseline and follow up, as well as annualized percent change in score across the three years between time points. Controlling for age, sleep problems at baseline correlated with recall at both time points (baseline r = -.34, p &lt; .01, df = 60; follow-up r = -.32, p &lt; .05, df = 61), but no significant relationship w</w:t>
      </w:r>
      <w:r w:rsidR="004C285B">
        <w:rPr>
          <w:sz w:val="24"/>
          <w:szCs w:val="24"/>
          <w:lang w:val="en-US"/>
        </w:rPr>
        <w:t>as</w:t>
      </w:r>
      <w:r w:rsidRPr="009A0845">
        <w:rPr>
          <w:sz w:val="24"/>
          <w:szCs w:val="24"/>
          <w:lang w:val="en-US"/>
        </w:rPr>
        <w:t xml:space="preserve"> found between </w:t>
      </w:r>
      <w:r w:rsidR="004C285B">
        <w:rPr>
          <w:sz w:val="24"/>
          <w:szCs w:val="24"/>
          <w:lang w:val="en-US"/>
        </w:rPr>
        <w:t xml:space="preserve"> </w:t>
      </w:r>
      <w:r w:rsidRPr="009A0845">
        <w:rPr>
          <w:sz w:val="24"/>
          <w:szCs w:val="24"/>
          <w:lang w:val="en-US"/>
        </w:rPr>
        <w:t>PSQI and recall score change between time points. Correcting for depression score, PSQI at baseline still correlated significantly with recall score at baseline (r = -.30, p &lt; .05, df = 58) and at follow up (r = -.26, p &lt; .05, df = 58). None of the recall variables correlated with global A</w:t>
      </w:r>
      <w:r w:rsidRPr="00646F6C">
        <w:rPr>
          <w:sz w:val="24"/>
          <w:szCs w:val="24"/>
        </w:rPr>
        <w:t>β</w:t>
      </w:r>
      <w:r w:rsidRPr="009A0845">
        <w:rPr>
          <w:sz w:val="24"/>
          <w:szCs w:val="24"/>
          <w:lang w:val="en-US"/>
        </w:rPr>
        <w:t xml:space="preserve"> accumulation.</w:t>
      </w:r>
    </w:p>
    <w:p w:rsidR="009A0845" w:rsidRPr="009A0845" w:rsidRDefault="009A0845" w:rsidP="009A0845">
      <w:pPr>
        <w:spacing w:after="0" w:line="360" w:lineRule="auto"/>
        <w:rPr>
          <w:sz w:val="24"/>
          <w:szCs w:val="24"/>
          <w:lang w:val="en-US"/>
        </w:rPr>
      </w:pPr>
      <w:bookmarkStart w:id="0" w:name="_GoBack"/>
      <w:bookmarkEnd w:id="0"/>
    </w:p>
    <w:p w:rsidR="009A0845" w:rsidRPr="009A0845" w:rsidRDefault="009A0845" w:rsidP="009A0845">
      <w:pPr>
        <w:spacing w:after="0" w:line="360" w:lineRule="auto"/>
        <w:rPr>
          <w:sz w:val="24"/>
          <w:szCs w:val="24"/>
          <w:lang w:val="en-US"/>
        </w:rPr>
      </w:pPr>
      <w:r w:rsidRPr="009A0845">
        <w:rPr>
          <w:sz w:val="24"/>
          <w:szCs w:val="24"/>
          <w:lang w:val="en-US"/>
        </w:rPr>
        <w:t>We also tested the relationship between sleep problems and depressive symptoms. Controlling for age, PSQI at baseline (r = .39, p &lt; .005, df = 58) and follow up (r = .32, p &lt; .01) correlated with depressive symptoms at follow up. No correlations were found for depression symptom load at baseline. Increase in depressive symptom load between time points were associated with higher levels of sleep problems at follow up (r = .32, p &lt; .01, df = 67), controlling for age and interval. Neither of the depression scores correlated with global A</w:t>
      </w:r>
      <w:r w:rsidRPr="00646F6C">
        <w:rPr>
          <w:sz w:val="24"/>
          <w:szCs w:val="24"/>
        </w:rPr>
        <w:t>β</w:t>
      </w:r>
      <w:r w:rsidRPr="009A0845">
        <w:rPr>
          <w:sz w:val="24"/>
          <w:szCs w:val="24"/>
          <w:lang w:val="en-US"/>
        </w:rPr>
        <w:t xml:space="preserve"> accumulation. Adding sex as an additional covariate did not cause any of the relationships to go from significant to not significant. However, when sex was included, a relationship between increase in depression symptom load and increase in sleep problems between time points was significant (r = -.28, p &lt; .05). Adding memory function at baseline, follow up as well as annualized percentage chance between time points as additional covariates </w:t>
      </w:r>
      <w:r w:rsidRPr="009A0845">
        <w:rPr>
          <w:sz w:val="24"/>
          <w:szCs w:val="24"/>
          <w:lang w:val="en-US"/>
        </w:rPr>
        <w:t xml:space="preserve">did not cause any of the relationships to go from significant to not significant. Thus, memory and depressive symptoms are independently related to sleep problems, but neither seem </w:t>
      </w:r>
      <w:r w:rsidR="00252EC6">
        <w:rPr>
          <w:sz w:val="24"/>
          <w:szCs w:val="24"/>
          <w:lang w:val="en-US"/>
        </w:rPr>
        <w:t>to</w:t>
      </w:r>
      <w:r w:rsidRPr="009A0845">
        <w:rPr>
          <w:sz w:val="24"/>
          <w:szCs w:val="24"/>
          <w:lang w:val="en-US"/>
        </w:rPr>
        <w:t xml:space="preserve"> affect the sleep- A</w:t>
      </w:r>
      <w:r w:rsidRPr="00646F6C">
        <w:rPr>
          <w:sz w:val="24"/>
          <w:szCs w:val="24"/>
        </w:rPr>
        <w:t>β</w:t>
      </w:r>
      <w:r w:rsidRPr="009A0845">
        <w:rPr>
          <w:sz w:val="24"/>
          <w:szCs w:val="24"/>
          <w:lang w:val="en-US"/>
        </w:rPr>
        <w:t xml:space="preserve"> accumulation pattern.</w:t>
      </w:r>
    </w:p>
    <w:p w:rsidR="00CC71B6" w:rsidRDefault="00CC71B6" w:rsidP="009A0845">
      <w:pPr>
        <w:spacing w:after="0" w:line="360" w:lineRule="auto"/>
        <w:rPr>
          <w:sz w:val="24"/>
          <w:szCs w:val="24"/>
          <w:lang w:val="en-US"/>
        </w:rPr>
      </w:pPr>
    </w:p>
    <w:p w:rsidR="002E1AD1" w:rsidRPr="002E1AD1" w:rsidRDefault="002E1AD1" w:rsidP="002E1AD1">
      <w:pPr>
        <w:spacing w:after="0" w:line="360" w:lineRule="auto"/>
        <w:rPr>
          <w:b/>
          <w:sz w:val="24"/>
          <w:szCs w:val="24"/>
          <w:lang w:val="en-US"/>
        </w:rPr>
      </w:pPr>
      <w:r w:rsidRPr="002E1AD1">
        <w:rPr>
          <w:b/>
          <w:sz w:val="24"/>
          <w:szCs w:val="24"/>
          <w:lang w:val="en-US"/>
        </w:rPr>
        <w:t>Age × PSQI interaction in explaining A</w:t>
      </w:r>
      <w:r w:rsidRPr="002E1AD1">
        <w:rPr>
          <w:b/>
          <w:sz w:val="24"/>
          <w:szCs w:val="24"/>
        </w:rPr>
        <w:t>β</w:t>
      </w:r>
      <w:r w:rsidRPr="002E1AD1">
        <w:rPr>
          <w:b/>
          <w:sz w:val="24"/>
          <w:szCs w:val="24"/>
          <w:lang w:val="en-US"/>
        </w:rPr>
        <w:t xml:space="preserve"> accumulation</w:t>
      </w:r>
    </w:p>
    <w:p w:rsidR="002E1AD1" w:rsidRDefault="002E1AD1" w:rsidP="009A0845">
      <w:pPr>
        <w:spacing w:after="0" w:line="360" w:lineRule="auto"/>
        <w:rPr>
          <w:sz w:val="24"/>
          <w:szCs w:val="24"/>
          <w:lang w:val="en-US"/>
        </w:rPr>
      </w:pPr>
      <w:r w:rsidRPr="002E1AD1">
        <w:rPr>
          <w:sz w:val="24"/>
          <w:szCs w:val="24"/>
          <w:lang w:val="en-US"/>
        </w:rPr>
        <w:t xml:space="preserve">Scatterplot illustrating </w:t>
      </w:r>
      <w:r>
        <w:rPr>
          <w:sz w:val="24"/>
          <w:szCs w:val="24"/>
          <w:lang w:val="en-US"/>
        </w:rPr>
        <w:t>mean</w:t>
      </w:r>
      <w:r w:rsidRPr="002E1AD1">
        <w:rPr>
          <w:sz w:val="24"/>
          <w:szCs w:val="24"/>
          <w:lang w:val="en-US"/>
        </w:rPr>
        <w:t xml:space="preserve"> A</w:t>
      </w:r>
      <w:r w:rsidRPr="002E1AD1">
        <w:rPr>
          <w:sz w:val="24"/>
          <w:szCs w:val="24"/>
        </w:rPr>
        <w:t>β</w:t>
      </w:r>
      <w:r w:rsidRPr="002E1AD1">
        <w:rPr>
          <w:sz w:val="24"/>
          <w:szCs w:val="24"/>
          <w:lang w:val="en-US"/>
        </w:rPr>
        <w:t xml:space="preserve"> accumulation</w:t>
      </w:r>
      <w:r>
        <w:rPr>
          <w:sz w:val="24"/>
          <w:szCs w:val="24"/>
          <w:lang w:val="en-US"/>
        </w:rPr>
        <w:t xml:space="preserve"> values across all vertices in Figure 3 showing a significant age × PSQI interaction.  </w:t>
      </w:r>
    </w:p>
    <w:p w:rsidR="002E1AD1" w:rsidRDefault="002E1AD1" w:rsidP="009A0845">
      <w:pPr>
        <w:spacing w:after="0" w:line="360" w:lineRule="auto"/>
        <w:rPr>
          <w:sz w:val="24"/>
          <w:szCs w:val="24"/>
          <w:lang w:val="en-US"/>
        </w:rPr>
      </w:pPr>
    </w:p>
    <w:p w:rsidR="002E1AD1" w:rsidRPr="002E1AD1" w:rsidRDefault="002E1AD1" w:rsidP="009A0845">
      <w:pPr>
        <w:spacing w:after="0" w:line="360" w:lineRule="auto"/>
        <w:rPr>
          <w:sz w:val="24"/>
          <w:szCs w:val="24"/>
          <w:lang w:val="en-US"/>
        </w:rPr>
      </w:pPr>
      <w:r>
        <w:rPr>
          <w:noProof/>
          <w:sz w:val="24"/>
          <w:szCs w:val="24"/>
          <w:lang w:eastAsia="nb-NO"/>
        </w:rPr>
        <w:drawing>
          <wp:inline distT="0" distB="0" distL="0" distR="0">
            <wp:extent cx="3594100" cy="584878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figur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495" cy="5857562"/>
                    </a:xfrm>
                    <a:prstGeom prst="rect">
                      <a:avLst/>
                    </a:prstGeom>
                  </pic:spPr>
                </pic:pic>
              </a:graphicData>
            </a:graphic>
          </wp:inline>
        </w:drawing>
      </w:r>
    </w:p>
    <w:p w:rsidR="002E1AD1" w:rsidRDefault="002E1AD1" w:rsidP="009A0845">
      <w:pPr>
        <w:spacing w:after="0" w:line="360" w:lineRule="auto"/>
        <w:rPr>
          <w:sz w:val="24"/>
          <w:szCs w:val="24"/>
          <w:lang w:val="en-US"/>
        </w:rPr>
      </w:pPr>
    </w:p>
    <w:p w:rsidR="002E1AD1" w:rsidRDefault="002E1AD1" w:rsidP="009A0845">
      <w:pPr>
        <w:spacing w:after="0" w:line="360" w:lineRule="auto"/>
        <w:rPr>
          <w:sz w:val="24"/>
          <w:szCs w:val="24"/>
          <w:lang w:val="en-US"/>
        </w:rPr>
      </w:pPr>
    </w:p>
    <w:p w:rsidR="002E1AD1" w:rsidRDefault="002E1AD1" w:rsidP="009A0845">
      <w:pPr>
        <w:spacing w:after="0" w:line="360" w:lineRule="auto"/>
        <w:rPr>
          <w:sz w:val="24"/>
          <w:szCs w:val="24"/>
          <w:lang w:val="en-US"/>
        </w:rPr>
      </w:pPr>
    </w:p>
    <w:p w:rsidR="00CC71B6" w:rsidRPr="009A0845" w:rsidRDefault="009A0845" w:rsidP="009A0845">
      <w:pPr>
        <w:spacing w:after="0" w:line="360" w:lineRule="auto"/>
        <w:rPr>
          <w:b/>
          <w:sz w:val="24"/>
          <w:szCs w:val="24"/>
          <w:lang w:val="en-US"/>
        </w:rPr>
      </w:pPr>
      <w:r w:rsidRPr="009A0845">
        <w:rPr>
          <w:b/>
          <w:sz w:val="24"/>
          <w:szCs w:val="24"/>
          <w:lang w:val="en-US"/>
        </w:rPr>
        <w:t>References</w:t>
      </w:r>
    </w:p>
    <w:p w:rsidR="00B93554" w:rsidRPr="00B93554" w:rsidRDefault="00B93554" w:rsidP="00B93554">
      <w:pPr>
        <w:pStyle w:val="EndNoteBibliography"/>
        <w:ind w:left="720" w:hanging="720"/>
      </w:pPr>
      <w:r>
        <w:rPr>
          <w:sz w:val="24"/>
          <w:szCs w:val="24"/>
        </w:rPr>
        <w:fldChar w:fldCharType="begin"/>
      </w:r>
      <w:r>
        <w:rPr>
          <w:sz w:val="24"/>
          <w:szCs w:val="24"/>
        </w:rPr>
        <w:instrText xml:space="preserve"> ADDIN EN.REFLIST </w:instrText>
      </w:r>
      <w:r>
        <w:rPr>
          <w:sz w:val="24"/>
          <w:szCs w:val="24"/>
        </w:rPr>
        <w:fldChar w:fldCharType="separate"/>
      </w:r>
      <w:r w:rsidRPr="00B93554">
        <w:t>1.</w:t>
      </w:r>
      <w:r w:rsidRPr="00B93554">
        <w:tab/>
        <w:t xml:space="preserve">Poulton RG &amp; Moffitt TE (1995) The Rey-Osterreith Complex Figure Test: norms for young adolescents and an examination of validity. </w:t>
      </w:r>
      <w:r w:rsidRPr="00B93554">
        <w:rPr>
          <w:i/>
        </w:rPr>
        <w:t>Arch Clin Neuropsychol</w:t>
      </w:r>
      <w:r w:rsidRPr="00B93554">
        <w:t xml:space="preserve"> 10(1):47-56.</w:t>
      </w:r>
    </w:p>
    <w:p w:rsidR="00CC71B6" w:rsidRPr="00FE5655" w:rsidRDefault="00B93554" w:rsidP="009A0845">
      <w:pPr>
        <w:spacing w:after="0" w:line="360" w:lineRule="auto"/>
        <w:rPr>
          <w:sz w:val="24"/>
          <w:szCs w:val="24"/>
          <w:lang w:val="en-US"/>
        </w:rPr>
      </w:pPr>
      <w:r>
        <w:rPr>
          <w:sz w:val="24"/>
          <w:szCs w:val="24"/>
          <w:lang w:val="en-US"/>
        </w:rPr>
        <w:fldChar w:fldCharType="end"/>
      </w:r>
    </w:p>
    <w:sectPr w:rsidR="00CC71B6" w:rsidRPr="00FE565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5D" w:rsidRDefault="00293F5D" w:rsidP="00CC71B6">
      <w:pPr>
        <w:spacing w:after="0" w:line="240" w:lineRule="auto"/>
      </w:pPr>
      <w:r>
        <w:separator/>
      </w:r>
    </w:p>
  </w:endnote>
  <w:endnote w:type="continuationSeparator" w:id="0">
    <w:p w:rsidR="00293F5D" w:rsidRDefault="00293F5D" w:rsidP="00CC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5D" w:rsidRDefault="00293F5D" w:rsidP="00CC71B6">
      <w:pPr>
        <w:spacing w:after="0" w:line="240" w:lineRule="auto"/>
      </w:pPr>
      <w:r>
        <w:separator/>
      </w:r>
    </w:p>
  </w:footnote>
  <w:footnote w:type="continuationSeparator" w:id="0">
    <w:p w:rsidR="00293F5D" w:rsidRDefault="00293F5D" w:rsidP="00CC7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021953"/>
      <w:docPartObj>
        <w:docPartGallery w:val="Page Numbers (Top of Page)"/>
        <w:docPartUnique/>
      </w:docPartObj>
    </w:sdtPr>
    <w:sdtEndPr/>
    <w:sdtContent>
      <w:p w:rsidR="00CC71B6" w:rsidRDefault="00CC71B6">
        <w:pPr>
          <w:pStyle w:val="Header"/>
          <w:jc w:val="right"/>
        </w:pPr>
        <w:r>
          <w:fldChar w:fldCharType="begin"/>
        </w:r>
        <w:r>
          <w:instrText>PAGE   \* MERGEFORMAT</w:instrText>
        </w:r>
        <w:r>
          <w:fldChar w:fldCharType="separate"/>
        </w:r>
        <w:r w:rsidR="00D52FA8">
          <w:rPr>
            <w:noProof/>
          </w:rPr>
          <w:t>9</w:t>
        </w:r>
        <w:r>
          <w:fldChar w:fldCharType="end"/>
        </w:r>
      </w:p>
    </w:sdtContent>
  </w:sdt>
  <w:p w:rsidR="00CC71B6" w:rsidRDefault="00CC71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N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5vexxdj0rwsaevpf6xds2msedrt05f9avr&quot;&gt;PET_sleep&lt;record-ids&gt;&lt;item&gt;36&lt;/item&gt;&lt;/record-ids&gt;&lt;/item&gt;&lt;/Libraries&gt;"/>
  </w:docVars>
  <w:rsids>
    <w:rsidRoot w:val="00A66959"/>
    <w:rsid w:val="00083F0D"/>
    <w:rsid w:val="000C6E22"/>
    <w:rsid w:val="00173064"/>
    <w:rsid w:val="00252EC6"/>
    <w:rsid w:val="00293F5D"/>
    <w:rsid w:val="00296DA6"/>
    <w:rsid w:val="002E1AD1"/>
    <w:rsid w:val="002F14D9"/>
    <w:rsid w:val="002F5AA7"/>
    <w:rsid w:val="003E73CA"/>
    <w:rsid w:val="0043709E"/>
    <w:rsid w:val="004C285B"/>
    <w:rsid w:val="005131E6"/>
    <w:rsid w:val="00530073"/>
    <w:rsid w:val="00567C84"/>
    <w:rsid w:val="0066486B"/>
    <w:rsid w:val="008401F7"/>
    <w:rsid w:val="0087712E"/>
    <w:rsid w:val="008A3B8B"/>
    <w:rsid w:val="009774FB"/>
    <w:rsid w:val="009A0845"/>
    <w:rsid w:val="009F78CA"/>
    <w:rsid w:val="00A66959"/>
    <w:rsid w:val="00AD1CE8"/>
    <w:rsid w:val="00AE57CC"/>
    <w:rsid w:val="00B274EA"/>
    <w:rsid w:val="00B93554"/>
    <w:rsid w:val="00B9476E"/>
    <w:rsid w:val="00BB4752"/>
    <w:rsid w:val="00BC39ED"/>
    <w:rsid w:val="00BC497E"/>
    <w:rsid w:val="00C3662E"/>
    <w:rsid w:val="00CA52F0"/>
    <w:rsid w:val="00CC71B6"/>
    <w:rsid w:val="00CD7893"/>
    <w:rsid w:val="00D108A7"/>
    <w:rsid w:val="00D250F9"/>
    <w:rsid w:val="00D52FA8"/>
    <w:rsid w:val="00E00A93"/>
    <w:rsid w:val="00E11AD8"/>
    <w:rsid w:val="00E838AF"/>
    <w:rsid w:val="00FE5655"/>
    <w:rsid w:val="00FF09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DD1B"/>
  <w15:chartTrackingRefBased/>
  <w15:docId w15:val="{AECFC094-A52F-442A-AF7C-24A1CE0C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959"/>
    <w:pPr>
      <w:ind w:left="720"/>
      <w:contextualSpacing/>
    </w:pPr>
  </w:style>
  <w:style w:type="paragraph" w:styleId="BalloonText">
    <w:name w:val="Balloon Text"/>
    <w:basedOn w:val="Normal"/>
    <w:link w:val="BalloonTextChar"/>
    <w:uiPriority w:val="99"/>
    <w:semiHidden/>
    <w:unhideWhenUsed/>
    <w:rsid w:val="000C6E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6E22"/>
    <w:rPr>
      <w:rFonts w:ascii="Times New Roman" w:hAnsi="Times New Roman" w:cs="Times New Roman"/>
      <w:sz w:val="18"/>
      <w:szCs w:val="18"/>
    </w:rPr>
  </w:style>
  <w:style w:type="paragraph" w:styleId="Header">
    <w:name w:val="header"/>
    <w:basedOn w:val="Normal"/>
    <w:link w:val="HeaderChar"/>
    <w:uiPriority w:val="99"/>
    <w:unhideWhenUsed/>
    <w:rsid w:val="00CC7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1B6"/>
  </w:style>
  <w:style w:type="paragraph" w:styleId="Footer">
    <w:name w:val="footer"/>
    <w:basedOn w:val="Normal"/>
    <w:link w:val="FooterChar"/>
    <w:uiPriority w:val="99"/>
    <w:unhideWhenUsed/>
    <w:rsid w:val="00CC7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1B6"/>
  </w:style>
  <w:style w:type="paragraph" w:customStyle="1" w:styleId="EndNoteBibliographyTitle">
    <w:name w:val="EndNote Bibliography Title"/>
    <w:basedOn w:val="Normal"/>
    <w:link w:val="EndNoteBibliographyTitleChar"/>
    <w:rsid w:val="00B9355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93554"/>
    <w:rPr>
      <w:rFonts w:ascii="Calibri" w:hAnsi="Calibri" w:cs="Calibri"/>
      <w:noProof/>
      <w:lang w:val="en-US"/>
    </w:rPr>
  </w:style>
  <w:style w:type="paragraph" w:customStyle="1" w:styleId="EndNoteBibliography">
    <w:name w:val="EndNote Bibliography"/>
    <w:basedOn w:val="Normal"/>
    <w:link w:val="EndNoteBibliographyChar"/>
    <w:rsid w:val="00B9355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93554"/>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67F9B9A9.dotm</Template>
  <TotalTime>8</TotalTime>
  <Pages>9</Pages>
  <Words>1465</Words>
  <Characters>8148</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Martin Fjell</dc:creator>
  <cp:keywords/>
  <dc:description/>
  <cp:lastModifiedBy>Anders Martin Fjell</cp:lastModifiedBy>
  <cp:revision>5</cp:revision>
  <dcterms:created xsi:type="dcterms:W3CDTF">2018-05-23T15:30:00Z</dcterms:created>
  <dcterms:modified xsi:type="dcterms:W3CDTF">2018-05-25T13:26:00Z</dcterms:modified>
</cp:coreProperties>
</file>