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null)"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A75ADC9" w14:textId="00290504" w:rsidR="007D7BE3" w:rsidRPr="00AC13E7" w:rsidRDefault="00B10467" w:rsidP="00AC0885">
      <w:pPr>
        <w:widowControl w:val="0"/>
        <w:spacing w:before="120" w:after="60" w:line="360" w:lineRule="auto"/>
        <w:jc w:val="center"/>
        <w:rPr>
          <w:b/>
          <w:sz w:val="40"/>
          <w:szCs w:val="40"/>
        </w:rPr>
      </w:pPr>
      <w:bookmarkStart w:id="0" w:name="_GoBack"/>
      <w:bookmarkEnd w:id="0"/>
      <w:r w:rsidRPr="00AC13E7">
        <w:rPr>
          <w:rFonts w:eastAsia="Arial"/>
          <w:b/>
          <w:iCs/>
          <w:sz w:val="40"/>
          <w:szCs w:val="40"/>
        </w:rPr>
        <w:softHyphen/>
      </w:r>
      <w:r w:rsidRPr="00AC13E7">
        <w:rPr>
          <w:rFonts w:eastAsia="Arial"/>
          <w:b/>
          <w:iCs/>
          <w:sz w:val="40"/>
          <w:szCs w:val="40"/>
        </w:rPr>
        <w:softHyphen/>
      </w:r>
      <w:r w:rsidRPr="00AC13E7">
        <w:rPr>
          <w:rFonts w:eastAsia="Arial"/>
          <w:b/>
          <w:iCs/>
          <w:sz w:val="40"/>
          <w:szCs w:val="40"/>
        </w:rPr>
        <w:softHyphen/>
      </w:r>
      <w:r w:rsidR="007D7BE3" w:rsidRPr="00AC13E7">
        <w:rPr>
          <w:rFonts w:eastAsia="Arial"/>
          <w:b/>
          <w:iCs/>
          <w:sz w:val="40"/>
          <w:szCs w:val="40"/>
        </w:rPr>
        <w:t xml:space="preserve">Supplementary methods: </w:t>
      </w:r>
      <w:r w:rsidR="00AC0885" w:rsidRPr="00AC13E7">
        <w:rPr>
          <w:b/>
          <w:sz w:val="40"/>
          <w:szCs w:val="40"/>
        </w:rPr>
        <w:t>Portraits of genetic intra-tumour heterogeneity and subclonal selection across cancer types</w:t>
      </w:r>
    </w:p>
    <w:p w14:paraId="19D962AB" w14:textId="77777777" w:rsidR="00A11192" w:rsidRDefault="00A11192" w:rsidP="002E3119">
      <w:pPr>
        <w:widowControl w:val="0"/>
        <w:spacing w:before="120" w:after="60" w:line="360" w:lineRule="auto"/>
        <w:rPr>
          <w:b/>
          <w:bCs/>
          <w:sz w:val="40"/>
          <w:szCs w:val="40"/>
        </w:rPr>
      </w:pPr>
    </w:p>
    <w:p w14:paraId="54BCC86B" w14:textId="69618876" w:rsidR="00CC1462" w:rsidRPr="00AC13E7" w:rsidRDefault="00CC1462" w:rsidP="002E3119">
      <w:pPr>
        <w:widowControl w:val="0"/>
        <w:spacing w:before="120" w:after="60" w:line="360" w:lineRule="auto"/>
        <w:rPr>
          <w:b/>
          <w:bCs/>
          <w:sz w:val="48"/>
          <w:szCs w:val="48"/>
        </w:rPr>
      </w:pPr>
      <w:r w:rsidRPr="00AC13E7">
        <w:rPr>
          <w:b/>
          <w:bCs/>
          <w:sz w:val="48"/>
          <w:szCs w:val="48"/>
        </w:rPr>
        <w:t>Table of contents</w:t>
      </w:r>
    </w:p>
    <w:p w14:paraId="77958C27" w14:textId="77777777" w:rsidR="00673FBD" w:rsidRDefault="004E1D2E">
      <w:pPr>
        <w:pStyle w:val="TOC1"/>
        <w:tabs>
          <w:tab w:val="right" w:pos="8290"/>
        </w:tabs>
        <w:rPr>
          <w:rFonts w:eastAsiaTheme="minorEastAsia" w:cstheme="minorBidi"/>
          <w:b w:val="0"/>
          <w:bCs w:val="0"/>
          <w:noProof/>
          <w:sz w:val="24"/>
          <w:szCs w:val="24"/>
          <w:lang w:eastAsia="ja-JP"/>
        </w:rPr>
      </w:pPr>
      <w:r w:rsidRPr="00AC13E7">
        <w:rPr>
          <w:rFonts w:asciiTheme="majorBidi" w:hAnsiTheme="majorBidi" w:cstheme="majorBidi"/>
          <w:b w:val="0"/>
          <w:bCs w:val="0"/>
          <w:sz w:val="24"/>
          <w:szCs w:val="24"/>
        </w:rPr>
        <w:fldChar w:fldCharType="begin"/>
      </w:r>
      <w:r w:rsidRPr="00AC13E7">
        <w:rPr>
          <w:rFonts w:asciiTheme="majorBidi" w:hAnsiTheme="majorBidi" w:cstheme="majorBidi"/>
          <w:sz w:val="24"/>
          <w:szCs w:val="24"/>
        </w:rPr>
        <w:instrText xml:space="preserve"> TOC \o "1-3" \h \z \u </w:instrText>
      </w:r>
      <w:r w:rsidRPr="00AC13E7">
        <w:rPr>
          <w:rFonts w:asciiTheme="majorBidi" w:hAnsiTheme="majorBidi" w:cstheme="majorBidi"/>
          <w:b w:val="0"/>
          <w:bCs w:val="0"/>
          <w:sz w:val="24"/>
          <w:szCs w:val="24"/>
        </w:rPr>
        <w:fldChar w:fldCharType="separate"/>
      </w:r>
      <w:r w:rsidR="00673FBD" w:rsidRPr="00305CBD">
        <w:rPr>
          <w:rFonts w:ascii="Times New Roman" w:hAnsi="Times New Roman"/>
          <w:noProof/>
        </w:rPr>
        <w:t>Glossary</w:t>
      </w:r>
      <w:r w:rsidR="00673FBD">
        <w:rPr>
          <w:noProof/>
        </w:rPr>
        <w:tab/>
      </w:r>
      <w:r w:rsidR="00673FBD">
        <w:rPr>
          <w:noProof/>
        </w:rPr>
        <w:fldChar w:fldCharType="begin"/>
      </w:r>
      <w:r w:rsidR="00673FBD">
        <w:rPr>
          <w:noProof/>
        </w:rPr>
        <w:instrText xml:space="preserve"> PAGEREF _Toc391904989 \h </w:instrText>
      </w:r>
      <w:r w:rsidR="00673FBD">
        <w:rPr>
          <w:noProof/>
        </w:rPr>
      </w:r>
      <w:r w:rsidR="00673FBD">
        <w:rPr>
          <w:noProof/>
        </w:rPr>
        <w:fldChar w:fldCharType="separate"/>
      </w:r>
      <w:r w:rsidR="00673FBD">
        <w:rPr>
          <w:noProof/>
        </w:rPr>
        <w:t>3</w:t>
      </w:r>
      <w:r w:rsidR="00673FBD">
        <w:rPr>
          <w:noProof/>
        </w:rPr>
        <w:fldChar w:fldCharType="end"/>
      </w:r>
    </w:p>
    <w:p w14:paraId="3F2EA84F" w14:textId="77777777" w:rsidR="00673FBD" w:rsidRDefault="00673FBD">
      <w:pPr>
        <w:pStyle w:val="TOC1"/>
        <w:tabs>
          <w:tab w:val="right" w:pos="8290"/>
        </w:tabs>
        <w:rPr>
          <w:rFonts w:eastAsiaTheme="minorEastAsia" w:cstheme="minorBidi"/>
          <w:b w:val="0"/>
          <w:bCs w:val="0"/>
          <w:noProof/>
          <w:sz w:val="24"/>
          <w:szCs w:val="24"/>
          <w:lang w:eastAsia="ja-JP"/>
        </w:rPr>
      </w:pPr>
      <w:r w:rsidRPr="00305CBD">
        <w:rPr>
          <w:rFonts w:ascii="Times New Roman" w:hAnsi="Times New Roman"/>
          <w:noProof/>
        </w:rPr>
        <w:t>0. Brief overview of the data set</w:t>
      </w:r>
      <w:r>
        <w:rPr>
          <w:noProof/>
        </w:rPr>
        <w:tab/>
      </w:r>
      <w:r>
        <w:rPr>
          <w:noProof/>
        </w:rPr>
        <w:fldChar w:fldCharType="begin"/>
      </w:r>
      <w:r>
        <w:rPr>
          <w:noProof/>
        </w:rPr>
        <w:instrText xml:space="preserve"> PAGEREF _Toc391904990 \h </w:instrText>
      </w:r>
      <w:r>
        <w:rPr>
          <w:noProof/>
        </w:rPr>
      </w:r>
      <w:r>
        <w:rPr>
          <w:noProof/>
        </w:rPr>
        <w:fldChar w:fldCharType="separate"/>
      </w:r>
      <w:r>
        <w:rPr>
          <w:noProof/>
        </w:rPr>
        <w:t>4</w:t>
      </w:r>
      <w:r>
        <w:rPr>
          <w:noProof/>
        </w:rPr>
        <w:fldChar w:fldCharType="end"/>
      </w:r>
    </w:p>
    <w:p w14:paraId="7BFBA727"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0.1 Summary of the tumour samples’ main characteristics</w:t>
      </w:r>
      <w:r>
        <w:tab/>
      </w:r>
      <w:r>
        <w:fldChar w:fldCharType="begin"/>
      </w:r>
      <w:r>
        <w:instrText xml:space="preserve"> PAGEREF _Toc391904991 \h </w:instrText>
      </w:r>
      <w:r>
        <w:fldChar w:fldCharType="separate"/>
      </w:r>
      <w:r>
        <w:t>4</w:t>
      </w:r>
      <w:r>
        <w:fldChar w:fldCharType="end"/>
      </w:r>
    </w:p>
    <w:p w14:paraId="004875D0"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0.2 Somatic SNV and indel</w:t>
      </w:r>
      <w:r>
        <w:tab/>
      </w:r>
      <w:r>
        <w:fldChar w:fldCharType="begin"/>
      </w:r>
      <w:r>
        <w:instrText xml:space="preserve"> PAGEREF _Toc391904992 \h </w:instrText>
      </w:r>
      <w:r>
        <w:fldChar w:fldCharType="separate"/>
      </w:r>
      <w:r>
        <w:t>11</w:t>
      </w:r>
      <w:r>
        <w:fldChar w:fldCharType="end"/>
      </w:r>
    </w:p>
    <w:p w14:paraId="76DC5CBD"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0.3 Drivers</w:t>
      </w:r>
      <w:r>
        <w:tab/>
      </w:r>
      <w:r>
        <w:fldChar w:fldCharType="begin"/>
      </w:r>
      <w:r>
        <w:instrText xml:space="preserve"> PAGEREF _Toc391904993 \h </w:instrText>
      </w:r>
      <w:r>
        <w:fldChar w:fldCharType="separate"/>
      </w:r>
      <w:r>
        <w:t>12</w:t>
      </w:r>
      <w:r>
        <w:fldChar w:fldCharType="end"/>
      </w:r>
    </w:p>
    <w:p w14:paraId="7EDEB6FE"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0.4 Signatures</w:t>
      </w:r>
      <w:r>
        <w:tab/>
      </w:r>
      <w:r>
        <w:fldChar w:fldCharType="begin"/>
      </w:r>
      <w:r>
        <w:instrText xml:space="preserve"> PAGEREF _Toc391904994 \h </w:instrText>
      </w:r>
      <w:r>
        <w:fldChar w:fldCharType="separate"/>
      </w:r>
      <w:r>
        <w:t>12</w:t>
      </w:r>
      <w:r>
        <w:fldChar w:fldCharType="end"/>
      </w:r>
    </w:p>
    <w:p w14:paraId="411F31EC" w14:textId="77777777" w:rsidR="00673FBD" w:rsidRDefault="00673FBD">
      <w:pPr>
        <w:pStyle w:val="TOC1"/>
        <w:tabs>
          <w:tab w:val="right" w:pos="8290"/>
        </w:tabs>
        <w:rPr>
          <w:rFonts w:eastAsiaTheme="minorEastAsia" w:cstheme="minorBidi"/>
          <w:b w:val="0"/>
          <w:bCs w:val="0"/>
          <w:noProof/>
          <w:sz w:val="24"/>
          <w:szCs w:val="24"/>
          <w:lang w:eastAsia="ja-JP"/>
        </w:rPr>
      </w:pPr>
      <w:r w:rsidRPr="00305CBD">
        <w:rPr>
          <w:rFonts w:ascii="Times New Roman" w:hAnsi="Times New Roman"/>
          <w:noProof/>
        </w:rPr>
        <w:t>1. Copy number consensus</w:t>
      </w:r>
      <w:r>
        <w:rPr>
          <w:noProof/>
        </w:rPr>
        <w:tab/>
      </w:r>
      <w:r>
        <w:rPr>
          <w:noProof/>
        </w:rPr>
        <w:fldChar w:fldCharType="begin"/>
      </w:r>
      <w:r>
        <w:rPr>
          <w:noProof/>
        </w:rPr>
        <w:instrText xml:space="preserve"> PAGEREF _Toc391904995 \h </w:instrText>
      </w:r>
      <w:r>
        <w:rPr>
          <w:noProof/>
        </w:rPr>
      </w:r>
      <w:r>
        <w:rPr>
          <w:noProof/>
        </w:rPr>
        <w:fldChar w:fldCharType="separate"/>
      </w:r>
      <w:r>
        <w:rPr>
          <w:noProof/>
        </w:rPr>
        <w:t>13</w:t>
      </w:r>
      <w:r>
        <w:rPr>
          <w:noProof/>
        </w:rPr>
        <w:fldChar w:fldCharType="end"/>
      </w:r>
    </w:p>
    <w:p w14:paraId="64CB0A1E"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1.1 Overview</w:t>
      </w:r>
      <w:r>
        <w:tab/>
      </w:r>
      <w:r>
        <w:fldChar w:fldCharType="begin"/>
      </w:r>
      <w:r>
        <w:instrText xml:space="preserve"> PAGEREF _Toc391904996 \h </w:instrText>
      </w:r>
      <w:r>
        <w:fldChar w:fldCharType="separate"/>
      </w:r>
      <w:r>
        <w:t>13</w:t>
      </w:r>
      <w:r>
        <w:fldChar w:fldCharType="end"/>
      </w:r>
    </w:p>
    <w:p w14:paraId="5C500381"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1.2 Description of copy number methods</w:t>
      </w:r>
      <w:r>
        <w:tab/>
      </w:r>
      <w:r>
        <w:fldChar w:fldCharType="begin"/>
      </w:r>
      <w:r>
        <w:instrText xml:space="preserve"> PAGEREF _Toc391904997 \h </w:instrText>
      </w:r>
      <w:r>
        <w:fldChar w:fldCharType="separate"/>
      </w:r>
      <w:r>
        <w:t>13</w:t>
      </w:r>
      <w:r>
        <w:fldChar w:fldCharType="end"/>
      </w:r>
    </w:p>
    <w:p w14:paraId="04A34734"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1.2.1 ABSOLUTE</w:t>
      </w:r>
      <w:r>
        <w:rPr>
          <w:noProof/>
        </w:rPr>
        <w:tab/>
      </w:r>
      <w:r>
        <w:rPr>
          <w:noProof/>
        </w:rPr>
        <w:fldChar w:fldCharType="begin"/>
      </w:r>
      <w:r>
        <w:rPr>
          <w:noProof/>
        </w:rPr>
        <w:instrText xml:space="preserve"> PAGEREF _Toc391904998 \h </w:instrText>
      </w:r>
      <w:r>
        <w:rPr>
          <w:noProof/>
        </w:rPr>
      </w:r>
      <w:r>
        <w:rPr>
          <w:noProof/>
        </w:rPr>
        <w:fldChar w:fldCharType="separate"/>
      </w:r>
      <w:r>
        <w:rPr>
          <w:noProof/>
        </w:rPr>
        <w:t>13</w:t>
      </w:r>
      <w:r>
        <w:rPr>
          <w:noProof/>
        </w:rPr>
        <w:fldChar w:fldCharType="end"/>
      </w:r>
    </w:p>
    <w:p w14:paraId="06EF597B" w14:textId="77777777" w:rsidR="00673FBD" w:rsidRDefault="00673FBD">
      <w:pPr>
        <w:pStyle w:val="TOC3"/>
        <w:tabs>
          <w:tab w:val="right" w:pos="8290"/>
        </w:tabs>
        <w:rPr>
          <w:rFonts w:eastAsiaTheme="minorEastAsia" w:cstheme="minorBidi"/>
          <w:noProof/>
          <w:sz w:val="24"/>
          <w:szCs w:val="24"/>
          <w:lang w:eastAsia="ja-JP"/>
        </w:rPr>
      </w:pPr>
      <w:r w:rsidRPr="00207C3D">
        <w:rPr>
          <w:rFonts w:ascii="Times New Roman" w:hAnsi="Times New Roman"/>
          <w:bCs/>
          <w:noProof/>
        </w:rPr>
        <w:t>1.2.2 ACEseq</w:t>
      </w:r>
      <w:r>
        <w:rPr>
          <w:noProof/>
        </w:rPr>
        <w:tab/>
      </w:r>
      <w:r>
        <w:rPr>
          <w:noProof/>
        </w:rPr>
        <w:fldChar w:fldCharType="begin"/>
      </w:r>
      <w:r>
        <w:rPr>
          <w:noProof/>
        </w:rPr>
        <w:instrText xml:space="preserve"> PAGEREF _Toc391904999 \h </w:instrText>
      </w:r>
      <w:r>
        <w:rPr>
          <w:noProof/>
        </w:rPr>
      </w:r>
      <w:r>
        <w:rPr>
          <w:noProof/>
        </w:rPr>
        <w:fldChar w:fldCharType="separate"/>
      </w:r>
      <w:r>
        <w:rPr>
          <w:noProof/>
        </w:rPr>
        <w:t>14</w:t>
      </w:r>
      <w:r>
        <w:rPr>
          <w:noProof/>
        </w:rPr>
        <w:fldChar w:fldCharType="end"/>
      </w:r>
    </w:p>
    <w:p w14:paraId="27487104"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1.2.3 Battenberg</w:t>
      </w:r>
      <w:r>
        <w:rPr>
          <w:noProof/>
        </w:rPr>
        <w:tab/>
      </w:r>
      <w:r>
        <w:rPr>
          <w:noProof/>
        </w:rPr>
        <w:fldChar w:fldCharType="begin"/>
      </w:r>
      <w:r>
        <w:rPr>
          <w:noProof/>
        </w:rPr>
        <w:instrText xml:space="preserve"> PAGEREF _Toc391905000 \h </w:instrText>
      </w:r>
      <w:r>
        <w:rPr>
          <w:noProof/>
        </w:rPr>
      </w:r>
      <w:r>
        <w:rPr>
          <w:noProof/>
        </w:rPr>
        <w:fldChar w:fldCharType="separate"/>
      </w:r>
      <w:r>
        <w:rPr>
          <w:noProof/>
        </w:rPr>
        <w:t>14</w:t>
      </w:r>
      <w:r>
        <w:rPr>
          <w:noProof/>
        </w:rPr>
        <w:fldChar w:fldCharType="end"/>
      </w:r>
    </w:p>
    <w:p w14:paraId="21247C2C"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1.2.4 cloneHD</w:t>
      </w:r>
      <w:r>
        <w:rPr>
          <w:noProof/>
        </w:rPr>
        <w:tab/>
      </w:r>
      <w:r>
        <w:rPr>
          <w:noProof/>
        </w:rPr>
        <w:fldChar w:fldCharType="begin"/>
      </w:r>
      <w:r>
        <w:rPr>
          <w:noProof/>
        </w:rPr>
        <w:instrText xml:space="preserve"> PAGEREF _Toc391905001 \h </w:instrText>
      </w:r>
      <w:r>
        <w:rPr>
          <w:noProof/>
        </w:rPr>
      </w:r>
      <w:r>
        <w:rPr>
          <w:noProof/>
        </w:rPr>
        <w:fldChar w:fldCharType="separate"/>
      </w:r>
      <w:r>
        <w:rPr>
          <w:noProof/>
        </w:rPr>
        <w:t>15</w:t>
      </w:r>
      <w:r>
        <w:rPr>
          <w:noProof/>
        </w:rPr>
        <w:fldChar w:fldCharType="end"/>
      </w:r>
    </w:p>
    <w:p w14:paraId="0FBC7609"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1.2.5 JaBbA</w:t>
      </w:r>
      <w:r>
        <w:rPr>
          <w:noProof/>
        </w:rPr>
        <w:tab/>
      </w:r>
      <w:r>
        <w:rPr>
          <w:noProof/>
        </w:rPr>
        <w:fldChar w:fldCharType="begin"/>
      </w:r>
      <w:r>
        <w:rPr>
          <w:noProof/>
        </w:rPr>
        <w:instrText xml:space="preserve"> PAGEREF _Toc391905002 \h </w:instrText>
      </w:r>
      <w:r>
        <w:rPr>
          <w:noProof/>
        </w:rPr>
      </w:r>
      <w:r>
        <w:rPr>
          <w:noProof/>
        </w:rPr>
        <w:fldChar w:fldCharType="separate"/>
      </w:r>
      <w:r>
        <w:rPr>
          <w:noProof/>
        </w:rPr>
        <w:t>16</w:t>
      </w:r>
      <w:r>
        <w:rPr>
          <w:noProof/>
        </w:rPr>
        <w:fldChar w:fldCharType="end"/>
      </w:r>
    </w:p>
    <w:p w14:paraId="4C08E6C6"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1.2.6 Sclust</w:t>
      </w:r>
      <w:r>
        <w:rPr>
          <w:noProof/>
        </w:rPr>
        <w:tab/>
      </w:r>
      <w:r>
        <w:rPr>
          <w:noProof/>
        </w:rPr>
        <w:fldChar w:fldCharType="begin"/>
      </w:r>
      <w:r>
        <w:rPr>
          <w:noProof/>
        </w:rPr>
        <w:instrText xml:space="preserve"> PAGEREF _Toc391905003 \h </w:instrText>
      </w:r>
      <w:r>
        <w:rPr>
          <w:noProof/>
        </w:rPr>
      </w:r>
      <w:r>
        <w:rPr>
          <w:noProof/>
        </w:rPr>
        <w:fldChar w:fldCharType="separate"/>
      </w:r>
      <w:r>
        <w:rPr>
          <w:noProof/>
        </w:rPr>
        <w:t>18</w:t>
      </w:r>
      <w:r>
        <w:rPr>
          <w:noProof/>
        </w:rPr>
        <w:fldChar w:fldCharType="end"/>
      </w:r>
    </w:p>
    <w:p w14:paraId="0C8A19EB"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1.3 Copy number consensus approach</w:t>
      </w:r>
      <w:r>
        <w:tab/>
      </w:r>
      <w:r>
        <w:fldChar w:fldCharType="begin"/>
      </w:r>
      <w:r>
        <w:instrText xml:space="preserve"> PAGEREF _Toc391905004 \h </w:instrText>
      </w:r>
      <w:r>
        <w:fldChar w:fldCharType="separate"/>
      </w:r>
      <w:r>
        <w:t>19</w:t>
      </w:r>
      <w:r>
        <w:fldChar w:fldCharType="end"/>
      </w:r>
    </w:p>
    <w:p w14:paraId="2910F3A3"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1.3.1 Consensus copy number procedure</w:t>
      </w:r>
      <w:r>
        <w:rPr>
          <w:noProof/>
        </w:rPr>
        <w:tab/>
      </w:r>
      <w:r>
        <w:rPr>
          <w:noProof/>
        </w:rPr>
        <w:fldChar w:fldCharType="begin"/>
      </w:r>
      <w:r>
        <w:rPr>
          <w:noProof/>
        </w:rPr>
        <w:instrText xml:space="preserve"> PAGEREF _Toc391905005 \h </w:instrText>
      </w:r>
      <w:r>
        <w:rPr>
          <w:noProof/>
        </w:rPr>
      </w:r>
      <w:r>
        <w:rPr>
          <w:noProof/>
        </w:rPr>
        <w:fldChar w:fldCharType="separate"/>
      </w:r>
      <w:r>
        <w:rPr>
          <w:noProof/>
        </w:rPr>
        <w:t>19</w:t>
      </w:r>
      <w:r>
        <w:rPr>
          <w:noProof/>
        </w:rPr>
        <w:fldChar w:fldCharType="end"/>
      </w:r>
    </w:p>
    <w:p w14:paraId="0A5F6E96"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1.3.2 Copy-number-calling methods differ in genome segmentation</w:t>
      </w:r>
      <w:r>
        <w:rPr>
          <w:noProof/>
        </w:rPr>
        <w:tab/>
      </w:r>
      <w:r>
        <w:rPr>
          <w:noProof/>
        </w:rPr>
        <w:fldChar w:fldCharType="begin"/>
      </w:r>
      <w:r>
        <w:rPr>
          <w:noProof/>
        </w:rPr>
        <w:instrText xml:space="preserve"> PAGEREF _Toc391905006 \h </w:instrText>
      </w:r>
      <w:r>
        <w:rPr>
          <w:noProof/>
        </w:rPr>
      </w:r>
      <w:r>
        <w:rPr>
          <w:noProof/>
        </w:rPr>
        <w:fldChar w:fldCharType="separate"/>
      </w:r>
      <w:r>
        <w:rPr>
          <w:noProof/>
        </w:rPr>
        <w:t>19</w:t>
      </w:r>
      <w:r>
        <w:rPr>
          <w:noProof/>
        </w:rPr>
        <w:fldChar w:fldCharType="end"/>
      </w:r>
    </w:p>
    <w:p w14:paraId="0A223714"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1.3.3 Method for determining consensus segment breakpoints</w:t>
      </w:r>
      <w:r>
        <w:rPr>
          <w:noProof/>
        </w:rPr>
        <w:tab/>
      </w:r>
      <w:r>
        <w:rPr>
          <w:noProof/>
        </w:rPr>
        <w:fldChar w:fldCharType="begin"/>
      </w:r>
      <w:r>
        <w:rPr>
          <w:noProof/>
        </w:rPr>
        <w:instrText xml:space="preserve"> PAGEREF _Toc391905007 \h </w:instrText>
      </w:r>
      <w:r>
        <w:rPr>
          <w:noProof/>
        </w:rPr>
      </w:r>
      <w:r>
        <w:rPr>
          <w:noProof/>
        </w:rPr>
        <w:fldChar w:fldCharType="separate"/>
      </w:r>
      <w:r>
        <w:rPr>
          <w:noProof/>
        </w:rPr>
        <w:t>20</w:t>
      </w:r>
      <w:r>
        <w:rPr>
          <w:noProof/>
        </w:rPr>
        <w:fldChar w:fldCharType="end"/>
      </w:r>
    </w:p>
    <w:p w14:paraId="5DA7B1C9"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1.3.4 Resolving ploidy disagreement between copy number</w:t>
      </w:r>
      <w:r>
        <w:rPr>
          <w:noProof/>
        </w:rPr>
        <w:tab/>
      </w:r>
      <w:r>
        <w:rPr>
          <w:noProof/>
        </w:rPr>
        <w:fldChar w:fldCharType="begin"/>
      </w:r>
      <w:r>
        <w:rPr>
          <w:noProof/>
        </w:rPr>
        <w:instrText xml:space="preserve"> PAGEREF _Toc391905008 \h </w:instrText>
      </w:r>
      <w:r>
        <w:rPr>
          <w:noProof/>
        </w:rPr>
      </w:r>
      <w:r>
        <w:rPr>
          <w:noProof/>
        </w:rPr>
        <w:fldChar w:fldCharType="separate"/>
      </w:r>
      <w:r>
        <w:rPr>
          <w:noProof/>
        </w:rPr>
        <w:t>25</w:t>
      </w:r>
      <w:r>
        <w:rPr>
          <w:noProof/>
        </w:rPr>
        <w:fldChar w:fldCharType="end"/>
      </w:r>
    </w:p>
    <w:p w14:paraId="055C5CB7"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callers</w:t>
      </w:r>
      <w:r>
        <w:rPr>
          <w:noProof/>
        </w:rPr>
        <w:tab/>
      </w:r>
      <w:r>
        <w:rPr>
          <w:noProof/>
        </w:rPr>
        <w:fldChar w:fldCharType="begin"/>
      </w:r>
      <w:r>
        <w:rPr>
          <w:noProof/>
        </w:rPr>
        <w:instrText xml:space="preserve"> PAGEREF _Toc391905009 \h </w:instrText>
      </w:r>
      <w:r>
        <w:rPr>
          <w:noProof/>
        </w:rPr>
      </w:r>
      <w:r>
        <w:rPr>
          <w:noProof/>
        </w:rPr>
        <w:fldChar w:fldCharType="separate"/>
      </w:r>
      <w:r>
        <w:rPr>
          <w:noProof/>
        </w:rPr>
        <w:t>25</w:t>
      </w:r>
      <w:r>
        <w:rPr>
          <w:noProof/>
        </w:rPr>
        <w:fldChar w:fldCharType="end"/>
      </w:r>
    </w:p>
    <w:p w14:paraId="435D9326"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1.3.5 Consensus copy number</w:t>
      </w:r>
      <w:r>
        <w:rPr>
          <w:noProof/>
        </w:rPr>
        <w:tab/>
      </w:r>
      <w:r>
        <w:rPr>
          <w:noProof/>
        </w:rPr>
        <w:fldChar w:fldCharType="begin"/>
      </w:r>
      <w:r>
        <w:rPr>
          <w:noProof/>
        </w:rPr>
        <w:instrText xml:space="preserve"> PAGEREF _Toc391905010 \h </w:instrText>
      </w:r>
      <w:r>
        <w:rPr>
          <w:noProof/>
        </w:rPr>
      </w:r>
      <w:r>
        <w:rPr>
          <w:noProof/>
        </w:rPr>
        <w:fldChar w:fldCharType="separate"/>
      </w:r>
      <w:r>
        <w:rPr>
          <w:noProof/>
        </w:rPr>
        <w:t>28</w:t>
      </w:r>
      <w:r>
        <w:rPr>
          <w:noProof/>
        </w:rPr>
        <w:fldChar w:fldCharType="end"/>
      </w:r>
    </w:p>
    <w:p w14:paraId="77E2FB42"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1.3.6 Subclonal copy number consensus</w:t>
      </w:r>
      <w:r>
        <w:rPr>
          <w:noProof/>
        </w:rPr>
        <w:tab/>
      </w:r>
      <w:r>
        <w:rPr>
          <w:noProof/>
        </w:rPr>
        <w:fldChar w:fldCharType="begin"/>
      </w:r>
      <w:r>
        <w:rPr>
          <w:noProof/>
        </w:rPr>
        <w:instrText xml:space="preserve"> PAGEREF _Toc391905011 \h </w:instrText>
      </w:r>
      <w:r>
        <w:rPr>
          <w:noProof/>
        </w:rPr>
      </w:r>
      <w:r>
        <w:rPr>
          <w:noProof/>
        </w:rPr>
        <w:fldChar w:fldCharType="separate"/>
      </w:r>
      <w:r>
        <w:rPr>
          <w:noProof/>
        </w:rPr>
        <w:t>31</w:t>
      </w:r>
      <w:r>
        <w:rPr>
          <w:noProof/>
        </w:rPr>
        <w:fldChar w:fldCharType="end"/>
      </w:r>
    </w:p>
    <w:p w14:paraId="59CE06BD"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1.4 Validation</w:t>
      </w:r>
      <w:r>
        <w:tab/>
      </w:r>
      <w:r>
        <w:fldChar w:fldCharType="begin"/>
      </w:r>
      <w:r>
        <w:instrText xml:space="preserve"> PAGEREF _Toc391905012 \h </w:instrText>
      </w:r>
      <w:r>
        <w:fldChar w:fldCharType="separate"/>
      </w:r>
      <w:r>
        <w:t>31</w:t>
      </w:r>
      <w:r>
        <w:fldChar w:fldCharType="end"/>
      </w:r>
    </w:p>
    <w:p w14:paraId="4FE572ED"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1.4.1 Comparison of purity against TCGA</w:t>
      </w:r>
      <w:r>
        <w:rPr>
          <w:noProof/>
        </w:rPr>
        <w:tab/>
      </w:r>
      <w:r>
        <w:rPr>
          <w:noProof/>
        </w:rPr>
        <w:fldChar w:fldCharType="begin"/>
      </w:r>
      <w:r>
        <w:rPr>
          <w:noProof/>
        </w:rPr>
        <w:instrText xml:space="preserve"> PAGEREF _Toc391905013 \h </w:instrText>
      </w:r>
      <w:r>
        <w:rPr>
          <w:noProof/>
        </w:rPr>
      </w:r>
      <w:r>
        <w:rPr>
          <w:noProof/>
        </w:rPr>
        <w:fldChar w:fldCharType="separate"/>
      </w:r>
      <w:r>
        <w:rPr>
          <w:noProof/>
        </w:rPr>
        <w:t>31</w:t>
      </w:r>
      <w:r>
        <w:rPr>
          <w:noProof/>
        </w:rPr>
        <w:fldChar w:fldCharType="end"/>
      </w:r>
    </w:p>
    <w:p w14:paraId="3076C803" w14:textId="77777777" w:rsidR="00673FBD" w:rsidRDefault="00673FBD">
      <w:pPr>
        <w:pStyle w:val="TOC1"/>
        <w:tabs>
          <w:tab w:val="right" w:pos="8290"/>
        </w:tabs>
        <w:rPr>
          <w:rFonts w:eastAsiaTheme="minorEastAsia" w:cstheme="minorBidi"/>
          <w:b w:val="0"/>
          <w:bCs w:val="0"/>
          <w:noProof/>
          <w:sz w:val="24"/>
          <w:szCs w:val="24"/>
          <w:lang w:eastAsia="ja-JP"/>
        </w:rPr>
      </w:pPr>
      <w:r w:rsidRPr="00305CBD">
        <w:rPr>
          <w:rFonts w:ascii="Times New Roman" w:hAnsi="Times New Roman"/>
          <w:noProof/>
        </w:rPr>
        <w:t>2. Subclonal architecture methods</w:t>
      </w:r>
      <w:r>
        <w:rPr>
          <w:noProof/>
        </w:rPr>
        <w:tab/>
      </w:r>
      <w:r>
        <w:rPr>
          <w:noProof/>
        </w:rPr>
        <w:fldChar w:fldCharType="begin"/>
      </w:r>
      <w:r>
        <w:rPr>
          <w:noProof/>
        </w:rPr>
        <w:instrText xml:space="preserve"> PAGEREF _Toc391905014 \h </w:instrText>
      </w:r>
      <w:r>
        <w:rPr>
          <w:noProof/>
        </w:rPr>
      </w:r>
      <w:r>
        <w:rPr>
          <w:noProof/>
        </w:rPr>
        <w:fldChar w:fldCharType="separate"/>
      </w:r>
      <w:r>
        <w:rPr>
          <w:noProof/>
        </w:rPr>
        <w:t>32</w:t>
      </w:r>
      <w:r>
        <w:rPr>
          <w:noProof/>
        </w:rPr>
        <w:fldChar w:fldCharType="end"/>
      </w:r>
    </w:p>
    <w:p w14:paraId="57E3F3BB"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2.1 Description of reconstruction methods</w:t>
      </w:r>
      <w:r>
        <w:tab/>
      </w:r>
      <w:r>
        <w:fldChar w:fldCharType="begin"/>
      </w:r>
      <w:r>
        <w:instrText xml:space="preserve"> PAGEREF _Toc391905015 \h </w:instrText>
      </w:r>
      <w:r>
        <w:fldChar w:fldCharType="separate"/>
      </w:r>
      <w:r>
        <w:t>32</w:t>
      </w:r>
      <w:r>
        <w:fldChar w:fldCharType="end"/>
      </w:r>
    </w:p>
    <w:p w14:paraId="5F0A2233"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2.1.1 BayClone-C</w:t>
      </w:r>
      <w:r>
        <w:rPr>
          <w:noProof/>
        </w:rPr>
        <w:tab/>
      </w:r>
      <w:r>
        <w:rPr>
          <w:noProof/>
        </w:rPr>
        <w:fldChar w:fldCharType="begin"/>
      </w:r>
      <w:r>
        <w:rPr>
          <w:noProof/>
        </w:rPr>
        <w:instrText xml:space="preserve"> PAGEREF _Toc391905016 \h </w:instrText>
      </w:r>
      <w:r>
        <w:rPr>
          <w:noProof/>
        </w:rPr>
      </w:r>
      <w:r>
        <w:rPr>
          <w:noProof/>
        </w:rPr>
        <w:fldChar w:fldCharType="separate"/>
      </w:r>
      <w:r>
        <w:rPr>
          <w:noProof/>
        </w:rPr>
        <w:t>32</w:t>
      </w:r>
      <w:r>
        <w:rPr>
          <w:noProof/>
        </w:rPr>
        <w:fldChar w:fldCharType="end"/>
      </w:r>
    </w:p>
    <w:p w14:paraId="22CEF37E"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2.1.2 Ccube</w:t>
      </w:r>
      <w:r>
        <w:rPr>
          <w:noProof/>
        </w:rPr>
        <w:tab/>
      </w:r>
      <w:r>
        <w:rPr>
          <w:noProof/>
        </w:rPr>
        <w:fldChar w:fldCharType="begin"/>
      </w:r>
      <w:r>
        <w:rPr>
          <w:noProof/>
        </w:rPr>
        <w:instrText xml:space="preserve"> PAGEREF _Toc391905017 \h </w:instrText>
      </w:r>
      <w:r>
        <w:rPr>
          <w:noProof/>
        </w:rPr>
      </w:r>
      <w:r>
        <w:rPr>
          <w:noProof/>
        </w:rPr>
        <w:fldChar w:fldCharType="separate"/>
      </w:r>
      <w:r>
        <w:rPr>
          <w:noProof/>
        </w:rPr>
        <w:t>33</w:t>
      </w:r>
      <w:r>
        <w:rPr>
          <w:noProof/>
        </w:rPr>
        <w:fldChar w:fldCharType="end"/>
      </w:r>
    </w:p>
    <w:p w14:paraId="785FF100"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2.1.3 CliP (Clonal structure identification through Penalizing on pairwise difference)</w:t>
      </w:r>
      <w:r>
        <w:rPr>
          <w:noProof/>
        </w:rPr>
        <w:tab/>
      </w:r>
      <w:r>
        <w:rPr>
          <w:noProof/>
        </w:rPr>
        <w:fldChar w:fldCharType="begin"/>
      </w:r>
      <w:r>
        <w:rPr>
          <w:noProof/>
        </w:rPr>
        <w:instrText xml:space="preserve"> PAGEREF _Toc391905018 \h </w:instrText>
      </w:r>
      <w:r>
        <w:rPr>
          <w:noProof/>
        </w:rPr>
      </w:r>
      <w:r>
        <w:rPr>
          <w:noProof/>
        </w:rPr>
        <w:fldChar w:fldCharType="separate"/>
      </w:r>
      <w:r>
        <w:rPr>
          <w:noProof/>
        </w:rPr>
        <w:t>35</w:t>
      </w:r>
      <w:r>
        <w:rPr>
          <w:noProof/>
        </w:rPr>
        <w:fldChar w:fldCharType="end"/>
      </w:r>
    </w:p>
    <w:p w14:paraId="13AD911A"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2.1.4 cloneHD</w:t>
      </w:r>
      <w:r>
        <w:rPr>
          <w:noProof/>
        </w:rPr>
        <w:tab/>
      </w:r>
      <w:r>
        <w:rPr>
          <w:noProof/>
        </w:rPr>
        <w:fldChar w:fldCharType="begin"/>
      </w:r>
      <w:r>
        <w:rPr>
          <w:noProof/>
        </w:rPr>
        <w:instrText xml:space="preserve"> PAGEREF _Toc391905019 \h </w:instrText>
      </w:r>
      <w:r>
        <w:rPr>
          <w:noProof/>
        </w:rPr>
      </w:r>
      <w:r>
        <w:rPr>
          <w:noProof/>
        </w:rPr>
        <w:fldChar w:fldCharType="separate"/>
      </w:r>
      <w:r>
        <w:rPr>
          <w:noProof/>
        </w:rPr>
        <w:t>36</w:t>
      </w:r>
      <w:r>
        <w:rPr>
          <w:noProof/>
        </w:rPr>
        <w:fldChar w:fldCharType="end"/>
      </w:r>
    </w:p>
    <w:p w14:paraId="04A44EEB"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2.1.5 CTPsingle</w:t>
      </w:r>
      <w:r>
        <w:rPr>
          <w:noProof/>
        </w:rPr>
        <w:tab/>
      </w:r>
      <w:r>
        <w:rPr>
          <w:noProof/>
        </w:rPr>
        <w:fldChar w:fldCharType="begin"/>
      </w:r>
      <w:r>
        <w:rPr>
          <w:noProof/>
        </w:rPr>
        <w:instrText xml:space="preserve"> PAGEREF _Toc391905020 \h </w:instrText>
      </w:r>
      <w:r>
        <w:rPr>
          <w:noProof/>
        </w:rPr>
      </w:r>
      <w:r>
        <w:rPr>
          <w:noProof/>
        </w:rPr>
        <w:fldChar w:fldCharType="separate"/>
      </w:r>
      <w:r>
        <w:rPr>
          <w:noProof/>
        </w:rPr>
        <w:t>38</w:t>
      </w:r>
      <w:r>
        <w:rPr>
          <w:noProof/>
        </w:rPr>
        <w:fldChar w:fldCharType="end"/>
      </w:r>
    </w:p>
    <w:p w14:paraId="2E7430E3"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2.1.6 DPClust</w:t>
      </w:r>
      <w:r>
        <w:rPr>
          <w:noProof/>
        </w:rPr>
        <w:tab/>
      </w:r>
      <w:r>
        <w:rPr>
          <w:noProof/>
        </w:rPr>
        <w:fldChar w:fldCharType="begin"/>
      </w:r>
      <w:r>
        <w:rPr>
          <w:noProof/>
        </w:rPr>
        <w:instrText xml:space="preserve"> PAGEREF _Toc391905021 \h </w:instrText>
      </w:r>
      <w:r>
        <w:rPr>
          <w:noProof/>
        </w:rPr>
      </w:r>
      <w:r>
        <w:rPr>
          <w:noProof/>
        </w:rPr>
        <w:fldChar w:fldCharType="separate"/>
      </w:r>
      <w:r>
        <w:rPr>
          <w:noProof/>
        </w:rPr>
        <w:t>40</w:t>
      </w:r>
      <w:r>
        <w:rPr>
          <w:noProof/>
        </w:rPr>
        <w:fldChar w:fldCharType="end"/>
      </w:r>
    </w:p>
    <w:p w14:paraId="3A84520D"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2.1.7 PhylogicNDT</w:t>
      </w:r>
      <w:r>
        <w:rPr>
          <w:noProof/>
        </w:rPr>
        <w:tab/>
      </w:r>
      <w:r>
        <w:rPr>
          <w:noProof/>
        </w:rPr>
        <w:fldChar w:fldCharType="begin"/>
      </w:r>
      <w:r>
        <w:rPr>
          <w:noProof/>
        </w:rPr>
        <w:instrText xml:space="preserve"> PAGEREF _Toc391905022 \h </w:instrText>
      </w:r>
      <w:r>
        <w:rPr>
          <w:noProof/>
        </w:rPr>
      </w:r>
      <w:r>
        <w:rPr>
          <w:noProof/>
        </w:rPr>
        <w:fldChar w:fldCharType="separate"/>
      </w:r>
      <w:r>
        <w:rPr>
          <w:noProof/>
        </w:rPr>
        <w:t>42</w:t>
      </w:r>
      <w:r>
        <w:rPr>
          <w:noProof/>
        </w:rPr>
        <w:fldChar w:fldCharType="end"/>
      </w:r>
    </w:p>
    <w:p w14:paraId="014C918C"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2.1.8 PhyloWGS</w:t>
      </w:r>
      <w:r>
        <w:rPr>
          <w:noProof/>
        </w:rPr>
        <w:tab/>
      </w:r>
      <w:r>
        <w:rPr>
          <w:noProof/>
        </w:rPr>
        <w:fldChar w:fldCharType="begin"/>
      </w:r>
      <w:r>
        <w:rPr>
          <w:noProof/>
        </w:rPr>
        <w:instrText xml:space="preserve"> PAGEREF _Toc391905023 \h </w:instrText>
      </w:r>
      <w:r>
        <w:rPr>
          <w:noProof/>
        </w:rPr>
      </w:r>
      <w:r>
        <w:rPr>
          <w:noProof/>
        </w:rPr>
        <w:fldChar w:fldCharType="separate"/>
      </w:r>
      <w:r>
        <w:rPr>
          <w:noProof/>
        </w:rPr>
        <w:t>44</w:t>
      </w:r>
      <w:r>
        <w:rPr>
          <w:noProof/>
        </w:rPr>
        <w:fldChar w:fldCharType="end"/>
      </w:r>
    </w:p>
    <w:p w14:paraId="71784CA5"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lastRenderedPageBreak/>
        <w:t>2.1.9 PyClone</w:t>
      </w:r>
      <w:r>
        <w:rPr>
          <w:noProof/>
        </w:rPr>
        <w:tab/>
      </w:r>
      <w:r>
        <w:rPr>
          <w:noProof/>
        </w:rPr>
        <w:fldChar w:fldCharType="begin"/>
      </w:r>
      <w:r>
        <w:rPr>
          <w:noProof/>
        </w:rPr>
        <w:instrText xml:space="preserve"> PAGEREF _Toc391905024 \h </w:instrText>
      </w:r>
      <w:r>
        <w:rPr>
          <w:noProof/>
        </w:rPr>
      </w:r>
      <w:r>
        <w:rPr>
          <w:noProof/>
        </w:rPr>
        <w:fldChar w:fldCharType="separate"/>
      </w:r>
      <w:r>
        <w:rPr>
          <w:noProof/>
        </w:rPr>
        <w:t>46</w:t>
      </w:r>
      <w:r>
        <w:rPr>
          <w:noProof/>
        </w:rPr>
        <w:fldChar w:fldCharType="end"/>
      </w:r>
    </w:p>
    <w:p w14:paraId="2F215D44"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2.1.10 Sclust</w:t>
      </w:r>
      <w:r>
        <w:rPr>
          <w:noProof/>
        </w:rPr>
        <w:tab/>
      </w:r>
      <w:r>
        <w:rPr>
          <w:noProof/>
        </w:rPr>
        <w:fldChar w:fldCharType="begin"/>
      </w:r>
      <w:r>
        <w:rPr>
          <w:noProof/>
        </w:rPr>
        <w:instrText xml:space="preserve"> PAGEREF _Toc391905025 \h </w:instrText>
      </w:r>
      <w:r>
        <w:rPr>
          <w:noProof/>
        </w:rPr>
      </w:r>
      <w:r>
        <w:rPr>
          <w:noProof/>
        </w:rPr>
        <w:fldChar w:fldCharType="separate"/>
      </w:r>
      <w:r>
        <w:rPr>
          <w:noProof/>
        </w:rPr>
        <w:t>47</w:t>
      </w:r>
      <w:r>
        <w:rPr>
          <w:noProof/>
        </w:rPr>
        <w:fldChar w:fldCharType="end"/>
      </w:r>
    </w:p>
    <w:p w14:paraId="2E03BA5E"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2.1.11 SVclone</w:t>
      </w:r>
      <w:r>
        <w:rPr>
          <w:noProof/>
        </w:rPr>
        <w:tab/>
      </w:r>
      <w:r>
        <w:rPr>
          <w:noProof/>
        </w:rPr>
        <w:fldChar w:fldCharType="begin"/>
      </w:r>
      <w:r>
        <w:rPr>
          <w:noProof/>
        </w:rPr>
        <w:instrText xml:space="preserve"> PAGEREF _Toc391905026 \h </w:instrText>
      </w:r>
      <w:r>
        <w:rPr>
          <w:noProof/>
        </w:rPr>
      </w:r>
      <w:r>
        <w:rPr>
          <w:noProof/>
        </w:rPr>
        <w:fldChar w:fldCharType="separate"/>
      </w:r>
      <w:r>
        <w:rPr>
          <w:noProof/>
        </w:rPr>
        <w:t>47</w:t>
      </w:r>
      <w:r>
        <w:rPr>
          <w:noProof/>
        </w:rPr>
        <w:fldChar w:fldCharType="end"/>
      </w:r>
    </w:p>
    <w:p w14:paraId="6011789F"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2.2 Subclonal architecture consensus approaches</w:t>
      </w:r>
      <w:r>
        <w:tab/>
      </w:r>
      <w:r>
        <w:fldChar w:fldCharType="begin"/>
      </w:r>
      <w:r>
        <w:instrText xml:space="preserve"> PAGEREF _Toc391905027 \h </w:instrText>
      </w:r>
      <w:r>
        <w:fldChar w:fldCharType="separate"/>
      </w:r>
      <w:r>
        <w:t>49</w:t>
      </w:r>
      <w:r>
        <w:fldChar w:fldCharType="end"/>
      </w:r>
    </w:p>
    <w:p w14:paraId="194D48C0"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2.2.1 Consensus approaches</w:t>
      </w:r>
      <w:r>
        <w:rPr>
          <w:noProof/>
        </w:rPr>
        <w:tab/>
      </w:r>
      <w:r>
        <w:rPr>
          <w:noProof/>
        </w:rPr>
        <w:fldChar w:fldCharType="begin"/>
      </w:r>
      <w:r>
        <w:rPr>
          <w:noProof/>
        </w:rPr>
        <w:instrText xml:space="preserve"> PAGEREF _Toc391905028 \h </w:instrText>
      </w:r>
      <w:r>
        <w:rPr>
          <w:noProof/>
        </w:rPr>
      </w:r>
      <w:r>
        <w:rPr>
          <w:noProof/>
        </w:rPr>
        <w:fldChar w:fldCharType="separate"/>
      </w:r>
      <w:r>
        <w:rPr>
          <w:noProof/>
        </w:rPr>
        <w:t>51</w:t>
      </w:r>
      <w:r>
        <w:rPr>
          <w:noProof/>
        </w:rPr>
        <w:fldChar w:fldCharType="end"/>
      </w:r>
    </w:p>
    <w:p w14:paraId="44ECB12F"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2.2.2 Evaluation metrics</w:t>
      </w:r>
      <w:r>
        <w:rPr>
          <w:noProof/>
        </w:rPr>
        <w:tab/>
      </w:r>
      <w:r>
        <w:rPr>
          <w:noProof/>
        </w:rPr>
        <w:fldChar w:fldCharType="begin"/>
      </w:r>
      <w:r>
        <w:rPr>
          <w:noProof/>
        </w:rPr>
        <w:instrText xml:space="preserve"> PAGEREF _Toc391905029 \h </w:instrText>
      </w:r>
      <w:r>
        <w:rPr>
          <w:noProof/>
        </w:rPr>
      </w:r>
      <w:r>
        <w:rPr>
          <w:noProof/>
        </w:rPr>
        <w:fldChar w:fldCharType="separate"/>
      </w:r>
      <w:r>
        <w:rPr>
          <w:noProof/>
        </w:rPr>
        <w:t>59</w:t>
      </w:r>
      <w:r>
        <w:rPr>
          <w:noProof/>
        </w:rPr>
        <w:fldChar w:fldCharType="end"/>
      </w:r>
    </w:p>
    <w:p w14:paraId="47564432"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2.2.3 Results</w:t>
      </w:r>
      <w:r>
        <w:rPr>
          <w:noProof/>
        </w:rPr>
        <w:tab/>
      </w:r>
      <w:r>
        <w:rPr>
          <w:noProof/>
        </w:rPr>
        <w:fldChar w:fldCharType="begin"/>
      </w:r>
      <w:r>
        <w:rPr>
          <w:noProof/>
        </w:rPr>
        <w:instrText xml:space="preserve"> PAGEREF _Toc391905030 \h </w:instrText>
      </w:r>
      <w:r>
        <w:rPr>
          <w:noProof/>
        </w:rPr>
      </w:r>
      <w:r>
        <w:rPr>
          <w:noProof/>
        </w:rPr>
        <w:fldChar w:fldCharType="separate"/>
      </w:r>
      <w:r>
        <w:rPr>
          <w:noProof/>
        </w:rPr>
        <w:t>61</w:t>
      </w:r>
      <w:r>
        <w:rPr>
          <w:noProof/>
        </w:rPr>
        <w:fldChar w:fldCharType="end"/>
      </w:r>
    </w:p>
    <w:p w14:paraId="53831020"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2.3 “Winner’s curse” correction</w:t>
      </w:r>
      <w:r>
        <w:tab/>
      </w:r>
      <w:r>
        <w:fldChar w:fldCharType="begin"/>
      </w:r>
      <w:r>
        <w:instrText xml:space="preserve"> PAGEREF _Toc391905031 \h </w:instrText>
      </w:r>
      <w:r>
        <w:fldChar w:fldCharType="separate"/>
      </w:r>
      <w:r>
        <w:t>69</w:t>
      </w:r>
      <w:r>
        <w:fldChar w:fldCharType="end"/>
      </w:r>
    </w:p>
    <w:p w14:paraId="660E6CEC"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2.3.1 PhylogicCorrectBias</w:t>
      </w:r>
      <w:r>
        <w:rPr>
          <w:noProof/>
        </w:rPr>
        <w:tab/>
      </w:r>
      <w:r>
        <w:rPr>
          <w:noProof/>
        </w:rPr>
        <w:fldChar w:fldCharType="begin"/>
      </w:r>
      <w:r>
        <w:rPr>
          <w:noProof/>
        </w:rPr>
        <w:instrText xml:space="preserve"> PAGEREF _Toc391905032 \h </w:instrText>
      </w:r>
      <w:r>
        <w:rPr>
          <w:noProof/>
        </w:rPr>
      </w:r>
      <w:r>
        <w:rPr>
          <w:noProof/>
        </w:rPr>
        <w:fldChar w:fldCharType="separate"/>
      </w:r>
      <w:r>
        <w:rPr>
          <w:noProof/>
        </w:rPr>
        <w:t>69</w:t>
      </w:r>
      <w:r>
        <w:rPr>
          <w:noProof/>
        </w:rPr>
        <w:fldChar w:fldCharType="end"/>
      </w:r>
    </w:p>
    <w:p w14:paraId="527576A5"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2.3.2 SpoilSport</w:t>
      </w:r>
      <w:r>
        <w:rPr>
          <w:noProof/>
        </w:rPr>
        <w:tab/>
      </w:r>
      <w:r>
        <w:rPr>
          <w:noProof/>
        </w:rPr>
        <w:fldChar w:fldCharType="begin"/>
      </w:r>
      <w:r>
        <w:rPr>
          <w:noProof/>
        </w:rPr>
        <w:instrText xml:space="preserve"> PAGEREF _Toc391905033 \h </w:instrText>
      </w:r>
      <w:r>
        <w:rPr>
          <w:noProof/>
        </w:rPr>
      </w:r>
      <w:r>
        <w:rPr>
          <w:noProof/>
        </w:rPr>
        <w:fldChar w:fldCharType="separate"/>
      </w:r>
      <w:r>
        <w:rPr>
          <w:noProof/>
        </w:rPr>
        <w:t>70</w:t>
      </w:r>
      <w:r>
        <w:rPr>
          <w:noProof/>
        </w:rPr>
        <w:fldChar w:fldCharType="end"/>
      </w:r>
    </w:p>
    <w:p w14:paraId="7F557AC5"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2.3.3 “Winner’s curse” correction consensus</w:t>
      </w:r>
      <w:r>
        <w:rPr>
          <w:noProof/>
        </w:rPr>
        <w:tab/>
      </w:r>
      <w:r>
        <w:rPr>
          <w:noProof/>
        </w:rPr>
        <w:fldChar w:fldCharType="begin"/>
      </w:r>
      <w:r>
        <w:rPr>
          <w:noProof/>
        </w:rPr>
        <w:instrText xml:space="preserve"> PAGEREF _Toc391905034 \h </w:instrText>
      </w:r>
      <w:r>
        <w:rPr>
          <w:noProof/>
        </w:rPr>
      </w:r>
      <w:r>
        <w:rPr>
          <w:noProof/>
        </w:rPr>
        <w:fldChar w:fldCharType="separate"/>
      </w:r>
      <w:r>
        <w:rPr>
          <w:noProof/>
        </w:rPr>
        <w:t>71</w:t>
      </w:r>
      <w:r>
        <w:rPr>
          <w:noProof/>
        </w:rPr>
        <w:fldChar w:fldCharType="end"/>
      </w:r>
    </w:p>
    <w:p w14:paraId="0D53C7D0"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2.4 Validation</w:t>
      </w:r>
      <w:r>
        <w:tab/>
      </w:r>
      <w:r>
        <w:fldChar w:fldCharType="begin"/>
      </w:r>
      <w:r>
        <w:instrText xml:space="preserve"> PAGEREF _Toc391905035 \h </w:instrText>
      </w:r>
      <w:r>
        <w:fldChar w:fldCharType="separate"/>
      </w:r>
      <w:r>
        <w:t>72</w:t>
      </w:r>
      <w:r>
        <w:fldChar w:fldCharType="end"/>
      </w:r>
    </w:p>
    <w:p w14:paraId="62252DEF"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2.4.1 Simulation of subclonally heterogeneous samples – PhylogicSim500</w:t>
      </w:r>
      <w:r>
        <w:rPr>
          <w:noProof/>
        </w:rPr>
        <w:tab/>
      </w:r>
      <w:r>
        <w:rPr>
          <w:noProof/>
        </w:rPr>
        <w:fldChar w:fldCharType="begin"/>
      </w:r>
      <w:r>
        <w:rPr>
          <w:noProof/>
        </w:rPr>
        <w:instrText xml:space="preserve"> PAGEREF _Toc391905036 \h </w:instrText>
      </w:r>
      <w:r>
        <w:rPr>
          <w:noProof/>
        </w:rPr>
      </w:r>
      <w:r>
        <w:rPr>
          <w:noProof/>
        </w:rPr>
        <w:fldChar w:fldCharType="separate"/>
      </w:r>
      <w:r>
        <w:rPr>
          <w:noProof/>
        </w:rPr>
        <w:t>72</w:t>
      </w:r>
      <w:r>
        <w:rPr>
          <w:noProof/>
        </w:rPr>
        <w:fldChar w:fldCharType="end"/>
      </w:r>
    </w:p>
    <w:p w14:paraId="47600C94" w14:textId="77777777" w:rsidR="00673FBD" w:rsidRDefault="00673FBD">
      <w:pPr>
        <w:pStyle w:val="TOC3"/>
        <w:tabs>
          <w:tab w:val="right" w:pos="8290"/>
        </w:tabs>
        <w:rPr>
          <w:rFonts w:eastAsiaTheme="minorEastAsia" w:cstheme="minorBidi"/>
          <w:noProof/>
          <w:sz w:val="24"/>
          <w:szCs w:val="24"/>
          <w:lang w:eastAsia="ja-JP"/>
        </w:rPr>
      </w:pPr>
      <w:r w:rsidRPr="00305CBD">
        <w:rPr>
          <w:rFonts w:ascii="Times New Roman" w:hAnsi="Times New Roman"/>
          <w:bCs/>
          <w:noProof/>
        </w:rPr>
        <w:t>2.4.2 A grid approach to simulations of tumours – SimClone1000</w:t>
      </w:r>
      <w:r>
        <w:rPr>
          <w:noProof/>
        </w:rPr>
        <w:tab/>
      </w:r>
      <w:r>
        <w:rPr>
          <w:noProof/>
        </w:rPr>
        <w:fldChar w:fldCharType="begin"/>
      </w:r>
      <w:r>
        <w:rPr>
          <w:noProof/>
        </w:rPr>
        <w:instrText xml:space="preserve"> PAGEREF _Toc391905037 \h </w:instrText>
      </w:r>
      <w:r>
        <w:rPr>
          <w:noProof/>
        </w:rPr>
      </w:r>
      <w:r>
        <w:rPr>
          <w:noProof/>
        </w:rPr>
        <w:fldChar w:fldCharType="separate"/>
      </w:r>
      <w:r>
        <w:rPr>
          <w:noProof/>
        </w:rPr>
        <w:t>75</w:t>
      </w:r>
      <w:r>
        <w:rPr>
          <w:noProof/>
        </w:rPr>
        <w:fldChar w:fldCharType="end"/>
      </w:r>
    </w:p>
    <w:p w14:paraId="4ACF730A" w14:textId="77777777" w:rsidR="00673FBD" w:rsidRDefault="00673FBD">
      <w:pPr>
        <w:pStyle w:val="TOC1"/>
        <w:tabs>
          <w:tab w:val="right" w:pos="8290"/>
        </w:tabs>
        <w:rPr>
          <w:rFonts w:eastAsiaTheme="minorEastAsia" w:cstheme="minorBidi"/>
          <w:b w:val="0"/>
          <w:bCs w:val="0"/>
          <w:noProof/>
          <w:sz w:val="24"/>
          <w:szCs w:val="24"/>
          <w:lang w:eastAsia="ja-JP"/>
        </w:rPr>
      </w:pPr>
      <w:r w:rsidRPr="00305CBD">
        <w:rPr>
          <w:rFonts w:ascii="Times New Roman" w:hAnsi="Times New Roman"/>
          <w:noProof/>
        </w:rPr>
        <w:t>3. Results of reconstructing the subclonal architecture of tumours</w:t>
      </w:r>
      <w:r>
        <w:rPr>
          <w:noProof/>
        </w:rPr>
        <w:tab/>
      </w:r>
      <w:r>
        <w:rPr>
          <w:noProof/>
        </w:rPr>
        <w:fldChar w:fldCharType="begin"/>
      </w:r>
      <w:r>
        <w:rPr>
          <w:noProof/>
        </w:rPr>
        <w:instrText xml:space="preserve"> PAGEREF _Toc391905038 \h </w:instrText>
      </w:r>
      <w:r>
        <w:rPr>
          <w:noProof/>
        </w:rPr>
      </w:r>
      <w:r>
        <w:rPr>
          <w:noProof/>
        </w:rPr>
        <w:fldChar w:fldCharType="separate"/>
      </w:r>
      <w:r>
        <w:rPr>
          <w:noProof/>
        </w:rPr>
        <w:t>80</w:t>
      </w:r>
      <w:r>
        <w:rPr>
          <w:noProof/>
        </w:rPr>
        <w:fldChar w:fldCharType="end"/>
      </w:r>
    </w:p>
    <w:p w14:paraId="137D2858" w14:textId="77777777" w:rsidR="00673FBD" w:rsidRDefault="00673FBD">
      <w:pPr>
        <w:pStyle w:val="TOC2"/>
        <w:rPr>
          <w:rFonts w:asciiTheme="minorHAnsi" w:eastAsiaTheme="minorEastAsia" w:hAnsiTheme="minorHAnsi" w:cstheme="minorBidi"/>
          <w:i w:val="0"/>
          <w:iCs w:val="0"/>
          <w:lang w:eastAsia="ja-JP"/>
        </w:rPr>
      </w:pPr>
      <w:r w:rsidRPr="00207C3D">
        <w:rPr>
          <w:rFonts w:ascii="Times New Roman" w:hAnsi="Times New Roman" w:cs="Times New Roman"/>
        </w:rPr>
        <w:t>3.1 Power analysis</w:t>
      </w:r>
      <w:r>
        <w:tab/>
      </w:r>
      <w:r>
        <w:fldChar w:fldCharType="begin"/>
      </w:r>
      <w:r>
        <w:instrText xml:space="preserve"> PAGEREF _Toc391905039 \h </w:instrText>
      </w:r>
      <w:r>
        <w:fldChar w:fldCharType="separate"/>
      </w:r>
      <w:r>
        <w:t>80</w:t>
      </w:r>
      <w:r>
        <w:fldChar w:fldCharType="end"/>
      </w:r>
    </w:p>
    <w:p w14:paraId="4381660D"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3.3 Correlation between fraction of subclonal mutations and mutation burden</w:t>
      </w:r>
      <w:r>
        <w:tab/>
      </w:r>
      <w:r>
        <w:fldChar w:fldCharType="begin"/>
      </w:r>
      <w:r>
        <w:instrText xml:space="preserve"> PAGEREF _Toc391905040 \h </w:instrText>
      </w:r>
      <w:r>
        <w:fldChar w:fldCharType="separate"/>
      </w:r>
      <w:r>
        <w:t>82</w:t>
      </w:r>
      <w:r>
        <w:fldChar w:fldCharType="end"/>
      </w:r>
    </w:p>
    <w:p w14:paraId="5634CF65" w14:textId="77777777" w:rsidR="00673FBD" w:rsidRDefault="00673FBD">
      <w:pPr>
        <w:pStyle w:val="TOC1"/>
        <w:tabs>
          <w:tab w:val="right" w:pos="8290"/>
        </w:tabs>
        <w:rPr>
          <w:rFonts w:eastAsiaTheme="minorEastAsia" w:cstheme="minorBidi"/>
          <w:b w:val="0"/>
          <w:bCs w:val="0"/>
          <w:noProof/>
          <w:sz w:val="24"/>
          <w:szCs w:val="24"/>
          <w:lang w:eastAsia="ja-JP"/>
        </w:rPr>
      </w:pPr>
      <w:r w:rsidRPr="00305CBD">
        <w:rPr>
          <w:rFonts w:ascii="Times New Roman" w:hAnsi="Times New Roman"/>
          <w:noProof/>
        </w:rPr>
        <w:t>4. Selection and driver genes</w:t>
      </w:r>
      <w:r>
        <w:rPr>
          <w:noProof/>
        </w:rPr>
        <w:tab/>
      </w:r>
      <w:r>
        <w:rPr>
          <w:noProof/>
        </w:rPr>
        <w:fldChar w:fldCharType="begin"/>
      </w:r>
      <w:r>
        <w:rPr>
          <w:noProof/>
        </w:rPr>
        <w:instrText xml:space="preserve"> PAGEREF _Toc391905041 \h </w:instrText>
      </w:r>
      <w:r>
        <w:rPr>
          <w:noProof/>
        </w:rPr>
      </w:r>
      <w:r>
        <w:rPr>
          <w:noProof/>
        </w:rPr>
        <w:fldChar w:fldCharType="separate"/>
      </w:r>
      <w:r>
        <w:rPr>
          <w:noProof/>
        </w:rPr>
        <w:t>83</w:t>
      </w:r>
      <w:r>
        <w:rPr>
          <w:noProof/>
        </w:rPr>
        <w:fldChar w:fldCharType="end"/>
      </w:r>
    </w:p>
    <w:p w14:paraId="43054B41"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4.1 Selection and dN/dS</w:t>
      </w:r>
      <w:r>
        <w:tab/>
      </w:r>
      <w:r>
        <w:fldChar w:fldCharType="begin"/>
      </w:r>
      <w:r>
        <w:instrText xml:space="preserve"> PAGEREF _Toc391905042 \h </w:instrText>
      </w:r>
      <w:r>
        <w:fldChar w:fldCharType="separate"/>
      </w:r>
      <w:r>
        <w:t>83</w:t>
      </w:r>
      <w:r>
        <w:fldChar w:fldCharType="end"/>
      </w:r>
    </w:p>
    <w:p w14:paraId="3D24D63A"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4.2 Neutral evolution analysis</w:t>
      </w:r>
      <w:r>
        <w:tab/>
      </w:r>
      <w:r>
        <w:fldChar w:fldCharType="begin"/>
      </w:r>
      <w:r>
        <w:instrText xml:space="preserve"> PAGEREF _Toc391905043 \h </w:instrText>
      </w:r>
      <w:r>
        <w:fldChar w:fldCharType="separate"/>
      </w:r>
      <w:r>
        <w:t>84</w:t>
      </w:r>
      <w:r>
        <w:fldChar w:fldCharType="end"/>
      </w:r>
    </w:p>
    <w:p w14:paraId="493B5233"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4.3 Gene set analysis of subclonally mutated genes</w:t>
      </w:r>
      <w:r>
        <w:tab/>
      </w:r>
      <w:r>
        <w:fldChar w:fldCharType="begin"/>
      </w:r>
      <w:r>
        <w:instrText xml:space="preserve"> PAGEREF _Toc391905044 \h </w:instrText>
      </w:r>
      <w:r>
        <w:fldChar w:fldCharType="separate"/>
      </w:r>
      <w:r>
        <w:t>84</w:t>
      </w:r>
      <w:r>
        <w:fldChar w:fldCharType="end"/>
      </w:r>
    </w:p>
    <w:p w14:paraId="03CD5449" w14:textId="77777777" w:rsidR="00673FBD" w:rsidRDefault="00673FBD">
      <w:pPr>
        <w:pStyle w:val="TOC1"/>
        <w:tabs>
          <w:tab w:val="right" w:pos="8290"/>
        </w:tabs>
        <w:rPr>
          <w:rFonts w:eastAsiaTheme="minorEastAsia" w:cstheme="minorBidi"/>
          <w:b w:val="0"/>
          <w:bCs w:val="0"/>
          <w:noProof/>
          <w:sz w:val="24"/>
          <w:szCs w:val="24"/>
          <w:lang w:eastAsia="ja-JP"/>
        </w:rPr>
      </w:pPr>
      <w:r w:rsidRPr="00305CBD">
        <w:rPr>
          <w:rFonts w:ascii="Times New Roman" w:hAnsi="Times New Roman"/>
          <w:noProof/>
        </w:rPr>
        <w:t>5. Evidence of additional ITH</w:t>
      </w:r>
      <w:r>
        <w:rPr>
          <w:noProof/>
        </w:rPr>
        <w:tab/>
      </w:r>
      <w:r>
        <w:rPr>
          <w:noProof/>
        </w:rPr>
        <w:fldChar w:fldCharType="begin"/>
      </w:r>
      <w:r>
        <w:rPr>
          <w:noProof/>
        </w:rPr>
        <w:instrText xml:space="preserve"> PAGEREF _Toc391905045 \h </w:instrText>
      </w:r>
      <w:r>
        <w:rPr>
          <w:noProof/>
        </w:rPr>
      </w:r>
      <w:r>
        <w:rPr>
          <w:noProof/>
        </w:rPr>
        <w:fldChar w:fldCharType="separate"/>
      </w:r>
      <w:r>
        <w:rPr>
          <w:noProof/>
        </w:rPr>
        <w:t>85</w:t>
      </w:r>
      <w:r>
        <w:rPr>
          <w:noProof/>
        </w:rPr>
        <w:fldChar w:fldCharType="end"/>
      </w:r>
    </w:p>
    <w:p w14:paraId="77271B41"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5.1 Analysis of phaseable mutation pairs</w:t>
      </w:r>
      <w:r>
        <w:tab/>
      </w:r>
      <w:r>
        <w:fldChar w:fldCharType="begin"/>
      </w:r>
      <w:r>
        <w:instrText xml:space="preserve"> PAGEREF _Toc391905046 \h </w:instrText>
      </w:r>
      <w:r>
        <w:fldChar w:fldCharType="separate"/>
      </w:r>
      <w:r>
        <w:t>85</w:t>
      </w:r>
      <w:r>
        <w:fldChar w:fldCharType="end"/>
      </w:r>
    </w:p>
    <w:p w14:paraId="324D894C"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5.2 Tracking signature activities across cancer timelines</w:t>
      </w:r>
      <w:r>
        <w:tab/>
      </w:r>
      <w:r>
        <w:fldChar w:fldCharType="begin"/>
      </w:r>
      <w:r>
        <w:instrText xml:space="preserve"> PAGEREF _Toc391905047 \h </w:instrText>
      </w:r>
      <w:r>
        <w:fldChar w:fldCharType="separate"/>
      </w:r>
      <w:r>
        <w:t>86</w:t>
      </w:r>
      <w:r>
        <w:fldChar w:fldCharType="end"/>
      </w:r>
    </w:p>
    <w:p w14:paraId="6398E5AD"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5.3 Validation of the low number of subclonal mutations in melanoma metastases</w:t>
      </w:r>
      <w:r>
        <w:tab/>
      </w:r>
      <w:r>
        <w:fldChar w:fldCharType="begin"/>
      </w:r>
      <w:r>
        <w:instrText xml:space="preserve"> PAGEREF _Toc391905048 \h </w:instrText>
      </w:r>
      <w:r>
        <w:fldChar w:fldCharType="separate"/>
      </w:r>
      <w:r>
        <w:t>90</w:t>
      </w:r>
      <w:r>
        <w:fldChar w:fldCharType="end"/>
      </w:r>
    </w:p>
    <w:p w14:paraId="7BAFF91B" w14:textId="77777777" w:rsidR="00673FBD" w:rsidRDefault="00673FBD">
      <w:pPr>
        <w:pStyle w:val="TOC1"/>
        <w:tabs>
          <w:tab w:val="right" w:pos="8290"/>
        </w:tabs>
        <w:rPr>
          <w:rFonts w:eastAsiaTheme="minorEastAsia" w:cstheme="minorBidi"/>
          <w:b w:val="0"/>
          <w:bCs w:val="0"/>
          <w:noProof/>
          <w:sz w:val="24"/>
          <w:szCs w:val="24"/>
          <w:lang w:eastAsia="ja-JP"/>
        </w:rPr>
      </w:pPr>
      <w:r w:rsidRPr="00305CBD">
        <w:rPr>
          <w:rFonts w:ascii="Times New Roman" w:hAnsi="Times New Roman"/>
          <w:noProof/>
        </w:rPr>
        <w:t>6. Analysis of drivers in clinically targetable genes</w:t>
      </w:r>
      <w:r>
        <w:rPr>
          <w:noProof/>
        </w:rPr>
        <w:tab/>
      </w:r>
      <w:r>
        <w:rPr>
          <w:noProof/>
        </w:rPr>
        <w:fldChar w:fldCharType="begin"/>
      </w:r>
      <w:r>
        <w:rPr>
          <w:noProof/>
        </w:rPr>
        <w:instrText xml:space="preserve"> PAGEREF _Toc391905049 \h </w:instrText>
      </w:r>
      <w:r>
        <w:rPr>
          <w:noProof/>
        </w:rPr>
      </w:r>
      <w:r>
        <w:rPr>
          <w:noProof/>
        </w:rPr>
        <w:fldChar w:fldCharType="separate"/>
      </w:r>
      <w:r>
        <w:rPr>
          <w:noProof/>
        </w:rPr>
        <w:t>91</w:t>
      </w:r>
      <w:r>
        <w:rPr>
          <w:noProof/>
        </w:rPr>
        <w:fldChar w:fldCharType="end"/>
      </w:r>
    </w:p>
    <w:p w14:paraId="28F48A27" w14:textId="77777777" w:rsidR="00673FBD" w:rsidRDefault="00673FBD">
      <w:pPr>
        <w:pStyle w:val="TOC1"/>
        <w:tabs>
          <w:tab w:val="right" w:pos="8290"/>
        </w:tabs>
        <w:rPr>
          <w:rFonts w:eastAsiaTheme="minorEastAsia" w:cstheme="minorBidi"/>
          <w:b w:val="0"/>
          <w:bCs w:val="0"/>
          <w:noProof/>
          <w:sz w:val="24"/>
          <w:szCs w:val="24"/>
          <w:lang w:eastAsia="ja-JP"/>
        </w:rPr>
      </w:pPr>
      <w:r w:rsidRPr="00305CBD">
        <w:rPr>
          <w:rFonts w:ascii="Times New Roman" w:hAnsi="Times New Roman"/>
          <w:noProof/>
        </w:rPr>
        <w:t>7. SV analysis and fusion clonality detection</w:t>
      </w:r>
      <w:r>
        <w:rPr>
          <w:noProof/>
        </w:rPr>
        <w:tab/>
      </w:r>
      <w:r>
        <w:rPr>
          <w:noProof/>
        </w:rPr>
        <w:fldChar w:fldCharType="begin"/>
      </w:r>
      <w:r>
        <w:rPr>
          <w:noProof/>
        </w:rPr>
        <w:instrText xml:space="preserve"> PAGEREF _Toc391905050 \h </w:instrText>
      </w:r>
      <w:r>
        <w:rPr>
          <w:noProof/>
        </w:rPr>
      </w:r>
      <w:r>
        <w:rPr>
          <w:noProof/>
        </w:rPr>
        <w:fldChar w:fldCharType="separate"/>
      </w:r>
      <w:r>
        <w:rPr>
          <w:noProof/>
        </w:rPr>
        <w:t>92</w:t>
      </w:r>
      <w:r>
        <w:rPr>
          <w:noProof/>
        </w:rPr>
        <w:fldChar w:fldCharType="end"/>
      </w:r>
    </w:p>
    <w:p w14:paraId="4864D20F"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 xml:space="preserve">7.1 </w:t>
      </w:r>
      <w:r w:rsidRPr="00305CBD">
        <w:t>Clonality analysis of recurrent structural variants</w:t>
      </w:r>
      <w:r>
        <w:tab/>
      </w:r>
      <w:r>
        <w:fldChar w:fldCharType="begin"/>
      </w:r>
      <w:r>
        <w:instrText xml:space="preserve"> PAGEREF _Toc391905051 \h </w:instrText>
      </w:r>
      <w:r>
        <w:fldChar w:fldCharType="separate"/>
      </w:r>
      <w:r>
        <w:t>92</w:t>
      </w:r>
      <w:r>
        <w:fldChar w:fldCharType="end"/>
      </w:r>
    </w:p>
    <w:p w14:paraId="5EDB65C2" w14:textId="77777777" w:rsidR="00673FBD" w:rsidRDefault="00673FBD">
      <w:pPr>
        <w:pStyle w:val="TOC2"/>
        <w:rPr>
          <w:rFonts w:asciiTheme="minorHAnsi" w:eastAsiaTheme="minorEastAsia" w:hAnsiTheme="minorHAnsi" w:cstheme="minorBidi"/>
          <w:i w:val="0"/>
          <w:iCs w:val="0"/>
          <w:lang w:eastAsia="ja-JP"/>
        </w:rPr>
      </w:pPr>
      <w:r w:rsidRPr="00305CBD">
        <w:rPr>
          <w:rFonts w:ascii="Times New Roman" w:hAnsi="Times New Roman" w:cs="Times New Roman"/>
        </w:rPr>
        <w:t>7.2 Fusion clonality analysis</w:t>
      </w:r>
      <w:r>
        <w:tab/>
      </w:r>
      <w:r>
        <w:fldChar w:fldCharType="begin"/>
      </w:r>
      <w:r>
        <w:instrText xml:space="preserve"> PAGEREF _Toc391905052 \h </w:instrText>
      </w:r>
      <w:r>
        <w:fldChar w:fldCharType="separate"/>
      </w:r>
      <w:r>
        <w:t>94</w:t>
      </w:r>
      <w:r>
        <w:fldChar w:fldCharType="end"/>
      </w:r>
    </w:p>
    <w:p w14:paraId="630B30AD" w14:textId="77777777" w:rsidR="004E1D2E" w:rsidRPr="00AC13E7" w:rsidRDefault="004E1D2E" w:rsidP="004E1D2E">
      <w:r w:rsidRPr="00AC13E7">
        <w:rPr>
          <w:rFonts w:asciiTheme="majorBidi" w:hAnsiTheme="majorBidi" w:cstheme="majorBidi"/>
          <w:b/>
          <w:bCs/>
          <w:noProof/>
        </w:rPr>
        <w:fldChar w:fldCharType="end"/>
      </w:r>
    </w:p>
    <w:p w14:paraId="43C5AB8A" w14:textId="77777777" w:rsidR="00A7415D" w:rsidRPr="00AC13E7" w:rsidRDefault="00A7415D" w:rsidP="002E3119">
      <w:bookmarkStart w:id="1" w:name="_afe514as3to" w:colFirst="0" w:colLast="0"/>
      <w:bookmarkStart w:id="2" w:name="_Toc499569265"/>
      <w:bookmarkEnd w:id="1"/>
    </w:p>
    <w:p w14:paraId="59779EA6" w14:textId="77777777" w:rsidR="008C4690" w:rsidRPr="00AC13E7" w:rsidRDefault="008C4690">
      <w:pPr>
        <w:rPr>
          <w:rFonts w:eastAsia="Times"/>
          <w:b/>
          <w:color w:val="000000"/>
          <w:sz w:val="48"/>
          <w:szCs w:val="48"/>
        </w:rPr>
      </w:pPr>
      <w:bookmarkStart w:id="3" w:name="_Toc499571715"/>
      <w:r w:rsidRPr="00AC13E7">
        <w:br w:type="page"/>
      </w:r>
    </w:p>
    <w:p w14:paraId="5D0A0AF4" w14:textId="1ADA0D45" w:rsidR="00884A46" w:rsidRPr="00AC13E7" w:rsidRDefault="00884A46" w:rsidP="00ED0812">
      <w:pPr>
        <w:pStyle w:val="Heading1"/>
        <w:spacing w:before="360" w:after="120" w:line="276" w:lineRule="auto"/>
        <w:rPr>
          <w:rFonts w:ascii="Times New Roman" w:hAnsi="Times New Roman" w:cs="Times New Roman"/>
          <w:lang w:val="en-GB"/>
        </w:rPr>
      </w:pPr>
      <w:bookmarkStart w:id="4" w:name="_Toc391904989"/>
      <w:r w:rsidRPr="00AC13E7">
        <w:rPr>
          <w:rFonts w:ascii="Times New Roman" w:hAnsi="Times New Roman" w:cs="Times New Roman"/>
          <w:lang w:val="en-GB"/>
        </w:rPr>
        <w:lastRenderedPageBreak/>
        <w:t>Glossary</w:t>
      </w:r>
      <w:bookmarkEnd w:id="2"/>
      <w:bookmarkEnd w:id="3"/>
      <w:bookmarkEnd w:id="4"/>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7"/>
        <w:gridCol w:w="6629"/>
      </w:tblGrid>
      <w:tr w:rsidR="00884A46" w:rsidRPr="00AC13E7" w14:paraId="3A628BF7" w14:textId="77777777" w:rsidTr="004E360A">
        <w:tc>
          <w:tcPr>
            <w:tcW w:w="1170" w:type="dxa"/>
          </w:tcPr>
          <w:p w14:paraId="3C562CF8" w14:textId="77777777" w:rsidR="00884A46" w:rsidRPr="00AC13E7" w:rsidRDefault="00884A46" w:rsidP="004E360A">
            <w:pPr>
              <w:jc w:val="both"/>
            </w:pPr>
            <w:r w:rsidRPr="00AC13E7">
              <w:rPr>
                <w:b/>
              </w:rPr>
              <w:t>BAF</w:t>
            </w:r>
            <w:r w:rsidRPr="00AC13E7">
              <w:t xml:space="preserve"> </w:t>
            </w:r>
          </w:p>
        </w:tc>
        <w:tc>
          <w:tcPr>
            <w:tcW w:w="7130" w:type="dxa"/>
          </w:tcPr>
          <w:p w14:paraId="5107FC30" w14:textId="77777777" w:rsidR="00884A46" w:rsidRPr="00AC13E7" w:rsidRDefault="00884A46" w:rsidP="004E360A">
            <w:pPr>
              <w:jc w:val="both"/>
            </w:pPr>
            <w:r w:rsidRPr="00AC13E7">
              <w:t>B-allele frequency</w:t>
            </w:r>
          </w:p>
        </w:tc>
      </w:tr>
      <w:tr w:rsidR="00884A46" w:rsidRPr="00AC13E7" w14:paraId="11CB5986" w14:textId="77777777" w:rsidTr="004E360A">
        <w:tc>
          <w:tcPr>
            <w:tcW w:w="1170" w:type="dxa"/>
          </w:tcPr>
          <w:p w14:paraId="71A043FE" w14:textId="77777777" w:rsidR="00884A46" w:rsidRPr="00AC13E7" w:rsidRDefault="00884A46" w:rsidP="004E360A">
            <w:pPr>
              <w:jc w:val="both"/>
            </w:pPr>
            <w:r w:rsidRPr="00AC13E7">
              <w:rPr>
                <w:b/>
              </w:rPr>
              <w:t>CCF</w:t>
            </w:r>
            <w:r w:rsidRPr="00AC13E7">
              <w:t xml:space="preserve"> </w:t>
            </w:r>
          </w:p>
        </w:tc>
        <w:tc>
          <w:tcPr>
            <w:tcW w:w="7130" w:type="dxa"/>
          </w:tcPr>
          <w:p w14:paraId="2C5D4922" w14:textId="7F98AECA" w:rsidR="00884A46" w:rsidRPr="00AC13E7" w:rsidRDefault="00884A46" w:rsidP="004E360A">
            <w:pPr>
              <w:jc w:val="both"/>
            </w:pPr>
            <w:r w:rsidRPr="00AC13E7">
              <w:t>Cancer cell fraction, an estimate of the proportion of tumour cells that a subclone consists of or the estimated fraction of tumour cells that carry a mutation</w:t>
            </w:r>
          </w:p>
        </w:tc>
      </w:tr>
      <w:tr w:rsidR="00884A46" w:rsidRPr="00AC13E7" w14:paraId="139BC744" w14:textId="77777777" w:rsidTr="004E360A">
        <w:tc>
          <w:tcPr>
            <w:tcW w:w="1170" w:type="dxa"/>
          </w:tcPr>
          <w:p w14:paraId="413617B0" w14:textId="77777777" w:rsidR="00884A46" w:rsidRPr="00AC13E7" w:rsidRDefault="00884A46" w:rsidP="004E360A">
            <w:pPr>
              <w:jc w:val="both"/>
            </w:pPr>
            <w:r w:rsidRPr="00AC13E7">
              <w:rPr>
                <w:b/>
              </w:rPr>
              <w:t>CNA</w:t>
            </w:r>
            <w:r w:rsidRPr="00AC13E7">
              <w:t xml:space="preserve"> </w:t>
            </w:r>
          </w:p>
        </w:tc>
        <w:tc>
          <w:tcPr>
            <w:tcW w:w="7130" w:type="dxa"/>
          </w:tcPr>
          <w:p w14:paraId="533782A5" w14:textId="77777777" w:rsidR="00884A46" w:rsidRPr="00AC13E7" w:rsidRDefault="00884A46" w:rsidP="004E360A">
            <w:pPr>
              <w:jc w:val="both"/>
            </w:pPr>
            <w:r w:rsidRPr="00AC13E7">
              <w:t>Copy number alteration</w:t>
            </w:r>
          </w:p>
        </w:tc>
      </w:tr>
      <w:tr w:rsidR="00884A46" w:rsidRPr="00AC13E7" w14:paraId="4DE53EDD" w14:textId="77777777" w:rsidTr="004E360A">
        <w:tc>
          <w:tcPr>
            <w:tcW w:w="1170" w:type="dxa"/>
          </w:tcPr>
          <w:p w14:paraId="5A382E94" w14:textId="77777777" w:rsidR="00884A46" w:rsidRPr="00AC13E7" w:rsidRDefault="00884A46" w:rsidP="004E360A">
            <w:pPr>
              <w:jc w:val="both"/>
            </w:pPr>
            <w:r w:rsidRPr="00AC13E7">
              <w:rPr>
                <w:b/>
              </w:rPr>
              <w:t>ICGC</w:t>
            </w:r>
            <w:r w:rsidRPr="00AC13E7">
              <w:t xml:space="preserve"> </w:t>
            </w:r>
          </w:p>
        </w:tc>
        <w:tc>
          <w:tcPr>
            <w:tcW w:w="7130" w:type="dxa"/>
          </w:tcPr>
          <w:p w14:paraId="385FCA6B" w14:textId="77777777" w:rsidR="00884A46" w:rsidRPr="00AC13E7" w:rsidRDefault="00884A46" w:rsidP="004E360A">
            <w:pPr>
              <w:jc w:val="both"/>
            </w:pPr>
            <w:r w:rsidRPr="00AC13E7">
              <w:t>International Cancer Genome Consortium</w:t>
            </w:r>
          </w:p>
        </w:tc>
      </w:tr>
      <w:tr w:rsidR="00884A46" w:rsidRPr="00AC13E7" w14:paraId="2217536B" w14:textId="77777777" w:rsidTr="004E360A">
        <w:tc>
          <w:tcPr>
            <w:tcW w:w="1170" w:type="dxa"/>
          </w:tcPr>
          <w:p w14:paraId="6EA995E0" w14:textId="1E2B29EE" w:rsidR="00884A46" w:rsidRPr="00AC13E7" w:rsidRDefault="007D7BE3" w:rsidP="004E360A">
            <w:pPr>
              <w:jc w:val="both"/>
            </w:pPr>
            <w:r w:rsidRPr="00AC13E7">
              <w:rPr>
                <w:b/>
              </w:rPr>
              <w:t>i</w:t>
            </w:r>
            <w:r w:rsidR="00884A46" w:rsidRPr="00AC13E7">
              <w:rPr>
                <w:b/>
              </w:rPr>
              <w:t>ndel</w:t>
            </w:r>
            <w:r w:rsidR="00884A46" w:rsidRPr="00AC13E7">
              <w:t xml:space="preserve"> </w:t>
            </w:r>
          </w:p>
        </w:tc>
        <w:tc>
          <w:tcPr>
            <w:tcW w:w="7130" w:type="dxa"/>
          </w:tcPr>
          <w:p w14:paraId="7AE79A4C" w14:textId="77777777" w:rsidR="00884A46" w:rsidRPr="00AC13E7" w:rsidRDefault="00884A46" w:rsidP="004E360A">
            <w:pPr>
              <w:jc w:val="both"/>
            </w:pPr>
            <w:r w:rsidRPr="00AC13E7">
              <w:t>Small insertion or deletion</w:t>
            </w:r>
          </w:p>
        </w:tc>
      </w:tr>
      <w:tr w:rsidR="00884A46" w:rsidRPr="00AC13E7" w14:paraId="3AD8CC37" w14:textId="77777777" w:rsidTr="004E360A">
        <w:tc>
          <w:tcPr>
            <w:tcW w:w="1170" w:type="dxa"/>
          </w:tcPr>
          <w:p w14:paraId="73E7E272" w14:textId="77777777" w:rsidR="00884A46" w:rsidRPr="00AC13E7" w:rsidRDefault="00884A46" w:rsidP="004E360A">
            <w:pPr>
              <w:jc w:val="both"/>
            </w:pPr>
            <w:r w:rsidRPr="00AC13E7">
              <w:rPr>
                <w:b/>
              </w:rPr>
              <w:t>logR</w:t>
            </w:r>
            <w:r w:rsidRPr="00AC13E7">
              <w:t xml:space="preserve"> </w:t>
            </w:r>
          </w:p>
        </w:tc>
        <w:tc>
          <w:tcPr>
            <w:tcW w:w="7130" w:type="dxa"/>
          </w:tcPr>
          <w:p w14:paraId="21E7208F" w14:textId="78F455BE" w:rsidR="00884A46" w:rsidRPr="00AC13E7" w:rsidRDefault="00884A46" w:rsidP="004E360A">
            <w:pPr>
              <w:jc w:val="both"/>
            </w:pPr>
            <w:r w:rsidRPr="00AC13E7">
              <w:t>The log of the ratio of relative read coverage in the tumour over that in the matched normal</w:t>
            </w:r>
          </w:p>
        </w:tc>
      </w:tr>
      <w:tr w:rsidR="00884A46" w:rsidRPr="00AC13E7" w14:paraId="374A47EE" w14:textId="77777777" w:rsidTr="004E360A">
        <w:tc>
          <w:tcPr>
            <w:tcW w:w="1170" w:type="dxa"/>
          </w:tcPr>
          <w:p w14:paraId="2A1F31A6" w14:textId="77777777" w:rsidR="00884A46" w:rsidRPr="00AC13E7" w:rsidRDefault="00884A46" w:rsidP="004E360A">
            <w:pPr>
              <w:jc w:val="both"/>
            </w:pPr>
            <w:r w:rsidRPr="00AC13E7">
              <w:rPr>
                <w:b/>
              </w:rPr>
              <w:t>LOH</w:t>
            </w:r>
            <w:r w:rsidRPr="00AC13E7">
              <w:t xml:space="preserve"> </w:t>
            </w:r>
          </w:p>
        </w:tc>
        <w:tc>
          <w:tcPr>
            <w:tcW w:w="7130" w:type="dxa"/>
          </w:tcPr>
          <w:p w14:paraId="09C074B7" w14:textId="77777777" w:rsidR="00884A46" w:rsidRPr="00AC13E7" w:rsidRDefault="00884A46" w:rsidP="004E360A">
            <w:pPr>
              <w:jc w:val="both"/>
            </w:pPr>
            <w:r w:rsidRPr="00AC13E7">
              <w:t>Loss of heterozygosity</w:t>
            </w:r>
          </w:p>
        </w:tc>
      </w:tr>
      <w:tr w:rsidR="00884A46" w:rsidRPr="00AC13E7" w14:paraId="1D739222" w14:textId="77777777" w:rsidTr="004E360A">
        <w:tc>
          <w:tcPr>
            <w:tcW w:w="1170" w:type="dxa"/>
          </w:tcPr>
          <w:p w14:paraId="37B638D3" w14:textId="04A996FC" w:rsidR="00884A46" w:rsidRPr="00AC13E7" w:rsidRDefault="00A93C32" w:rsidP="004E360A">
            <w:pPr>
              <w:jc w:val="both"/>
            </w:pPr>
            <w:r w:rsidRPr="00AC13E7">
              <w:rPr>
                <w:b/>
              </w:rPr>
              <w:t>nrpcc</w:t>
            </w:r>
            <w:r w:rsidR="00884A46" w:rsidRPr="00AC13E7">
              <w:t xml:space="preserve"> </w:t>
            </w:r>
          </w:p>
        </w:tc>
        <w:tc>
          <w:tcPr>
            <w:tcW w:w="7130" w:type="dxa"/>
          </w:tcPr>
          <w:p w14:paraId="64AEB571" w14:textId="63221DF1" w:rsidR="00884A46" w:rsidRPr="00AC13E7" w:rsidRDefault="00884A46" w:rsidP="004E360A">
            <w:pPr>
              <w:jc w:val="both"/>
            </w:pPr>
            <w:r w:rsidRPr="00AC13E7">
              <w:t>Number of reads per chromosome copy, a combination of tumour purity, ploidy and sequencing coverage</w:t>
            </w:r>
          </w:p>
        </w:tc>
      </w:tr>
      <w:tr w:rsidR="00884A46" w:rsidRPr="00AC13E7" w14:paraId="6EDF836E" w14:textId="77777777" w:rsidTr="004E360A">
        <w:tc>
          <w:tcPr>
            <w:tcW w:w="1170" w:type="dxa"/>
          </w:tcPr>
          <w:p w14:paraId="75B9F345" w14:textId="77777777" w:rsidR="00884A46" w:rsidRPr="00AC13E7" w:rsidRDefault="00884A46" w:rsidP="004E360A">
            <w:pPr>
              <w:jc w:val="both"/>
            </w:pPr>
            <w:r w:rsidRPr="00AC13E7">
              <w:rPr>
                <w:b/>
              </w:rPr>
              <w:t>PCAWG</w:t>
            </w:r>
            <w:r w:rsidRPr="00AC13E7">
              <w:t xml:space="preserve"> </w:t>
            </w:r>
          </w:p>
        </w:tc>
        <w:tc>
          <w:tcPr>
            <w:tcW w:w="7130" w:type="dxa"/>
          </w:tcPr>
          <w:p w14:paraId="79B6A4DC" w14:textId="77777777" w:rsidR="00884A46" w:rsidRPr="00AC13E7" w:rsidRDefault="00884A46" w:rsidP="004E360A">
            <w:pPr>
              <w:jc w:val="both"/>
            </w:pPr>
            <w:r w:rsidRPr="00AC13E7">
              <w:t>The Pan-Cancer Analysis of Whole Genomes project</w:t>
            </w:r>
          </w:p>
        </w:tc>
      </w:tr>
      <w:tr w:rsidR="00884A46" w:rsidRPr="00AC13E7" w14:paraId="1418EA78" w14:textId="77777777" w:rsidTr="004E360A">
        <w:tc>
          <w:tcPr>
            <w:tcW w:w="1170" w:type="dxa"/>
          </w:tcPr>
          <w:p w14:paraId="0FC20860" w14:textId="77777777" w:rsidR="00884A46" w:rsidRPr="00AC13E7" w:rsidRDefault="00884A46" w:rsidP="004E360A">
            <w:pPr>
              <w:jc w:val="both"/>
            </w:pPr>
            <w:r w:rsidRPr="00AC13E7">
              <w:rPr>
                <w:b/>
              </w:rPr>
              <w:t>SNP</w:t>
            </w:r>
            <w:r w:rsidRPr="00AC13E7">
              <w:t xml:space="preserve"> </w:t>
            </w:r>
          </w:p>
        </w:tc>
        <w:tc>
          <w:tcPr>
            <w:tcW w:w="7130" w:type="dxa"/>
          </w:tcPr>
          <w:p w14:paraId="21C816A1" w14:textId="77777777" w:rsidR="00884A46" w:rsidRPr="00AC13E7" w:rsidRDefault="00884A46" w:rsidP="004E360A">
            <w:pPr>
              <w:jc w:val="both"/>
            </w:pPr>
            <w:r w:rsidRPr="00AC13E7">
              <w:t>Single nucleotide polymorphism</w:t>
            </w:r>
          </w:p>
        </w:tc>
      </w:tr>
      <w:tr w:rsidR="00884A46" w:rsidRPr="00AC13E7" w14:paraId="77C1BFBA" w14:textId="77777777" w:rsidTr="004E360A">
        <w:tc>
          <w:tcPr>
            <w:tcW w:w="1170" w:type="dxa"/>
          </w:tcPr>
          <w:p w14:paraId="1AE7B81E" w14:textId="77777777" w:rsidR="00884A46" w:rsidRPr="00AC13E7" w:rsidRDefault="00884A46" w:rsidP="004E360A">
            <w:pPr>
              <w:jc w:val="both"/>
            </w:pPr>
            <w:r w:rsidRPr="00AC13E7">
              <w:rPr>
                <w:b/>
              </w:rPr>
              <w:t>SNV</w:t>
            </w:r>
            <w:r w:rsidRPr="00AC13E7">
              <w:t xml:space="preserve"> </w:t>
            </w:r>
          </w:p>
        </w:tc>
        <w:tc>
          <w:tcPr>
            <w:tcW w:w="7130" w:type="dxa"/>
          </w:tcPr>
          <w:p w14:paraId="468F050E" w14:textId="77777777" w:rsidR="00884A46" w:rsidRPr="00AC13E7" w:rsidRDefault="00884A46" w:rsidP="004E360A">
            <w:pPr>
              <w:jc w:val="both"/>
            </w:pPr>
            <w:r w:rsidRPr="00AC13E7">
              <w:t>Single nucleotide variant</w:t>
            </w:r>
          </w:p>
        </w:tc>
      </w:tr>
      <w:tr w:rsidR="00884A46" w:rsidRPr="00AC13E7" w14:paraId="6DB26B9D" w14:textId="77777777" w:rsidTr="004E360A">
        <w:tc>
          <w:tcPr>
            <w:tcW w:w="1170" w:type="dxa"/>
          </w:tcPr>
          <w:p w14:paraId="5EE53403" w14:textId="77777777" w:rsidR="00884A46" w:rsidRPr="00AC13E7" w:rsidRDefault="00884A46" w:rsidP="004E360A">
            <w:pPr>
              <w:jc w:val="both"/>
            </w:pPr>
            <w:r w:rsidRPr="00AC13E7">
              <w:rPr>
                <w:b/>
              </w:rPr>
              <w:t>SSM</w:t>
            </w:r>
            <w:r w:rsidRPr="00AC13E7">
              <w:t xml:space="preserve"> </w:t>
            </w:r>
          </w:p>
        </w:tc>
        <w:tc>
          <w:tcPr>
            <w:tcW w:w="7130" w:type="dxa"/>
          </w:tcPr>
          <w:p w14:paraId="1A09313B" w14:textId="275616EA" w:rsidR="00884A46" w:rsidRPr="00AC13E7" w:rsidRDefault="007D7BE3" w:rsidP="007D7BE3">
            <w:pPr>
              <w:jc w:val="both"/>
            </w:pPr>
            <w:r w:rsidRPr="00AC13E7">
              <w:t>Simple somatic variant (SNV or indel)</w:t>
            </w:r>
          </w:p>
        </w:tc>
      </w:tr>
      <w:tr w:rsidR="00884A46" w:rsidRPr="00AC13E7" w14:paraId="13CB406D" w14:textId="77777777" w:rsidTr="004E360A">
        <w:tc>
          <w:tcPr>
            <w:tcW w:w="1170" w:type="dxa"/>
          </w:tcPr>
          <w:p w14:paraId="70D7554D" w14:textId="6F6689B2" w:rsidR="00884A46" w:rsidRPr="00AC13E7" w:rsidRDefault="007D7BE3" w:rsidP="004E360A">
            <w:pPr>
              <w:jc w:val="both"/>
            </w:pPr>
            <w:r w:rsidRPr="00AC13E7">
              <w:rPr>
                <w:b/>
              </w:rPr>
              <w:t>s</w:t>
            </w:r>
            <w:r w:rsidR="00884A46" w:rsidRPr="00AC13E7">
              <w:rPr>
                <w:b/>
              </w:rPr>
              <w:t>ubclone</w:t>
            </w:r>
            <w:r w:rsidR="00884A46" w:rsidRPr="00AC13E7">
              <w:t xml:space="preserve"> </w:t>
            </w:r>
          </w:p>
        </w:tc>
        <w:tc>
          <w:tcPr>
            <w:tcW w:w="7130" w:type="dxa"/>
          </w:tcPr>
          <w:p w14:paraId="0FF06123" w14:textId="77777777" w:rsidR="00884A46" w:rsidRPr="00AC13E7" w:rsidRDefault="00884A46" w:rsidP="004E360A">
            <w:pPr>
              <w:jc w:val="both"/>
            </w:pPr>
            <w:r w:rsidRPr="00AC13E7">
              <w:t>A subpopulation of tumour cells that have arisen after the most recent common ancestor. The mutations carried by the cells in this subpopulation are sequenced and can be used to detect the presence of the subpopulation.</w:t>
            </w:r>
          </w:p>
        </w:tc>
      </w:tr>
      <w:tr w:rsidR="00884A46" w:rsidRPr="00AC13E7" w14:paraId="1DF67E45" w14:textId="77777777" w:rsidTr="004E360A">
        <w:tc>
          <w:tcPr>
            <w:tcW w:w="1170" w:type="dxa"/>
          </w:tcPr>
          <w:p w14:paraId="77735EBA" w14:textId="77777777" w:rsidR="00884A46" w:rsidRPr="00AC13E7" w:rsidRDefault="00884A46" w:rsidP="004E360A">
            <w:pPr>
              <w:jc w:val="both"/>
            </w:pPr>
            <w:r w:rsidRPr="00AC13E7">
              <w:rPr>
                <w:b/>
              </w:rPr>
              <w:t>WGD</w:t>
            </w:r>
            <w:r w:rsidRPr="00AC13E7">
              <w:t xml:space="preserve"> </w:t>
            </w:r>
          </w:p>
        </w:tc>
        <w:tc>
          <w:tcPr>
            <w:tcW w:w="7130" w:type="dxa"/>
          </w:tcPr>
          <w:p w14:paraId="2005EA34" w14:textId="77777777" w:rsidR="00884A46" w:rsidRPr="00AC13E7" w:rsidRDefault="00884A46" w:rsidP="004E360A">
            <w:pPr>
              <w:jc w:val="both"/>
            </w:pPr>
            <w:r w:rsidRPr="00AC13E7">
              <w:t>Whole genome duplication</w:t>
            </w:r>
          </w:p>
        </w:tc>
      </w:tr>
    </w:tbl>
    <w:p w14:paraId="1456EB72" w14:textId="77777777" w:rsidR="00884A46" w:rsidRPr="00AC13E7" w:rsidRDefault="00884A46" w:rsidP="00884A46"/>
    <w:p w14:paraId="68FF2746" w14:textId="53D20336" w:rsidR="002E0898" w:rsidRPr="00AC13E7" w:rsidRDefault="002E0898">
      <w:r w:rsidRPr="00AC13E7">
        <w:br w:type="page"/>
      </w:r>
    </w:p>
    <w:p w14:paraId="33DD950F" w14:textId="77777777" w:rsidR="00E80D87" w:rsidRPr="00E80D87" w:rsidRDefault="00E80D87" w:rsidP="00E80D87">
      <w:pPr>
        <w:pStyle w:val="Heading1"/>
        <w:spacing w:before="360" w:after="120" w:line="276" w:lineRule="auto"/>
        <w:rPr>
          <w:rFonts w:ascii="Times New Roman" w:hAnsi="Times New Roman" w:cs="Times New Roman"/>
          <w:lang w:val="en-GB"/>
        </w:rPr>
      </w:pPr>
      <w:bookmarkStart w:id="5" w:name="_Toc391904990"/>
      <w:bookmarkStart w:id="6" w:name="_Toc499569266"/>
      <w:bookmarkStart w:id="7" w:name="_Toc499571716"/>
      <w:bookmarkStart w:id="8" w:name="_Ref380140877"/>
      <w:bookmarkStart w:id="9" w:name="_Ref386726749"/>
      <w:r w:rsidRPr="00E80D87">
        <w:rPr>
          <w:rFonts w:ascii="Times New Roman" w:hAnsi="Times New Roman" w:cs="Times New Roman"/>
          <w:lang w:val="en-GB"/>
        </w:rPr>
        <w:lastRenderedPageBreak/>
        <w:t>0. Brief overview of the data set</w:t>
      </w:r>
      <w:bookmarkEnd w:id="5"/>
      <w:r w:rsidRPr="00E80D87">
        <w:rPr>
          <w:rFonts w:ascii="Times New Roman" w:hAnsi="Times New Roman" w:cs="Times New Roman"/>
          <w:lang w:val="en-GB"/>
        </w:rPr>
        <w:t xml:space="preserve"> </w:t>
      </w:r>
    </w:p>
    <w:p w14:paraId="56AC315F" w14:textId="3C6C6F5A" w:rsidR="00E80D87" w:rsidRPr="00BA4A9E" w:rsidRDefault="00E80D87" w:rsidP="00D86E26">
      <w:pPr>
        <w:widowControl w:val="0"/>
        <w:autoSpaceDE w:val="0"/>
        <w:autoSpaceDN w:val="0"/>
        <w:adjustRightInd w:val="0"/>
        <w:spacing w:after="240" w:line="360" w:lineRule="auto"/>
        <w:jc w:val="both"/>
        <w:rPr>
          <w:color w:val="000000"/>
        </w:rPr>
      </w:pPr>
      <w:r w:rsidRPr="00BA4A9E">
        <w:rPr>
          <w:color w:val="000000"/>
        </w:rPr>
        <w:t xml:space="preserve">This manuscript describes analyses based on the ICGC-PCAWG dataset, </w:t>
      </w:r>
      <w:r>
        <w:rPr>
          <w:color w:val="000000"/>
        </w:rPr>
        <w:t>which make</w:t>
      </w:r>
      <w:r w:rsidRPr="00BA4A9E">
        <w:rPr>
          <w:color w:val="000000"/>
        </w:rPr>
        <w:t xml:space="preserve"> use</w:t>
      </w:r>
      <w:r>
        <w:rPr>
          <w:color w:val="000000"/>
        </w:rPr>
        <w:t xml:space="preserve"> of the</w:t>
      </w:r>
      <w:r w:rsidRPr="00BA4A9E">
        <w:rPr>
          <w:color w:val="000000"/>
        </w:rPr>
        <w:t xml:space="preserve"> output from various PCAWG working groups. The generation of these data is described elsewhere </w:t>
      </w:r>
      <w:r w:rsidRPr="00F853C5">
        <w:rPr>
          <w:color w:val="000000"/>
        </w:rPr>
        <w:t xml:space="preserve">(Campbell </w:t>
      </w:r>
      <w:r w:rsidRPr="00F853C5">
        <w:rPr>
          <w:i/>
          <w:color w:val="000000"/>
        </w:rPr>
        <w:t>et al.</w:t>
      </w:r>
      <w:r w:rsidR="00D86E26" w:rsidRPr="00F853C5">
        <w:rPr>
          <w:color w:val="000000"/>
        </w:rPr>
        <w:fldChar w:fldCharType="begin"/>
      </w:r>
      <w:r w:rsidR="00D86E26" w:rsidRPr="00F853C5">
        <w:rPr>
          <w:color w:val="000000"/>
        </w:rPr>
        <w:instrText xml:space="preserve"> ADDIN EN.CITE &lt;EndNote&gt;&lt;Cite&gt;&lt;Author&gt;Campbell&lt;/Author&gt;&lt;Year&gt;2017&lt;/Year&gt;&lt;RecNum&gt;36&lt;/RecNum&gt;&lt;DisplayText&gt;&lt;style face="superscript"&gt;1&lt;/style&gt;&lt;/DisplayText&gt;&lt;record&gt;&lt;rec-number&gt;36&lt;/rec-number&gt;&lt;foreign-keys&gt;&lt;key app="EN" db-id="swsz0f55g50w9yex0aqvtfdxarrpzt5z00pd" timestamp="1511189663"&gt;36&lt;/key&gt;&lt;/foreign-keys&gt;&lt;ref-type name="Journal Article"&gt;17&lt;/ref-type&gt;&lt;contributors&gt;&lt;authors&gt;&lt;author&gt;Campbell, Peter J.&lt;/author&gt;&lt;author&gt;Getz, Gad&lt;/author&gt;&lt;author&gt;Stuart, Joshua M.&lt;/author&gt;&lt;author&gt;Korbel, Jan O.&lt;/author&gt;&lt;author&gt;Stein, Lincoln D.&lt;/author&gt;&lt;/authors&gt;&lt;/contributors&gt;&lt;titles&gt;&lt;title&gt;Pan-cancer analysis of whole genomes&lt;/title&gt;&lt;secondary-title&gt;bioRxiv&lt;/secondary-title&gt;&lt;/titles&gt;&lt;periodical&gt;&lt;full-title&gt;bioRxiv&lt;/full-title&gt;&lt;/periodical&gt;&lt;dates&gt;&lt;year&gt;2017&lt;/year&gt;&lt;/dates&gt;&lt;urls&gt;&lt;/urls&gt;&lt;electronic-resource-num&gt;10.1101/162784&lt;/electronic-resource-num&gt;&lt;/record&gt;&lt;/Cite&gt;&lt;/EndNote&gt;</w:instrText>
      </w:r>
      <w:r w:rsidR="00D86E26" w:rsidRPr="00F853C5">
        <w:rPr>
          <w:color w:val="000000"/>
        </w:rPr>
        <w:fldChar w:fldCharType="separate"/>
      </w:r>
      <w:r w:rsidR="00D86E26" w:rsidRPr="00F853C5">
        <w:rPr>
          <w:noProof/>
          <w:color w:val="000000"/>
          <w:vertAlign w:val="superscript"/>
          <w:lang w:val="da-DK"/>
        </w:rPr>
        <w:t>1</w:t>
      </w:r>
      <w:r w:rsidR="00D86E26" w:rsidRPr="00F853C5">
        <w:rPr>
          <w:color w:val="000000"/>
        </w:rPr>
        <w:fldChar w:fldCharType="end"/>
      </w:r>
      <w:r w:rsidRPr="00F853C5">
        <w:rPr>
          <w:color w:val="000000"/>
          <w:lang w:val="da-DK"/>
        </w:rPr>
        <w:t xml:space="preserve">, Rheinbay </w:t>
      </w:r>
      <w:r w:rsidRPr="00F853C5">
        <w:rPr>
          <w:i/>
          <w:color w:val="000000"/>
          <w:lang w:val="da-DK"/>
        </w:rPr>
        <w:t>et al.</w:t>
      </w:r>
      <w:r w:rsidR="00D86E26" w:rsidRPr="00F853C5">
        <w:rPr>
          <w:color w:val="000000"/>
        </w:rPr>
        <w:fldChar w:fldCharType="begin">
          <w:fldData xml:space="preserve">PEVuZE5vdGU+PENpdGU+PEF1dGhvcj5SaGVpbmJheTwvQXV0aG9yPjxZZWFyPjIwMTc8L1llYXI+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</w:fldData>
        </w:fldChar>
      </w:r>
      <w:r w:rsidR="00D86E26" w:rsidRPr="00F853C5">
        <w:rPr>
          <w:color w:val="000000"/>
          <w:lang w:val="da-DK"/>
        </w:rPr>
        <w:instrText xml:space="preserve"> ADDIN EN.CITE </w:instrText>
      </w:r>
      <w:r w:rsidR="00D86E26" w:rsidRPr="00F853C5">
        <w:rPr>
          <w:color w:val="000000"/>
        </w:rPr>
        <w:fldChar w:fldCharType="begin">
          <w:fldData xml:space="preserve">PEVuZE5vdGU+PENpdGU+PEF1dGhvcj5SaGVpbmJheTwvQXV0aG9yPjxZZWFyPjIwMTc8L1llYXI+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</w:fldData>
        </w:fldChar>
      </w:r>
      <w:r w:rsidR="00D86E26" w:rsidRPr="00F853C5">
        <w:rPr>
          <w:color w:val="000000"/>
          <w:lang w:val="da-DK"/>
        </w:rPr>
        <w:instrText xml:space="preserve"> ADDIN EN.CITE.DATA </w:instrText>
      </w:r>
      <w:r w:rsidR="00D86E26" w:rsidRPr="00F853C5">
        <w:rPr>
          <w:color w:val="000000"/>
        </w:rPr>
      </w:r>
      <w:r w:rsidR="00D86E26" w:rsidRPr="00F853C5">
        <w:rPr>
          <w:color w:val="000000"/>
        </w:rPr>
        <w:fldChar w:fldCharType="end"/>
      </w:r>
      <w:r w:rsidR="00D86E26" w:rsidRPr="00F853C5">
        <w:rPr>
          <w:color w:val="000000"/>
        </w:rPr>
      </w:r>
      <w:r w:rsidR="00D86E26" w:rsidRPr="00F853C5">
        <w:rPr>
          <w:color w:val="000000"/>
        </w:rPr>
        <w:fldChar w:fldCharType="separate"/>
      </w:r>
      <w:r w:rsidR="00D86E26" w:rsidRPr="00F853C5">
        <w:rPr>
          <w:noProof/>
          <w:color w:val="000000"/>
          <w:vertAlign w:val="superscript"/>
          <w:lang w:val="da-DK"/>
        </w:rPr>
        <w:t>2</w:t>
      </w:r>
      <w:r w:rsidR="00D86E26" w:rsidRPr="00F853C5">
        <w:rPr>
          <w:color w:val="000000"/>
        </w:rPr>
        <w:fldChar w:fldCharType="end"/>
      </w:r>
      <w:r w:rsidRPr="00F853C5">
        <w:rPr>
          <w:color w:val="000000"/>
          <w:lang w:val="da-DK"/>
        </w:rPr>
        <w:t xml:space="preserve">, Sabarinathan </w:t>
      </w:r>
      <w:r w:rsidRPr="00F853C5">
        <w:rPr>
          <w:i/>
          <w:color w:val="000000"/>
          <w:lang w:val="da-DK"/>
        </w:rPr>
        <w:t>et al.</w:t>
      </w:r>
      <w:r w:rsidR="00D86E26" w:rsidRPr="00F853C5">
        <w:rPr>
          <w:color w:val="000000"/>
        </w:rPr>
        <w:fldChar w:fldCharType="begin"/>
      </w:r>
      <w:r w:rsidR="00D86E26" w:rsidRPr="00F853C5">
        <w:rPr>
          <w:color w:val="000000"/>
          <w:lang w:val="da-DK"/>
        </w:rPr>
        <w:instrText xml:space="preserve"> ADDIN EN.CITE &lt;EndNote&gt;&lt;Cite&gt;&lt;Author&gt;Sabarinathan&lt;/Author&gt;&lt;Year&gt;2017&lt;/Year&gt;&lt;RecNum&gt;44&lt;/RecNum&gt;&lt;DisplayText&gt;&lt;style face="superscript"&gt;3&lt;/style&gt;&lt;/DisplayText&gt;&lt;record&gt;&lt;rec-number&gt;44&lt;/rec-number&gt;&lt;foreign-keys&gt;&lt;key app="EN" db-id="swsz0f55g50w9yex0aqvtfdxarrpzt5z00pd" timestamp="1511194572"&gt;44&lt;/key&gt;&lt;/foreign-keys&gt;&lt;ref-type name="Journal Article"&gt;17&lt;/ref-type&gt;&lt;contributors&gt;&lt;authors&gt;&lt;author&gt;Sabarinathan, Radhakrishnan&lt;/author&gt;&lt;author&gt;Pich, Oriol&lt;/author&gt;&lt;author&gt;Martincorena, Inigo&lt;/author&gt;&lt;author&gt;Rubio-Perez, Carlota&lt;/author&gt;&lt;author&gt;Juul, Malene&lt;/author&gt;&lt;author&gt;Wala, Jeremiah&lt;/author&gt;&lt;author&gt;Schumacher, Steven&lt;/author&gt;&lt;author&gt;Shapira, Ofer&lt;/author&gt;&lt;author&gt;Sidiropoulos, Nikos&lt;/author&gt;&lt;author&gt;Waszak, Sebastian&lt;/author&gt;&lt;author&gt;Tamborero, David&lt;/author&gt;&lt;author&gt;Mularoni, Loris&lt;/author&gt;&lt;author&gt;Rheinbay, Esther&lt;/author&gt;&lt;author&gt;Hornshoj, Henrik&lt;/author&gt;&lt;author&gt;Deu-Pons, Jordi&lt;/author&gt;&lt;author&gt;Muinos, Ferran&lt;/author&gt;&lt;author&gt;Bertl, Johanna&lt;/author&gt;&lt;author&gt;Guo, Qianyun&lt;/author&gt;&lt;author&gt;Weischenfeldt, Joachim&lt;/author&gt;&lt;author&gt;Korbel, Jan O&lt;/author&gt;&lt;author&gt;Getz, Gad&lt;/author&gt;&lt;author&gt;Campbell, Peter J&lt;/author&gt;&lt;author&gt;Pedersen, Jakob S&lt;/author&gt;&lt;author&gt;Beroukhim, Rameen&lt;/author&gt;&lt;author&gt;Perez-Gonzalez, Abel&lt;/author&gt;&lt;author&gt;Lopez-Bigas, Nuria&lt;/author&gt;&lt;/authors&gt;&lt;/contributors&gt;&lt;titles&gt;&lt;title&gt;The whole-genome panorama of cancer drivers&lt;/title&gt;&lt;secondary-title&gt;bioRxiv&lt;/secondary-title&gt;&lt;/titles&gt;&lt;periodical&gt;&lt;full-title&gt;bioRxiv&lt;/full-title&gt;&lt;/periodical&gt;&lt;dates&gt;&lt;year&gt;2017&lt;/year&gt;&lt;/dates&gt;&lt;urls&gt;&lt;/urls&gt;&lt;electronic-resource-num&gt;10.1101/190330&lt;/electronic-resource-num&gt;&lt;/record&gt;&lt;/Cite&gt;&lt;/EndNote&gt;</w:instrText>
      </w:r>
      <w:r w:rsidR="00D86E26" w:rsidRPr="00F853C5">
        <w:rPr>
          <w:color w:val="000000"/>
        </w:rPr>
        <w:fldChar w:fldCharType="separate"/>
      </w:r>
      <w:r w:rsidR="00D86E26" w:rsidRPr="00F853C5">
        <w:rPr>
          <w:noProof/>
          <w:color w:val="000000"/>
          <w:vertAlign w:val="superscript"/>
          <w:lang w:val="da-DK"/>
        </w:rPr>
        <w:t>3</w:t>
      </w:r>
      <w:r w:rsidR="00D86E26" w:rsidRPr="00F853C5">
        <w:rPr>
          <w:color w:val="000000"/>
        </w:rPr>
        <w:fldChar w:fldCharType="end"/>
      </w:r>
      <w:r w:rsidRPr="00F853C5">
        <w:rPr>
          <w:color w:val="000000"/>
          <w:lang w:val="da-DK"/>
        </w:rPr>
        <w:t xml:space="preserve"> and Alexandrov </w:t>
      </w:r>
      <w:r w:rsidRPr="00F853C5">
        <w:rPr>
          <w:i/>
          <w:color w:val="000000"/>
          <w:lang w:val="da-DK"/>
        </w:rPr>
        <w:t>et al.</w:t>
      </w:r>
      <w:r w:rsidR="00D86E26" w:rsidRPr="00F853C5">
        <w:rPr>
          <w:color w:val="000000"/>
        </w:rPr>
        <w:fldChar w:fldCharType="begin"/>
      </w:r>
      <w:r w:rsidR="00D86E26" w:rsidRPr="00F853C5">
        <w:rPr>
          <w:color w:val="000000"/>
          <w:lang w:val="da-DK"/>
        </w:rPr>
        <w:instrText xml:space="preserve"> ADDIN EN.CITE &lt;EndNote&gt;&lt;Cite&gt;&lt;Author&gt;Alexandrov&lt;/Author&gt;&lt;Year&gt;2018&lt;/Year&gt;&lt;RecNum&gt;57&lt;/RecNum&gt;&lt;DisplayText&gt;&lt;style face="superscript"&gt;4&lt;/style&gt;&lt;/DisplayText&gt;&lt;record&gt;&lt;rec-number&gt;57&lt;/rec-number&gt;&lt;foreign-keys&gt;&lt;key app="EN" db-id="swsz0f55g50w9yex0aqvtfdxarrpzt5z00pd" timestamp="1530305912"&gt;57&lt;/key&gt;&lt;/foreign-keys&gt;&lt;ref-type name="Journal Article"&gt;17&lt;/ref-type&gt;&lt;contributors&gt;&lt;authors&gt;&lt;author&gt;Alexandrov, Ludmil&lt;/author&gt;&lt;author&gt;Kim, Jaegil&lt;/author&gt;&lt;author&gt;Haradhvala, Nicholas J&lt;/author&gt;&lt;author&gt;Huang, Mi Ni&lt;/author&gt;&lt;author&gt;Ng, Alvin W T&lt;/author&gt;&lt;author&gt;Boot, Arnoud&lt;/author&gt;&lt;author&gt;Covington, Kyle R&lt;/author&gt;&lt;author&gt;Gordenin, Dmitry A&lt;/author&gt;&lt;author&gt;Bergstrom, Erik&lt;/author&gt;&lt;author&gt;Lopez-Bigas, Nuria&lt;/author&gt;&lt;author&gt;Klimczak, Leszek J&lt;/author&gt;&lt;author&gt;McPherson, John R&lt;/author&gt;&lt;author&gt;Morganella, Sandro&lt;/author&gt;&lt;author&gt;Sabarinathan, Radhakrishnan&lt;/author&gt;&lt;author&gt;Wheeler, David A&lt;/author&gt;&lt;author&gt;Mustonen, Ville&lt;/author&gt;&lt;author&gt;Getz, Gad&lt;/author&gt;&lt;author&gt;Rozen, Steven G.&lt;/author&gt;&lt;author&gt;Stratton, Michael R&lt;/author&gt;&lt;/authors&gt;&lt;/contributors&gt;&lt;titles&gt;&lt;title&gt;The Repertoire of Mutational Signatures in Human Cancer&lt;/title&gt;&lt;secondary-title&gt;bioRxiv&lt;/secondary-title&gt;&lt;/titles&gt;&lt;periodical&gt;&lt;full-title&gt;bioRxiv&lt;/full-title&gt;&lt;/periodical&gt;&lt;dates&gt;&lt;year&gt;2018&lt;/year&gt;&lt;/dates&gt;&lt;urls&gt;&lt;related-urls&gt;&lt;url&gt;https://www.biorxiv.org/content/biorxiv/early/2018/05/15/322859.full.pdf&lt;/url&gt;&lt;/related-urls&gt;&lt;/urls&gt;&lt;electronic-resource-num&gt;10.1101/322859&lt;/electronic-resource-num&gt;&lt;/record&gt;&lt;/Cite&gt;&lt;/EndNote&gt;</w:instrText>
      </w:r>
      <w:r w:rsidR="00D86E26" w:rsidRPr="00F853C5">
        <w:rPr>
          <w:color w:val="000000"/>
        </w:rPr>
        <w:fldChar w:fldCharType="separate"/>
      </w:r>
      <w:r w:rsidR="00D86E26" w:rsidRPr="00F853C5">
        <w:rPr>
          <w:noProof/>
          <w:color w:val="000000"/>
          <w:vertAlign w:val="superscript"/>
        </w:rPr>
        <w:t>4</w:t>
      </w:r>
      <w:r w:rsidR="00D86E26" w:rsidRPr="00F853C5">
        <w:rPr>
          <w:color w:val="000000"/>
        </w:rPr>
        <w:fldChar w:fldCharType="end"/>
      </w:r>
      <w:r w:rsidRPr="00F853C5">
        <w:rPr>
          <w:color w:val="000000"/>
        </w:rPr>
        <w:t>),</w:t>
      </w:r>
      <w:r w:rsidRPr="00BA4A9E">
        <w:rPr>
          <w:color w:val="000000"/>
          <w:position w:val="16"/>
        </w:rPr>
        <w:t xml:space="preserve"> </w:t>
      </w:r>
      <w:r w:rsidRPr="00BA4A9E">
        <w:rPr>
          <w:color w:val="000000"/>
        </w:rPr>
        <w:t>and these publications should be consulted for more information. However, to aid the reading of this manuscript, we briefly describe the dataset</w:t>
      </w:r>
      <w:r>
        <w:rPr>
          <w:color w:val="000000"/>
        </w:rPr>
        <w:t xml:space="preserve"> here</w:t>
      </w:r>
      <w:r w:rsidRPr="00BA4A9E">
        <w:rPr>
          <w:color w:val="000000"/>
        </w:rPr>
        <w:t xml:space="preserve">. </w:t>
      </w:r>
      <w:r>
        <w:rPr>
          <w:color w:val="000000"/>
        </w:rPr>
        <w:t>For consistency purposes, we have included the relevant sections of this text both in the supplement of this manuscript, and in that of our companion manuscript (</w:t>
      </w:r>
      <w:r w:rsidRPr="00F853C5">
        <w:rPr>
          <w:color w:val="000000"/>
        </w:rPr>
        <w:t xml:space="preserve">Gerstung </w:t>
      </w:r>
      <w:r w:rsidRPr="00F853C5">
        <w:rPr>
          <w:i/>
          <w:color w:val="000000"/>
        </w:rPr>
        <w:t>et al.</w:t>
      </w:r>
      <w:r w:rsidRPr="00F853C5">
        <w:rPr>
          <w:color w:val="000000"/>
        </w:rPr>
        <w:t>, (2017)</w:t>
      </w:r>
      <w:r w:rsidR="00D86E26">
        <w:rPr>
          <w:color w:val="000000"/>
        </w:rPr>
        <w:fldChar w:fldCharType="begin">
          <w:fldData xml:space="preserve">PEVuZE5vdGU+PENpdGU+PEF1dGhvcj5HZXJzdHVuZzwvQXV0aG9yPjxZZWFyPjIwMTc8L1llYXI+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</w:fldData>
        </w:fldChar>
      </w:r>
      <w:r w:rsidR="00D86E26">
        <w:rPr>
          <w:color w:val="000000"/>
        </w:rPr>
        <w:instrText xml:space="preserve"> ADDIN EN.CITE </w:instrText>
      </w:r>
      <w:r w:rsidR="00D86E26">
        <w:rPr>
          <w:color w:val="000000"/>
        </w:rPr>
        <w:fldChar w:fldCharType="begin">
          <w:fldData xml:space="preserve">PEVuZE5vdGU+PENpdGU+PEF1dGhvcj5HZXJzdHVuZzwvQXV0aG9yPjxZZWFyPjIwMTc8L1llYXI+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</w:fldData>
        </w:fldChar>
      </w:r>
      <w:r w:rsidR="00D86E26">
        <w:rPr>
          <w:color w:val="000000"/>
        </w:rPr>
        <w:instrText xml:space="preserve"> ADDIN EN.CITE.DATA </w:instrText>
      </w:r>
      <w:r w:rsidR="00D86E26">
        <w:rPr>
          <w:color w:val="000000"/>
        </w:rPr>
      </w:r>
      <w:r w:rsidR="00D86E26">
        <w:rPr>
          <w:color w:val="000000"/>
        </w:rPr>
        <w:fldChar w:fldCharType="end"/>
      </w:r>
      <w:r w:rsidR="00D86E26">
        <w:rPr>
          <w:color w:val="000000"/>
        </w:rPr>
      </w:r>
      <w:r w:rsidR="00D86E26">
        <w:rPr>
          <w:color w:val="000000"/>
        </w:rPr>
        <w:fldChar w:fldCharType="separate"/>
      </w:r>
      <w:r w:rsidR="00D86E26" w:rsidRPr="00D86E26">
        <w:rPr>
          <w:noProof/>
          <w:color w:val="000000"/>
          <w:vertAlign w:val="superscript"/>
        </w:rPr>
        <w:t>5</w:t>
      </w:r>
      <w:r w:rsidR="00D86E26">
        <w:rPr>
          <w:color w:val="000000"/>
        </w:rPr>
        <w:fldChar w:fldCharType="end"/>
      </w:r>
      <w:r>
        <w:rPr>
          <w:color w:val="000000"/>
        </w:rPr>
        <w:t>).</w:t>
      </w:r>
    </w:p>
    <w:p w14:paraId="26EEE9F2" w14:textId="77777777" w:rsidR="00E80D87" w:rsidRPr="00E80D87" w:rsidRDefault="00E80D87" w:rsidP="00E80D87">
      <w:pPr>
        <w:pStyle w:val="Heading2"/>
        <w:spacing w:before="320" w:after="80" w:line="276" w:lineRule="auto"/>
        <w:rPr>
          <w:rFonts w:ascii="Times New Roman" w:hAnsi="Times New Roman" w:cs="Times New Roman"/>
          <w:lang w:val="en-GB"/>
        </w:rPr>
      </w:pPr>
      <w:bookmarkStart w:id="10" w:name="_Toc391904991"/>
      <w:r w:rsidRPr="00E80D87">
        <w:rPr>
          <w:rFonts w:ascii="Times New Roman" w:hAnsi="Times New Roman" w:cs="Times New Roman"/>
          <w:lang w:val="en-GB"/>
        </w:rPr>
        <w:t>0.1 Summary of the tumour samples’ main characteristics</w:t>
      </w:r>
      <w:bookmarkEnd w:id="10"/>
      <w:r w:rsidRPr="00E80D87">
        <w:rPr>
          <w:rFonts w:ascii="Times New Roman" w:hAnsi="Times New Roman" w:cs="Times New Roman"/>
          <w:lang w:val="en-GB"/>
        </w:rPr>
        <w:t xml:space="preserve"> </w:t>
      </w:r>
    </w:p>
    <w:p w14:paraId="3691B9FD" w14:textId="38E7B72F" w:rsidR="00E80D87" w:rsidRPr="00BA4A9E" w:rsidRDefault="00E80D87" w:rsidP="00D86E26">
      <w:pPr>
        <w:spacing w:line="360" w:lineRule="auto"/>
        <w:jc w:val="both"/>
        <w:rPr>
          <w:color w:val="000000"/>
        </w:rPr>
      </w:pPr>
      <w:r>
        <w:rPr>
          <w:color w:val="000000"/>
        </w:rPr>
        <w:t>The</w:t>
      </w:r>
      <w:r w:rsidRPr="00BA4A9E">
        <w:rPr>
          <w:color w:val="000000"/>
        </w:rPr>
        <w:t xml:space="preserve"> ICGC</w:t>
      </w:r>
      <w:r>
        <w:rPr>
          <w:color w:val="000000"/>
        </w:rPr>
        <w:t>-</w:t>
      </w:r>
      <w:r w:rsidRPr="00BA4A9E">
        <w:rPr>
          <w:color w:val="000000"/>
        </w:rPr>
        <w:t xml:space="preserve">PCAWG dataset </w:t>
      </w:r>
      <w:r>
        <w:rPr>
          <w:color w:val="000000"/>
        </w:rPr>
        <w:t xml:space="preserve">comprises samples </w:t>
      </w:r>
      <w:r w:rsidRPr="00BA4A9E">
        <w:rPr>
          <w:color w:val="000000"/>
        </w:rPr>
        <w:t xml:space="preserve">selected from individual ICGC </w:t>
      </w:r>
      <w:r>
        <w:rPr>
          <w:color w:val="000000"/>
        </w:rPr>
        <w:t xml:space="preserve">and TCGA </w:t>
      </w:r>
      <w:r w:rsidRPr="00BA4A9E">
        <w:rPr>
          <w:color w:val="000000"/>
        </w:rPr>
        <w:t xml:space="preserve">projects for which completion </w:t>
      </w:r>
      <w:r>
        <w:rPr>
          <w:color w:val="000000"/>
        </w:rPr>
        <w:t xml:space="preserve">was </w:t>
      </w:r>
      <w:r w:rsidRPr="00BA4A9E">
        <w:rPr>
          <w:color w:val="000000"/>
        </w:rPr>
        <w:t xml:space="preserve">imminent in 2015, as detailed in </w:t>
      </w:r>
      <w:r w:rsidRPr="00F853C5">
        <w:rPr>
          <w:color w:val="000000"/>
        </w:rPr>
        <w:t xml:space="preserve">Campbell </w:t>
      </w:r>
      <w:r w:rsidRPr="00F853C5">
        <w:rPr>
          <w:i/>
          <w:color w:val="000000"/>
        </w:rPr>
        <w:t>et al</w:t>
      </w:r>
      <w:r w:rsidRPr="00F853C5">
        <w:rPr>
          <w:color w:val="000000"/>
        </w:rPr>
        <w:t>. (2017</w:t>
      </w:r>
      <w:r w:rsidRPr="00BA4A9E">
        <w:rPr>
          <w:color w:val="000000"/>
        </w:rPr>
        <w:t>)</w:t>
      </w:r>
      <w:r w:rsidR="00D86E26">
        <w:rPr>
          <w:color w:val="000000"/>
        </w:rPr>
        <w:fldChar w:fldCharType="begin"/>
      </w:r>
      <w:r w:rsidR="00D86E26">
        <w:rPr>
          <w:color w:val="000000"/>
        </w:rPr>
        <w:instrText xml:space="preserve"> ADDIN EN.CITE &lt;EndNote&gt;&lt;Cite&gt;&lt;Author&gt;Campbell&lt;/Author&gt;&lt;Year&gt;2017&lt;/Year&gt;&lt;RecNum&gt;36&lt;/RecNum&gt;&lt;DisplayText&gt;&lt;style face="superscript"&gt;1&lt;/style&gt;&lt;/DisplayText&gt;&lt;record&gt;&lt;rec-number&gt;36&lt;/rec-number&gt;&lt;foreign-keys&gt;&lt;key app="EN" db-id="swsz0f55g50w9yex0aqvtfdxarrpzt5z00pd" timestamp="1511189663"&gt;36&lt;/key&gt;&lt;/foreign-keys&gt;&lt;ref-type name="Journal Article"&gt;17&lt;/ref-type&gt;&lt;contributors&gt;&lt;authors&gt;&lt;author&gt;Campbell, Peter J.&lt;/author&gt;&lt;author&gt;Getz, Gad&lt;/author&gt;&lt;author&gt;Stuart, Joshua M.&lt;/author&gt;&lt;author&gt;Korbel, Jan O.&lt;/author&gt;&lt;author&gt;Stein, Lincoln D.&lt;/author&gt;&lt;/authors&gt;&lt;/contributors&gt;&lt;titles&gt;&lt;title&gt;Pan-cancer analysis of whole genomes&lt;/title&gt;&lt;secondary-title&gt;bioRxiv&lt;/secondary-title&gt;&lt;/titles&gt;&lt;periodical&gt;&lt;full-title&gt;bioRxiv&lt;/full-title&gt;&lt;/periodical&gt;&lt;dates&gt;&lt;year&gt;2017&lt;/year&gt;&lt;/dates&gt;&lt;urls&gt;&lt;/urls&gt;&lt;electronic-resource-num&gt;10.1101/162784&lt;/electronic-resource-num&gt;&lt;/record&gt;&lt;/Cite&gt;&lt;/EndNote&gt;</w:instrText>
      </w:r>
      <w:r w:rsidR="00D86E26">
        <w:rPr>
          <w:color w:val="000000"/>
        </w:rPr>
        <w:fldChar w:fldCharType="separate"/>
      </w:r>
      <w:r w:rsidR="00D86E26" w:rsidRPr="00D86E26">
        <w:rPr>
          <w:noProof/>
          <w:color w:val="000000"/>
          <w:vertAlign w:val="superscript"/>
        </w:rPr>
        <w:t>1</w:t>
      </w:r>
      <w:r w:rsidR="00D86E26">
        <w:rPr>
          <w:color w:val="000000"/>
        </w:rPr>
        <w:fldChar w:fldCharType="end"/>
      </w:r>
      <w:r w:rsidRPr="00BA4A9E">
        <w:rPr>
          <w:color w:val="000000"/>
        </w:rPr>
        <w:t xml:space="preserve">. Donors were included if a tumour and matched normal were sequenced to a </w:t>
      </w:r>
      <w:r>
        <w:rPr>
          <w:color w:val="000000"/>
        </w:rPr>
        <w:t>minimum per-base coverage</w:t>
      </w:r>
      <w:r w:rsidRPr="00BA4A9E">
        <w:rPr>
          <w:color w:val="000000"/>
        </w:rPr>
        <w:t xml:space="preserve"> of 30x and 25x respectively, on the Illumina HiSeq platform with 100-150</w:t>
      </w:r>
      <w:r>
        <w:rPr>
          <w:color w:val="000000"/>
        </w:rPr>
        <w:t xml:space="preserve"> </w:t>
      </w:r>
      <w:r w:rsidRPr="00BA4A9E">
        <w:rPr>
          <w:color w:val="000000"/>
        </w:rPr>
        <w:t>bp paired-end reads (</w:t>
      </w:r>
      <w:r>
        <w:rPr>
          <w:color w:val="000000"/>
        </w:rPr>
        <w:fldChar w:fldCharType="begin"/>
      </w:r>
      <w:r>
        <w:rPr>
          <w:color w:val="000000"/>
        </w:rPr>
        <w:instrText xml:space="preserve"> REF _Ref391904797 \h </w:instrText>
      </w:r>
      <w:r>
        <w:rPr>
          <w:color w:val="000000"/>
        </w:rPr>
      </w:r>
      <w:r>
        <w:rPr>
          <w:color w:val="000000"/>
        </w:rPr>
        <w:fldChar w:fldCharType="separate"/>
      </w:r>
      <w:r w:rsidR="00673FBD" w:rsidRPr="00E80D87">
        <w:t xml:space="preserve">Fig. </w:t>
      </w:r>
      <w:r w:rsidR="00673FBD">
        <w:rPr>
          <w:noProof/>
        </w:rPr>
        <w:t>1</w:t>
      </w:r>
      <w:r>
        <w:rPr>
          <w:color w:val="000000"/>
        </w:rPr>
        <w:fldChar w:fldCharType="end"/>
      </w:r>
      <w:r>
        <w:rPr>
          <w:color w:val="000000"/>
        </w:rPr>
        <w:t xml:space="preserve"> </w:t>
      </w:r>
      <w:r w:rsidRPr="00BA4A9E">
        <w:rPr>
          <w:color w:val="000000"/>
        </w:rPr>
        <w:t xml:space="preserve">shows the average depth after alignment), and if a </w:t>
      </w:r>
      <w:r>
        <w:rPr>
          <w:color w:val="000000"/>
        </w:rPr>
        <w:t>basic</w:t>
      </w:r>
      <w:r w:rsidRPr="00BA4A9E">
        <w:rPr>
          <w:color w:val="000000"/>
        </w:rPr>
        <w:t xml:space="preserve"> set of clinical </w:t>
      </w:r>
      <w:r>
        <w:rPr>
          <w:color w:val="000000"/>
        </w:rPr>
        <w:t>details</w:t>
      </w:r>
      <w:r w:rsidRPr="00BA4A9E">
        <w:rPr>
          <w:color w:val="000000"/>
        </w:rPr>
        <w:t xml:space="preserve"> was </w:t>
      </w:r>
      <w:r>
        <w:rPr>
          <w:color w:val="000000"/>
        </w:rPr>
        <w:t>reported</w:t>
      </w:r>
      <w:r w:rsidRPr="00BA4A9E">
        <w:rPr>
          <w:color w:val="000000"/>
        </w:rPr>
        <w:t xml:space="preserve"> (including age (</w:t>
      </w:r>
      <w:r>
        <w:rPr>
          <w:color w:val="000000"/>
        </w:rPr>
        <w:fldChar w:fldCharType="begin"/>
      </w:r>
      <w:r>
        <w:rPr>
          <w:color w:val="000000"/>
        </w:rPr>
        <w:instrText xml:space="preserve"> REF _Ref391904808 \h </w:instrText>
      </w:r>
      <w:r>
        <w:rPr>
          <w:color w:val="000000"/>
        </w:rPr>
      </w:r>
      <w:r>
        <w:rPr>
          <w:color w:val="000000"/>
        </w:rPr>
        <w:fldChar w:fldCharType="separate"/>
      </w:r>
      <w:r w:rsidR="00673FBD">
        <w:t xml:space="preserve">Fig. </w:t>
      </w:r>
      <w:r w:rsidR="00673FBD">
        <w:rPr>
          <w:noProof/>
        </w:rPr>
        <w:t>2</w:t>
      </w:r>
      <w:r>
        <w:rPr>
          <w:color w:val="000000"/>
        </w:rPr>
        <w:fldChar w:fldCharType="end"/>
      </w:r>
      <w:r w:rsidRPr="00BA4A9E">
        <w:rPr>
          <w:color w:val="000000"/>
        </w:rPr>
        <w:t>), sex (</w:t>
      </w:r>
      <w:r>
        <w:rPr>
          <w:color w:val="000000"/>
        </w:rPr>
        <w:fldChar w:fldCharType="begin"/>
      </w:r>
      <w:r>
        <w:rPr>
          <w:color w:val="000000"/>
        </w:rPr>
        <w:instrText xml:space="preserve"> REF _Ref391904817 \h </w:instrText>
      </w:r>
      <w:r>
        <w:rPr>
          <w:color w:val="000000"/>
        </w:rPr>
      </w:r>
      <w:r>
        <w:rPr>
          <w:color w:val="000000"/>
        </w:rPr>
        <w:fldChar w:fldCharType="separate"/>
      </w:r>
      <w:r w:rsidR="00673FBD">
        <w:t xml:space="preserve">Fig. </w:t>
      </w:r>
      <w:r w:rsidR="00673FBD">
        <w:rPr>
          <w:noProof/>
        </w:rPr>
        <w:t>3</w:t>
      </w:r>
      <w:r>
        <w:rPr>
          <w:color w:val="000000"/>
        </w:rPr>
        <w:fldChar w:fldCharType="end"/>
      </w:r>
      <w:r w:rsidRPr="00BA4A9E">
        <w:rPr>
          <w:color w:val="000000"/>
        </w:rPr>
        <w:t>)</w:t>
      </w:r>
      <w:r>
        <w:rPr>
          <w:color w:val="000000"/>
        </w:rPr>
        <w:t xml:space="preserve"> and</w:t>
      </w:r>
      <w:r w:rsidRPr="00BA4A9E">
        <w:rPr>
          <w:color w:val="000000"/>
        </w:rPr>
        <w:t xml:space="preserve"> histopathological diagnosis (</w:t>
      </w:r>
      <w:r>
        <w:rPr>
          <w:color w:val="000000"/>
        </w:rPr>
        <w:fldChar w:fldCharType="begin"/>
      </w:r>
      <w:r>
        <w:rPr>
          <w:color w:val="000000"/>
        </w:rPr>
        <w:instrText xml:space="preserve"> REF _Ref391904822 \h </w:instrText>
      </w:r>
      <w:r>
        <w:rPr>
          <w:color w:val="000000"/>
        </w:rPr>
      </w:r>
      <w:r>
        <w:rPr>
          <w:color w:val="000000"/>
        </w:rPr>
        <w:fldChar w:fldCharType="separate"/>
      </w:r>
      <w:r w:rsidR="00673FBD">
        <w:t xml:space="preserve">Fig. </w:t>
      </w:r>
      <w:r w:rsidR="00673FBD">
        <w:rPr>
          <w:noProof/>
        </w:rPr>
        <w:t>4</w:t>
      </w:r>
      <w:r>
        <w:rPr>
          <w:color w:val="000000"/>
        </w:rPr>
        <w:fldChar w:fldCharType="end"/>
      </w:r>
      <w:r w:rsidRPr="00BA4A9E">
        <w:rPr>
          <w:color w:val="000000"/>
        </w:rPr>
        <w:t>)). 2,834 donors passed these criteria</w:t>
      </w:r>
      <w:r>
        <w:rPr>
          <w:color w:val="000000"/>
        </w:rPr>
        <w:t xml:space="preserve">, which were reduced to 2,658 </w:t>
      </w:r>
      <w:r w:rsidRPr="00BA4A9E">
        <w:rPr>
          <w:color w:val="000000"/>
        </w:rPr>
        <w:t xml:space="preserve">after an extensive quality control procedure (also described in </w:t>
      </w:r>
      <w:r w:rsidRPr="00F853C5">
        <w:rPr>
          <w:color w:val="000000"/>
        </w:rPr>
        <w:t xml:space="preserve">Campbell </w:t>
      </w:r>
      <w:r w:rsidRPr="00F853C5">
        <w:rPr>
          <w:i/>
          <w:color w:val="000000"/>
        </w:rPr>
        <w:t>et al</w:t>
      </w:r>
      <w:r w:rsidRPr="00F853C5">
        <w:rPr>
          <w:color w:val="000000"/>
        </w:rPr>
        <w:t>. (2017</w:t>
      </w:r>
      <w:r w:rsidRPr="00BA4A9E">
        <w:rPr>
          <w:color w:val="000000"/>
        </w:rPr>
        <w:t>)</w:t>
      </w:r>
      <w:r w:rsidR="00D86E26">
        <w:rPr>
          <w:color w:val="000000"/>
        </w:rPr>
        <w:fldChar w:fldCharType="begin"/>
      </w:r>
      <w:r w:rsidR="00D86E26">
        <w:rPr>
          <w:color w:val="000000"/>
        </w:rPr>
        <w:instrText xml:space="preserve"> ADDIN EN.CITE &lt;EndNote&gt;&lt;Cite&gt;&lt;Author&gt;Campbell&lt;/Author&gt;&lt;Year&gt;2017&lt;/Year&gt;&lt;RecNum&gt;36&lt;/RecNum&gt;&lt;DisplayText&gt;&lt;style face="superscript"&gt;1&lt;/style&gt;&lt;/DisplayText&gt;&lt;record&gt;&lt;rec-number&gt;36&lt;/rec-number&gt;&lt;foreign-keys&gt;&lt;key app="EN" db-id="swsz0f55g50w9yex0aqvtfdxarrpzt5z00pd" timestamp="1511189663"&gt;36&lt;/key&gt;&lt;/foreign-keys&gt;&lt;ref-type name="Journal Article"&gt;17&lt;/ref-type&gt;&lt;contributors&gt;&lt;authors&gt;&lt;author&gt;Campbell, Peter J.&lt;/author&gt;&lt;author&gt;Getz, Gad&lt;/author&gt;&lt;author&gt;Stuart, Joshua M.&lt;/author&gt;&lt;author&gt;Korbel, Jan O.&lt;/author&gt;&lt;author&gt;Stein, Lincoln D.&lt;/author&gt;&lt;/authors&gt;&lt;/contributors&gt;&lt;titles&gt;&lt;title&gt;Pan-cancer analysis of whole genomes&lt;/title&gt;&lt;secondary-title&gt;bioRxiv&lt;/secondary-title&gt;&lt;/titles&gt;&lt;periodical&gt;&lt;full-title&gt;bioRxiv&lt;/full-title&gt;&lt;/periodical&gt;&lt;dates&gt;&lt;year&gt;2017&lt;/year&gt;&lt;/dates&gt;&lt;urls&gt;&lt;/urls&gt;&lt;electronic-resource-num&gt;10.1101/162784&lt;/electronic-resource-num&gt;&lt;/record&gt;&lt;/Cite&gt;&lt;/EndNote&gt;</w:instrText>
      </w:r>
      <w:r w:rsidR="00D86E26">
        <w:rPr>
          <w:color w:val="000000"/>
        </w:rPr>
        <w:fldChar w:fldCharType="separate"/>
      </w:r>
      <w:r w:rsidR="00D86E26" w:rsidRPr="00D86E26">
        <w:rPr>
          <w:noProof/>
          <w:color w:val="000000"/>
          <w:vertAlign w:val="superscript"/>
        </w:rPr>
        <w:t>1</w:t>
      </w:r>
      <w:r w:rsidR="00D86E26">
        <w:rPr>
          <w:color w:val="000000"/>
        </w:rPr>
        <w:fldChar w:fldCharType="end"/>
      </w:r>
      <w:r w:rsidRPr="00BA4A9E">
        <w:rPr>
          <w:color w:val="000000"/>
        </w:rPr>
        <w:t xml:space="preserve">). </w:t>
      </w:r>
      <w:r>
        <w:rPr>
          <w:color w:val="000000"/>
        </w:rPr>
        <w:t xml:space="preserve">In total, 2,778 cancer samples from these </w:t>
      </w:r>
      <w:r w:rsidRPr="00BA4A9E">
        <w:rPr>
          <w:color w:val="000000"/>
        </w:rPr>
        <w:t xml:space="preserve">2,658 </w:t>
      </w:r>
      <w:r>
        <w:rPr>
          <w:color w:val="000000"/>
        </w:rPr>
        <w:t>distinct donors were included in the final dataset, comprising</w:t>
      </w:r>
      <w:r w:rsidRPr="00BA4A9E">
        <w:rPr>
          <w:color w:val="000000"/>
        </w:rPr>
        <w:t xml:space="preserve"> 2,605 primary tumours and 173 metastases or recurrences (</w:t>
      </w:r>
      <w:r>
        <w:rPr>
          <w:color w:val="000000"/>
        </w:rPr>
        <w:fldChar w:fldCharType="begin"/>
      </w:r>
      <w:r>
        <w:rPr>
          <w:color w:val="000000"/>
        </w:rPr>
        <w:instrText xml:space="preserve"> REF _Ref391904822 \h </w:instrText>
      </w:r>
      <w:r>
        <w:rPr>
          <w:color w:val="000000"/>
        </w:rPr>
      </w:r>
      <w:r>
        <w:rPr>
          <w:color w:val="000000"/>
        </w:rPr>
        <w:fldChar w:fldCharType="separate"/>
      </w:r>
      <w:r w:rsidR="00673FBD">
        <w:t xml:space="preserve">Fig. </w:t>
      </w:r>
      <w:r w:rsidR="00673FBD">
        <w:rPr>
          <w:noProof/>
        </w:rPr>
        <w:t>4</w:t>
      </w:r>
      <w:r>
        <w:rPr>
          <w:color w:val="000000"/>
        </w:rPr>
        <w:fldChar w:fldCharType="end"/>
      </w:r>
      <w:r w:rsidRPr="00BA4A9E">
        <w:rPr>
          <w:color w:val="000000"/>
        </w:rPr>
        <w:t>).</w:t>
      </w:r>
    </w:p>
    <w:p w14:paraId="0F98E6EB" w14:textId="77777777" w:rsidR="00E80D87" w:rsidRPr="00BA4A9E" w:rsidRDefault="00E80D87" w:rsidP="00E80D87">
      <w:pPr>
        <w:spacing w:line="360" w:lineRule="auto"/>
        <w:jc w:val="both"/>
        <w:rPr>
          <w:color w:val="000000"/>
        </w:rPr>
      </w:pPr>
    </w:p>
    <w:p w14:paraId="77DF8E33" w14:textId="7B904BB5" w:rsidR="00E80D87" w:rsidRDefault="00E80D87" w:rsidP="00E80D87">
      <w:pPr>
        <w:spacing w:line="360" w:lineRule="auto"/>
        <w:jc w:val="both"/>
        <w:rPr>
          <w:color w:val="000000"/>
        </w:rPr>
      </w:pPr>
      <w:r>
        <w:rPr>
          <w:color w:val="000000"/>
        </w:rPr>
        <w:t>Primary</w:t>
      </w:r>
      <w:r w:rsidRPr="00BA4A9E">
        <w:rPr>
          <w:color w:val="000000"/>
        </w:rPr>
        <w:t xml:space="preserve"> clinical annotations (age, sex and cancer type) </w:t>
      </w:r>
      <w:r>
        <w:rPr>
          <w:color w:val="000000"/>
        </w:rPr>
        <w:t>were</w:t>
      </w:r>
      <w:r w:rsidRPr="00BA4A9E">
        <w:rPr>
          <w:color w:val="000000"/>
        </w:rPr>
        <w:t xml:space="preserve"> available for all tumours</w:t>
      </w:r>
      <w:r>
        <w:rPr>
          <w:color w:val="000000"/>
        </w:rPr>
        <w:t>, with a handful of exceptions.</w:t>
      </w:r>
      <w:r w:rsidRPr="00BA4A9E">
        <w:rPr>
          <w:color w:val="000000"/>
        </w:rPr>
        <w:t xml:space="preserve"> </w:t>
      </w:r>
      <w:r>
        <w:rPr>
          <w:color w:val="000000"/>
        </w:rPr>
        <w:t>Tumour stage and grade were available for 1,580 and 1,472 tumours respectively (</w:t>
      </w:r>
      <w:r>
        <w:rPr>
          <w:color w:val="000000"/>
        </w:rPr>
        <w:fldChar w:fldCharType="begin"/>
      </w:r>
      <w:r>
        <w:rPr>
          <w:color w:val="000000"/>
        </w:rPr>
        <w:instrText xml:space="preserve"> REF _Ref391904838 \h </w:instrText>
      </w:r>
      <w:r>
        <w:rPr>
          <w:color w:val="000000"/>
        </w:rPr>
      </w:r>
      <w:r>
        <w:rPr>
          <w:color w:val="000000"/>
        </w:rPr>
        <w:fldChar w:fldCharType="separate"/>
      </w:r>
      <w:r w:rsidR="00673FBD">
        <w:t xml:space="preserve">Fig. </w:t>
      </w:r>
      <w:r w:rsidR="00673FBD">
        <w:rPr>
          <w:noProof/>
        </w:rPr>
        <w:t>5</w:t>
      </w:r>
      <w:r>
        <w:rPr>
          <w:color w:val="000000"/>
        </w:rPr>
        <w:fldChar w:fldCharType="end"/>
      </w:r>
      <w:r>
        <w:rPr>
          <w:color w:val="000000"/>
        </w:rPr>
        <w:t>), while</w:t>
      </w:r>
      <w:r w:rsidDel="0070106C">
        <w:rPr>
          <w:color w:val="000000"/>
        </w:rPr>
        <w:t xml:space="preserve"> </w:t>
      </w:r>
      <w:r>
        <w:rPr>
          <w:color w:val="000000"/>
        </w:rPr>
        <w:t>t</w:t>
      </w:r>
      <w:r w:rsidRPr="00BA4A9E">
        <w:rPr>
          <w:color w:val="000000"/>
        </w:rPr>
        <w:t xml:space="preserve">reatment annotations </w:t>
      </w:r>
      <w:r>
        <w:rPr>
          <w:color w:val="000000"/>
        </w:rPr>
        <w:t>were</w:t>
      </w:r>
      <w:r w:rsidRPr="00BA4A9E">
        <w:rPr>
          <w:color w:val="000000"/>
        </w:rPr>
        <w:t xml:space="preserve"> available for </w:t>
      </w:r>
      <w:r>
        <w:rPr>
          <w:color w:val="000000"/>
        </w:rPr>
        <w:t>1,655</w:t>
      </w:r>
      <w:r w:rsidRPr="00BA4A9E">
        <w:rPr>
          <w:color w:val="000000"/>
        </w:rPr>
        <w:t xml:space="preserve"> cases (</w:t>
      </w:r>
      <w:r>
        <w:rPr>
          <w:color w:val="000000"/>
        </w:rPr>
        <w:fldChar w:fldCharType="begin"/>
      </w:r>
      <w:r>
        <w:rPr>
          <w:color w:val="000000"/>
        </w:rPr>
        <w:instrText xml:space="preserve"> REF _Ref391904843 \h </w:instrText>
      </w:r>
      <w:r>
        <w:rPr>
          <w:color w:val="000000"/>
        </w:rPr>
      </w:r>
      <w:r>
        <w:rPr>
          <w:color w:val="000000"/>
        </w:rPr>
        <w:fldChar w:fldCharType="separate"/>
      </w:r>
      <w:r w:rsidR="00673FBD" w:rsidRPr="00E80D87">
        <w:t xml:space="preserve">Fig. </w:t>
      </w:r>
      <w:r w:rsidR="00673FBD">
        <w:rPr>
          <w:noProof/>
        </w:rPr>
        <w:t>6</w:t>
      </w:r>
      <w:r>
        <w:rPr>
          <w:color w:val="000000"/>
        </w:rPr>
        <w:fldChar w:fldCharType="end"/>
      </w:r>
      <w:r w:rsidRPr="00BA4A9E">
        <w:rPr>
          <w:color w:val="000000"/>
        </w:rPr>
        <w:t>).</w:t>
      </w:r>
      <w:r>
        <w:rPr>
          <w:color w:val="000000"/>
        </w:rPr>
        <w:t xml:space="preserve"> Where treatment status was reported, the majority of samples fell into the “no treatment” category. In cases where treatment was specified, categories included “surgery”, “chemotherapy”, “chemotherapy + radiation therapy” and “other”, of which “other” was the most common (</w:t>
      </w:r>
      <w:r>
        <w:rPr>
          <w:color w:val="000000"/>
        </w:rPr>
        <w:fldChar w:fldCharType="begin"/>
      </w:r>
      <w:r>
        <w:rPr>
          <w:color w:val="000000"/>
        </w:rPr>
        <w:instrText xml:space="preserve"> REF _Ref391904886 \h </w:instrText>
      </w:r>
      <w:r>
        <w:rPr>
          <w:color w:val="000000"/>
        </w:rPr>
      </w:r>
      <w:r>
        <w:rPr>
          <w:color w:val="000000"/>
        </w:rPr>
        <w:fldChar w:fldCharType="separate"/>
      </w:r>
      <w:r w:rsidR="00673FBD">
        <w:t xml:space="preserve">Fig. </w:t>
      </w:r>
      <w:r w:rsidR="00673FBD">
        <w:rPr>
          <w:noProof/>
        </w:rPr>
        <w:t>7</w:t>
      </w:r>
      <w:r>
        <w:rPr>
          <w:color w:val="000000"/>
        </w:rPr>
        <w:fldChar w:fldCharType="end"/>
      </w:r>
      <w:r>
        <w:rPr>
          <w:color w:val="000000"/>
        </w:rPr>
        <w:t xml:space="preserve">). It should be noted that it was not always possible to determine whether this treatment was received before or </w:t>
      </w:r>
      <w:r>
        <w:rPr>
          <w:color w:val="000000"/>
        </w:rPr>
        <w:lastRenderedPageBreak/>
        <w:t xml:space="preserve">after sampling. </w:t>
      </w:r>
      <w:r w:rsidRPr="00BA4A9E">
        <w:rPr>
          <w:color w:val="000000"/>
        </w:rPr>
        <w:t xml:space="preserve">Survival data </w:t>
      </w:r>
      <w:r>
        <w:rPr>
          <w:color w:val="000000"/>
        </w:rPr>
        <w:t>wa</w:t>
      </w:r>
      <w:r w:rsidRPr="00BA4A9E">
        <w:rPr>
          <w:color w:val="000000"/>
        </w:rPr>
        <w:t xml:space="preserve">s available for </w:t>
      </w:r>
      <w:r>
        <w:rPr>
          <w:color w:val="000000"/>
        </w:rPr>
        <w:t>1,007 cas</w:t>
      </w:r>
      <w:r w:rsidRPr="00BA4A9E">
        <w:rPr>
          <w:color w:val="000000"/>
        </w:rPr>
        <w:t>es (</w:t>
      </w:r>
      <w:r>
        <w:rPr>
          <w:color w:val="000000"/>
        </w:rPr>
        <w:fldChar w:fldCharType="begin"/>
      </w:r>
      <w:r>
        <w:rPr>
          <w:color w:val="000000"/>
        </w:rPr>
        <w:instrText xml:space="preserve"> REF _Ref391904892 \h </w:instrText>
      </w:r>
      <w:r>
        <w:rPr>
          <w:color w:val="000000"/>
        </w:rPr>
      </w:r>
      <w:r>
        <w:rPr>
          <w:color w:val="000000"/>
        </w:rPr>
        <w:fldChar w:fldCharType="separate"/>
      </w:r>
      <w:r w:rsidR="00673FBD">
        <w:t xml:space="preserve">Fig. </w:t>
      </w:r>
      <w:r w:rsidR="00673FBD">
        <w:rPr>
          <w:noProof/>
        </w:rPr>
        <w:t>8</w:t>
      </w:r>
      <w:r>
        <w:rPr>
          <w:color w:val="000000"/>
        </w:rPr>
        <w:fldChar w:fldCharType="end"/>
      </w:r>
      <w:r>
        <w:rPr>
          <w:color w:val="000000"/>
        </w:rPr>
        <w:t xml:space="preserve">). Despite the fragmented availability of these clinical data pan-cancer, however, there can still be sufficient information for analysis within individual cohorts.  </w:t>
      </w:r>
    </w:p>
    <w:p w14:paraId="565F29A5" w14:textId="77777777" w:rsidR="00E80D87" w:rsidRPr="00BA4A9E" w:rsidRDefault="00E80D87" w:rsidP="00E80D87">
      <w:pPr>
        <w:spacing w:line="360" w:lineRule="auto"/>
        <w:jc w:val="both"/>
        <w:rPr>
          <w:color w:val="000000"/>
        </w:rPr>
      </w:pPr>
    </w:p>
    <w:p w14:paraId="1BCD872B" w14:textId="78AD87E4" w:rsidR="00E80D87" w:rsidRPr="00BA4A9E" w:rsidRDefault="00E80D87" w:rsidP="00E80D87">
      <w:pPr>
        <w:spacing w:line="360" w:lineRule="auto"/>
        <w:jc w:val="both"/>
        <w:rPr>
          <w:color w:val="000000"/>
        </w:rPr>
      </w:pPr>
      <w:r w:rsidRPr="00BA4A9E">
        <w:rPr>
          <w:color w:val="000000"/>
        </w:rPr>
        <w:t>Purity and ploidy values (</w:t>
      </w:r>
      <w:r>
        <w:rPr>
          <w:color w:val="000000"/>
        </w:rPr>
        <w:fldChar w:fldCharType="begin"/>
      </w:r>
      <w:r>
        <w:rPr>
          <w:color w:val="000000"/>
        </w:rPr>
        <w:instrText xml:space="preserve"> REF _Ref391904899 \h </w:instrText>
      </w:r>
      <w:r>
        <w:rPr>
          <w:color w:val="000000"/>
        </w:rPr>
      </w:r>
      <w:r>
        <w:rPr>
          <w:color w:val="000000"/>
        </w:rPr>
        <w:fldChar w:fldCharType="separate"/>
      </w:r>
      <w:r w:rsidR="00673FBD" w:rsidRPr="00E80D87">
        <w:t xml:space="preserve">Fig. </w:t>
      </w:r>
      <w:r w:rsidR="00673FBD">
        <w:rPr>
          <w:noProof/>
        </w:rPr>
        <w:t>9</w:t>
      </w:r>
      <w:r>
        <w:rPr>
          <w:color w:val="000000"/>
        </w:rPr>
        <w:fldChar w:fldCharType="end"/>
      </w:r>
      <w:r w:rsidRPr="00BA4A9E">
        <w:rPr>
          <w:color w:val="000000"/>
        </w:rPr>
        <w:t>)</w:t>
      </w:r>
      <w:r>
        <w:rPr>
          <w:color w:val="000000"/>
        </w:rPr>
        <w:t>,</w:t>
      </w:r>
      <w:r w:rsidRPr="00BA4A9E">
        <w:rPr>
          <w:color w:val="000000"/>
        </w:rPr>
        <w:t xml:space="preserve"> a</w:t>
      </w:r>
      <w:r>
        <w:rPr>
          <w:color w:val="000000"/>
        </w:rPr>
        <w:t>s well as</w:t>
      </w:r>
      <w:r w:rsidRPr="00BA4A9E">
        <w:rPr>
          <w:color w:val="000000"/>
        </w:rPr>
        <w:t xml:space="preserve"> whole genome duplication status (</w:t>
      </w:r>
      <w:r>
        <w:rPr>
          <w:color w:val="000000"/>
        </w:rPr>
        <w:fldChar w:fldCharType="begin"/>
      </w:r>
      <w:r>
        <w:rPr>
          <w:color w:val="000000"/>
        </w:rPr>
        <w:instrText xml:space="preserve"> REF _Ref391904908 \h </w:instrText>
      </w:r>
      <w:r>
        <w:rPr>
          <w:color w:val="000000"/>
        </w:rPr>
      </w:r>
      <w:r>
        <w:rPr>
          <w:color w:val="000000"/>
        </w:rPr>
        <w:fldChar w:fldCharType="separate"/>
      </w:r>
      <w:r w:rsidR="00673FBD">
        <w:t xml:space="preserve">Fig. </w:t>
      </w:r>
      <w:r w:rsidR="00673FBD">
        <w:rPr>
          <w:noProof/>
        </w:rPr>
        <w:t>10</w:t>
      </w:r>
      <w:r>
        <w:rPr>
          <w:color w:val="000000"/>
        </w:rPr>
        <w:fldChar w:fldCharType="end"/>
      </w:r>
      <w:r w:rsidRPr="00BA4A9E">
        <w:rPr>
          <w:color w:val="000000"/>
        </w:rPr>
        <w:t>)</w:t>
      </w:r>
      <w:r>
        <w:rPr>
          <w:color w:val="000000"/>
        </w:rPr>
        <w:t>,</w:t>
      </w:r>
      <w:r w:rsidRPr="00BA4A9E">
        <w:rPr>
          <w:color w:val="000000"/>
        </w:rPr>
        <w:t xml:space="preserve"> </w:t>
      </w:r>
      <w:r>
        <w:rPr>
          <w:color w:val="000000"/>
        </w:rPr>
        <w:t xml:space="preserve">were </w:t>
      </w:r>
      <w:r w:rsidRPr="00BA4A9E">
        <w:rPr>
          <w:color w:val="000000"/>
        </w:rPr>
        <w:t>estimated via a consensus approach based on 6 CNA callers</w:t>
      </w:r>
      <w:r>
        <w:rPr>
          <w:color w:val="000000"/>
        </w:rPr>
        <w:t xml:space="preserve">, </w:t>
      </w:r>
      <w:r w:rsidRPr="00BA4A9E">
        <w:rPr>
          <w:color w:val="000000"/>
        </w:rPr>
        <w:t xml:space="preserve">as described </w:t>
      </w:r>
      <w:r>
        <w:rPr>
          <w:color w:val="000000"/>
        </w:rPr>
        <w:t>further below.</w:t>
      </w:r>
    </w:p>
    <w:p w14:paraId="63F5279F" w14:textId="2F3EE0A2" w:rsidR="00E80D87" w:rsidRDefault="00E80D87" w:rsidP="00E80D87">
      <w:pPr>
        <w:keepNext/>
        <w:jc w:val="both"/>
      </w:pPr>
      <w:r w:rsidRPr="00BA4A9E">
        <w:rPr>
          <w:noProof/>
          <w:lang w:eastAsia="en-GB"/>
        </w:rPr>
        <w:drawing>
          <wp:inline distT="0" distB="0" distL="0" distR="0" wp14:anchorId="1A3C6485" wp14:editId="28FCD00C">
            <wp:extent cx="5270500" cy="4388981"/>
            <wp:effectExtent l="0" t="0" r="0" b="5715"/>
            <wp:docPr id="9" name="Picture 9" descr="/Users/dentros/Documents/projects/icgc/icgc_paper_figures/evo_paper_coverage_distribution/coverage_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entros/Documents/projects/icgc/icgc_paper_figures/evo_paper_coverage_distribution/coverage_overview.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500" cy="4388981"/>
                    </a:xfrm>
                    <a:prstGeom prst="rect">
                      <a:avLst/>
                    </a:prstGeom>
                    <a:noFill/>
                    <a:ln>
                      <a:noFill/>
                    </a:ln>
                  </pic:spPr>
                </pic:pic>
              </a:graphicData>
            </a:graphic>
          </wp:inline>
        </w:drawing>
      </w:r>
    </w:p>
    <w:p w14:paraId="4DA0FE70" w14:textId="59C4B416" w:rsidR="00E80D87" w:rsidRPr="00E80D87" w:rsidRDefault="00E80D87" w:rsidP="00E80D87">
      <w:pPr>
        <w:pStyle w:val="Caption"/>
      </w:pPr>
      <w:bookmarkStart w:id="11" w:name="_Ref391904797"/>
      <w:r w:rsidRPr="00E80D87">
        <w:t xml:space="preserve">Fig. </w:t>
      </w:r>
      <w:r w:rsidR="001003E9">
        <w:fldChar w:fldCharType="begin"/>
      </w:r>
      <w:r w:rsidR="001003E9">
        <w:instrText xml:space="preserve"> SEQ Fig. \* ARABIC </w:instrText>
      </w:r>
      <w:r w:rsidR="001003E9">
        <w:fldChar w:fldCharType="separate"/>
      </w:r>
      <w:r w:rsidR="00673FBD">
        <w:rPr>
          <w:noProof/>
        </w:rPr>
        <w:t>1</w:t>
      </w:r>
      <w:r w:rsidR="001003E9">
        <w:rPr>
          <w:noProof/>
        </w:rPr>
        <w:fldChar w:fldCharType="end"/>
      </w:r>
      <w:bookmarkEnd w:id="11"/>
      <w:r w:rsidRPr="00E80D87">
        <w:t xml:space="preserve"> </w:t>
      </w:r>
      <w:r w:rsidRPr="00E80D87">
        <w:rPr>
          <w:b/>
        </w:rPr>
        <w:t>Coverage of tumour and normal samples, split per cancer type.</w:t>
      </w:r>
      <w:r w:rsidRPr="00E80D87">
        <w:t xml:space="preserve"> Tumour samples were required to be sequenced to a spec of 30x, normal samples at 25x. After alignment, the mean depth (shown on the y-axis) for nearly all samples meet these criteria. Tumour samples have a mean coverage of 48.6, normal 36.4. 7 tumours with a coverage over 110x have been omitted from this figure.</w:t>
      </w:r>
    </w:p>
    <w:p w14:paraId="2EE34EAE" w14:textId="77777777" w:rsidR="00E80D87" w:rsidRDefault="00E80D87" w:rsidP="00E80D87">
      <w:pPr>
        <w:pStyle w:val="Caption"/>
        <w:keepNext/>
      </w:pPr>
      <w:r w:rsidRPr="00BA4A9E">
        <w:rPr>
          <w:rFonts w:cs="Times New Roman"/>
          <w:noProof/>
          <w:lang w:val="en-GB" w:eastAsia="en-GB"/>
        </w:rPr>
        <w:lastRenderedPageBreak/>
        <w:drawing>
          <wp:inline distT="0" distB="0" distL="0" distR="0" wp14:anchorId="4F6B3553" wp14:editId="03542B2C">
            <wp:extent cx="5270500" cy="3510851"/>
            <wp:effectExtent l="0" t="0" r="0" b="0"/>
            <wp:docPr id="14" name="Picture 14" descr="/Users/dentros/Documents/projects/icgc/icgc_paper_figures/evo_paper_age_distribution/age_diagnosis_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entros/Documents/projects/icgc/icgc_paper_figures/evo_paper_age_distribution/age_diagnosis_overview.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3510851"/>
                    </a:xfrm>
                    <a:prstGeom prst="rect">
                      <a:avLst/>
                    </a:prstGeom>
                    <a:noFill/>
                    <a:ln>
                      <a:noFill/>
                    </a:ln>
                  </pic:spPr>
                </pic:pic>
              </a:graphicData>
            </a:graphic>
          </wp:inline>
        </w:drawing>
      </w:r>
    </w:p>
    <w:p w14:paraId="344DE8D4" w14:textId="1B9BF683" w:rsidR="00E80D87" w:rsidRPr="00BA4A9E" w:rsidRDefault="00E80D87" w:rsidP="00E80D87">
      <w:pPr>
        <w:pStyle w:val="Caption"/>
        <w:rPr>
          <w:rFonts w:cs="Times New Roman"/>
        </w:rPr>
      </w:pPr>
      <w:bookmarkStart w:id="12" w:name="_Ref391904808"/>
      <w:r>
        <w:t xml:space="preserve">Fig. </w:t>
      </w:r>
      <w:r w:rsidR="001003E9">
        <w:fldChar w:fldCharType="begin"/>
      </w:r>
      <w:r w:rsidR="001003E9">
        <w:instrText xml:space="preserve"> SEQ Fig. \* ARABIC </w:instrText>
      </w:r>
      <w:r w:rsidR="001003E9">
        <w:fldChar w:fldCharType="separate"/>
      </w:r>
      <w:r w:rsidR="00673FBD">
        <w:rPr>
          <w:noProof/>
        </w:rPr>
        <w:t>2</w:t>
      </w:r>
      <w:r w:rsidR="001003E9">
        <w:rPr>
          <w:noProof/>
        </w:rPr>
        <w:fldChar w:fldCharType="end"/>
      </w:r>
      <w:bookmarkEnd w:id="12"/>
      <w:r w:rsidRPr="00E80D87">
        <w:rPr>
          <w:b/>
          <w:bCs/>
          <w:shd w:val="clear" w:color="auto" w:fill="FFFFFF"/>
        </w:rPr>
        <w:t xml:space="preserve"> </w:t>
      </w:r>
      <w:r w:rsidRPr="00FA3932">
        <w:rPr>
          <w:b/>
          <w:bCs/>
          <w:shd w:val="clear" w:color="auto" w:fill="FFFFFF"/>
        </w:rPr>
        <w:t xml:space="preserve">Age of diagnosis distribution across cancer types. </w:t>
      </w:r>
      <w:r w:rsidRPr="00FA3932">
        <w:rPr>
          <w:shd w:val="clear" w:color="auto" w:fill="FFFFFF"/>
        </w:rPr>
        <w:t>These data are provided by the individual projects and have been systematically collected.</w:t>
      </w:r>
    </w:p>
    <w:p w14:paraId="5D4D1FB1" w14:textId="77777777" w:rsidR="00E80D87" w:rsidRDefault="00E80D87" w:rsidP="00E80D87">
      <w:pPr>
        <w:pStyle w:val="Caption"/>
        <w:keepNext/>
      </w:pPr>
      <w:r w:rsidRPr="00BA4A9E">
        <w:rPr>
          <w:rFonts w:cs="Times New Roman"/>
          <w:noProof/>
          <w:lang w:val="en-GB" w:eastAsia="en-GB"/>
        </w:rPr>
        <w:drawing>
          <wp:inline distT="0" distB="0" distL="0" distR="0" wp14:anchorId="4EA78CF2" wp14:editId="615631C3">
            <wp:extent cx="5270500" cy="3165679"/>
            <wp:effectExtent l="0" t="0" r="0" b="9525"/>
            <wp:docPr id="17" name="Picture 17" descr="/Users/dentros/Documents/projects/icgc/icgc_paper_figures/evo_paper_sex/sex_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entros/Documents/projects/icgc/icgc_paper_figures/evo_paper_sex/sex_overview.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3165679"/>
                    </a:xfrm>
                    <a:prstGeom prst="rect">
                      <a:avLst/>
                    </a:prstGeom>
                    <a:noFill/>
                    <a:ln>
                      <a:noFill/>
                    </a:ln>
                  </pic:spPr>
                </pic:pic>
              </a:graphicData>
            </a:graphic>
          </wp:inline>
        </w:drawing>
      </w:r>
    </w:p>
    <w:p w14:paraId="447E716F" w14:textId="604B8074" w:rsidR="00E80D87" w:rsidRPr="00BA4A9E" w:rsidRDefault="00E80D87" w:rsidP="00E80D87">
      <w:pPr>
        <w:pStyle w:val="Caption"/>
        <w:rPr>
          <w:rFonts w:cs="Times New Roman"/>
        </w:rPr>
      </w:pPr>
      <w:bookmarkStart w:id="13" w:name="_Ref391904817"/>
      <w:r>
        <w:t xml:space="preserve">Fig. </w:t>
      </w:r>
      <w:r w:rsidR="001003E9">
        <w:fldChar w:fldCharType="begin"/>
      </w:r>
      <w:r w:rsidR="001003E9">
        <w:instrText xml:space="preserve"> SEQ Fig. \* ARABIC </w:instrText>
      </w:r>
      <w:r w:rsidR="001003E9">
        <w:fldChar w:fldCharType="separate"/>
      </w:r>
      <w:r w:rsidR="00673FBD">
        <w:rPr>
          <w:noProof/>
        </w:rPr>
        <w:t>3</w:t>
      </w:r>
      <w:r w:rsidR="001003E9">
        <w:rPr>
          <w:noProof/>
        </w:rPr>
        <w:fldChar w:fldCharType="end"/>
      </w:r>
      <w:bookmarkEnd w:id="13"/>
      <w:r w:rsidRPr="00E80D87">
        <w:rPr>
          <w:b/>
          <w:bCs/>
          <w:shd w:val="clear" w:color="auto" w:fill="FFFFFF"/>
        </w:rPr>
        <w:t xml:space="preserve"> </w:t>
      </w:r>
      <w:r w:rsidRPr="00FA3932">
        <w:rPr>
          <w:b/>
          <w:bCs/>
          <w:shd w:val="clear" w:color="auto" w:fill="FFFFFF"/>
        </w:rPr>
        <w:t xml:space="preserve">Sex distribution per cancer type. </w:t>
      </w:r>
      <w:r w:rsidRPr="00BA4A9E">
        <w:rPr>
          <w:b/>
          <w:bCs/>
          <w:shd w:val="clear" w:color="auto" w:fill="FFFFFF"/>
        </w:rPr>
        <w:t xml:space="preserve">Showing 1,207 female and 1,571 male donors. </w:t>
      </w:r>
      <w:r w:rsidRPr="00FA3932">
        <w:rPr>
          <w:shd w:val="clear" w:color="auto" w:fill="FFFFFF"/>
        </w:rPr>
        <w:t>These data are provided by the individual projects and have been systematically collected.</w:t>
      </w:r>
    </w:p>
    <w:p w14:paraId="41D27F0C" w14:textId="47DAD749" w:rsidR="00E80D87" w:rsidRPr="00FA3932" w:rsidRDefault="00E80D87" w:rsidP="00E80D87">
      <w:pPr>
        <w:jc w:val="center"/>
        <w:rPr>
          <w:sz w:val="20"/>
          <w:szCs w:val="20"/>
        </w:rPr>
      </w:pPr>
    </w:p>
    <w:p w14:paraId="4360D364" w14:textId="77777777" w:rsidR="00E80D87" w:rsidRPr="00FA3932" w:rsidRDefault="00E80D87" w:rsidP="00E80D87">
      <w:pPr>
        <w:rPr>
          <w:rFonts w:eastAsia="Times New Roman"/>
        </w:rPr>
      </w:pPr>
    </w:p>
    <w:p w14:paraId="749A699C" w14:textId="77777777" w:rsidR="00E80D87" w:rsidRPr="00BA4A9E" w:rsidRDefault="00E80D87" w:rsidP="00E80D87">
      <w:pPr>
        <w:pStyle w:val="Caption"/>
        <w:rPr>
          <w:rFonts w:cs="Times New Roman"/>
          <w:i w:val="0"/>
        </w:rPr>
      </w:pPr>
    </w:p>
    <w:p w14:paraId="1BE66D17" w14:textId="77777777" w:rsidR="00E80D87" w:rsidRDefault="00E80D87" w:rsidP="00E80D87">
      <w:pPr>
        <w:keepNext/>
      </w:pPr>
      <w:r w:rsidRPr="00BA4A9E">
        <w:rPr>
          <w:noProof/>
          <w:lang w:eastAsia="en-GB"/>
        </w:rPr>
        <w:lastRenderedPageBreak/>
        <w:drawing>
          <wp:inline distT="0" distB="0" distL="0" distR="0" wp14:anchorId="251AC6BA" wp14:editId="7C2B08D2">
            <wp:extent cx="5270500" cy="3692165"/>
            <wp:effectExtent l="0" t="0" r="0" b="0"/>
            <wp:docPr id="20" name="Picture 20" descr="/Users/dentros/Documents/projects/icgc/icgc_paper_figures/evo_paper_number_of_samples_figure/histology_tumour_co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entros/Documents/projects/icgc/icgc_paper_figures/evo_paper_number_of_samples_figure/histology_tumour_count.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3692165"/>
                    </a:xfrm>
                    <a:prstGeom prst="rect">
                      <a:avLst/>
                    </a:prstGeom>
                    <a:noFill/>
                    <a:ln>
                      <a:noFill/>
                    </a:ln>
                  </pic:spPr>
                </pic:pic>
              </a:graphicData>
            </a:graphic>
          </wp:inline>
        </w:drawing>
      </w:r>
    </w:p>
    <w:p w14:paraId="62D26E0C" w14:textId="4EFD6240" w:rsidR="00E80D87" w:rsidRPr="00BA4A9E" w:rsidRDefault="00E80D87" w:rsidP="00E80D87">
      <w:pPr>
        <w:pStyle w:val="Caption"/>
      </w:pPr>
      <w:bookmarkStart w:id="14" w:name="_Ref391904822"/>
      <w:r>
        <w:t xml:space="preserve">Fig. </w:t>
      </w:r>
      <w:r w:rsidR="001003E9">
        <w:fldChar w:fldCharType="begin"/>
      </w:r>
      <w:r w:rsidR="001003E9">
        <w:instrText xml:space="preserve"> SEQ Fig. \* ARABIC </w:instrText>
      </w:r>
      <w:r w:rsidR="001003E9">
        <w:fldChar w:fldCharType="separate"/>
      </w:r>
      <w:r w:rsidR="00673FBD">
        <w:rPr>
          <w:noProof/>
        </w:rPr>
        <w:t>4</w:t>
      </w:r>
      <w:r w:rsidR="001003E9">
        <w:rPr>
          <w:noProof/>
        </w:rPr>
        <w:fldChar w:fldCharType="end"/>
      </w:r>
      <w:bookmarkEnd w:id="14"/>
      <w:r w:rsidRPr="00E80D87">
        <w:rPr>
          <w:b/>
          <w:bCs/>
          <w:shd w:val="clear" w:color="auto" w:fill="FFFFFF"/>
        </w:rPr>
        <w:t xml:space="preserve"> </w:t>
      </w:r>
      <w:r w:rsidRPr="00BA4A9E">
        <w:rPr>
          <w:b/>
          <w:bCs/>
          <w:shd w:val="clear" w:color="auto" w:fill="FFFFFF"/>
        </w:rPr>
        <w:t xml:space="preserve">Number of samples per type of cancer. </w:t>
      </w:r>
      <w:r w:rsidRPr="00BA4A9E">
        <w:rPr>
          <w:shd w:val="clear" w:color="auto" w:fill="FFFFFF"/>
        </w:rPr>
        <w:t xml:space="preserve">Most cancer types consist of primary tumours, apart from </w:t>
      </w:r>
      <w:r>
        <w:rPr>
          <w:shd w:val="clear" w:color="auto" w:fill="FFFFFF"/>
        </w:rPr>
        <w:t>m</w:t>
      </w:r>
      <w:r w:rsidRPr="00BA4A9E">
        <w:rPr>
          <w:shd w:val="clear" w:color="auto" w:fill="FFFFFF"/>
        </w:rPr>
        <w:t>elanomas, which are predominantly metastases. Nine cancer types contain over 100 samples, 20 cancer types fewer than 50.</w:t>
      </w:r>
    </w:p>
    <w:p w14:paraId="3DD49D3F" w14:textId="77777777" w:rsidR="00E80D87" w:rsidRPr="00BA4A9E" w:rsidRDefault="00E80D87" w:rsidP="00E80D87">
      <w:pPr>
        <w:keepNext/>
      </w:pPr>
    </w:p>
    <w:p w14:paraId="4A2439D2" w14:textId="77777777" w:rsidR="00E80D87" w:rsidRDefault="00E80D87" w:rsidP="00E80D87">
      <w:pPr>
        <w:keepNext/>
      </w:pPr>
      <w:r w:rsidRPr="00BA4A9E">
        <w:rPr>
          <w:noProof/>
          <w:lang w:eastAsia="en-GB"/>
        </w:rPr>
        <w:drawing>
          <wp:inline distT="0" distB="0" distL="0" distR="0" wp14:anchorId="3FDF1B3D" wp14:editId="2FB05461">
            <wp:extent cx="5270500" cy="4218089"/>
            <wp:effectExtent l="0" t="0" r="0" b="0"/>
            <wp:docPr id="224" name="Picture 224" descr="/Users/dentros/Documents/projects/icgc/icgc_paper_figures/evo_paper_stage_grade/stage_grade_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dentros/Documents/projects/icgc/icgc_paper_figures/evo_paper_stage_grade/stage_grade_overview.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4218089"/>
                    </a:xfrm>
                    <a:prstGeom prst="rect">
                      <a:avLst/>
                    </a:prstGeom>
                    <a:noFill/>
                    <a:ln>
                      <a:noFill/>
                    </a:ln>
                  </pic:spPr>
                </pic:pic>
              </a:graphicData>
            </a:graphic>
          </wp:inline>
        </w:drawing>
      </w:r>
    </w:p>
    <w:p w14:paraId="69FBA262" w14:textId="5D6C70B8" w:rsidR="00E80D87" w:rsidRPr="00BA4A9E" w:rsidRDefault="00E80D87" w:rsidP="00E80D87">
      <w:pPr>
        <w:pStyle w:val="Caption"/>
      </w:pPr>
      <w:bookmarkStart w:id="15" w:name="_Ref391904838"/>
      <w:r>
        <w:t xml:space="preserve">Fig. </w:t>
      </w:r>
      <w:r w:rsidR="001003E9">
        <w:fldChar w:fldCharType="begin"/>
      </w:r>
      <w:r w:rsidR="001003E9">
        <w:instrText xml:space="preserve"> SEQ Fig. \* ARABIC </w:instrText>
      </w:r>
      <w:r w:rsidR="001003E9">
        <w:fldChar w:fldCharType="separate"/>
      </w:r>
      <w:r w:rsidR="00673FBD">
        <w:rPr>
          <w:noProof/>
        </w:rPr>
        <w:t>5</w:t>
      </w:r>
      <w:r w:rsidR="001003E9">
        <w:rPr>
          <w:noProof/>
        </w:rPr>
        <w:fldChar w:fldCharType="end"/>
      </w:r>
      <w:bookmarkEnd w:id="15"/>
      <w:r w:rsidRPr="00E80D87">
        <w:rPr>
          <w:shd w:val="clear" w:color="auto" w:fill="FFFFFF"/>
        </w:rPr>
        <w:t xml:space="preserve"> </w:t>
      </w:r>
      <w:r w:rsidRPr="00E80D87">
        <w:rPr>
          <w:b/>
          <w:shd w:val="clear" w:color="auto" w:fill="FFFFFF"/>
        </w:rPr>
        <w:t>Overview of the proportion of tumours for which grade and stage information is available.</w:t>
      </w:r>
    </w:p>
    <w:p w14:paraId="17A459C0" w14:textId="77777777" w:rsidR="00E80D87" w:rsidRDefault="00E80D87" w:rsidP="00E80D87">
      <w:pPr>
        <w:keepNext/>
        <w:jc w:val="center"/>
      </w:pPr>
      <w:r w:rsidRPr="00BA4A9E">
        <w:rPr>
          <w:rFonts w:eastAsia="Times New Roman"/>
          <w:i/>
          <w:iCs/>
          <w:noProof/>
          <w:color w:val="0000FF"/>
          <w:sz w:val="20"/>
          <w:szCs w:val="20"/>
          <w:shd w:val="clear" w:color="auto" w:fill="FFFFFF"/>
          <w:lang w:eastAsia="en-GB"/>
        </w:rPr>
        <w:drawing>
          <wp:inline distT="0" distB="0" distL="0" distR="0" wp14:anchorId="5D1D22FE" wp14:editId="41D456FF">
            <wp:extent cx="3976546" cy="2648906"/>
            <wp:effectExtent l="0" t="0" r="11430" b="0"/>
            <wp:docPr id="226" name="Picture 226" descr="/Users/dentros/Documents/projects/icgc/icgc_paper_figures/evo_paper_treatment/treatment_type_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dentros/Documents/projects/icgc/icgc_paper_figures/evo_paper_treatment/treatment_type_overview.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97423" cy="2662813"/>
                    </a:xfrm>
                    <a:prstGeom prst="rect">
                      <a:avLst/>
                    </a:prstGeom>
                    <a:noFill/>
                    <a:ln>
                      <a:noFill/>
                    </a:ln>
                  </pic:spPr>
                </pic:pic>
              </a:graphicData>
            </a:graphic>
          </wp:inline>
        </w:drawing>
      </w:r>
    </w:p>
    <w:p w14:paraId="6A6C2080" w14:textId="3990A49E" w:rsidR="00E80D87" w:rsidRPr="00E80D87" w:rsidRDefault="00E80D87" w:rsidP="00E80D87">
      <w:pPr>
        <w:pStyle w:val="Caption"/>
      </w:pPr>
      <w:bookmarkStart w:id="16" w:name="_Ref391904843"/>
      <w:r w:rsidRPr="00E80D87">
        <w:t xml:space="preserve">Fig. </w:t>
      </w:r>
      <w:r w:rsidR="001003E9">
        <w:fldChar w:fldCharType="begin"/>
      </w:r>
      <w:r w:rsidR="001003E9">
        <w:instrText xml:space="preserve"> SEQ Fig. \* ARABIC </w:instrText>
      </w:r>
      <w:r w:rsidR="001003E9">
        <w:fldChar w:fldCharType="separate"/>
      </w:r>
      <w:r w:rsidR="00673FBD">
        <w:rPr>
          <w:noProof/>
        </w:rPr>
        <w:t>6</w:t>
      </w:r>
      <w:r w:rsidR="001003E9">
        <w:rPr>
          <w:noProof/>
        </w:rPr>
        <w:fldChar w:fldCharType="end"/>
      </w:r>
      <w:bookmarkEnd w:id="16"/>
      <w:r w:rsidRPr="00E80D87">
        <w:t xml:space="preserve"> </w:t>
      </w:r>
      <w:r w:rsidRPr="00E80D87">
        <w:rPr>
          <w:b/>
        </w:rPr>
        <w:t>Overview of treatment annotations.</w:t>
      </w:r>
      <w:r w:rsidRPr="00E80D87">
        <w:t xml:space="preserve"> Over half of the cases are annotated as “no treatment” or “surgery” only, while for 1000 cases there are no treatment annotations available.</w:t>
      </w:r>
    </w:p>
    <w:p w14:paraId="7A241B42" w14:textId="77777777" w:rsidR="00E80D87" w:rsidRPr="00BA4A9E" w:rsidRDefault="00E80D87" w:rsidP="00E80D87">
      <w:pPr>
        <w:jc w:val="center"/>
        <w:rPr>
          <w:rFonts w:eastAsia="Times New Roman"/>
          <w:i/>
          <w:iCs/>
          <w:color w:val="0000FF"/>
          <w:sz w:val="20"/>
          <w:szCs w:val="20"/>
          <w:shd w:val="clear" w:color="auto" w:fill="FFFFFF"/>
        </w:rPr>
      </w:pPr>
    </w:p>
    <w:p w14:paraId="3FF201E0" w14:textId="77777777" w:rsidR="00E80D87" w:rsidRDefault="00E80D87" w:rsidP="00E80D87">
      <w:pPr>
        <w:keepNext/>
        <w:jc w:val="center"/>
      </w:pPr>
      <w:r>
        <w:rPr>
          <w:rFonts w:eastAsia="Times New Roman"/>
          <w:noProof/>
          <w:sz w:val="20"/>
          <w:szCs w:val="20"/>
          <w:lang w:eastAsia="en-GB"/>
        </w:rPr>
        <w:lastRenderedPageBreak/>
        <w:drawing>
          <wp:inline distT="0" distB="0" distL="0" distR="0" wp14:anchorId="5BF44D2B" wp14:editId="5424FFC6">
            <wp:extent cx="5270500" cy="3165860"/>
            <wp:effectExtent l="0" t="0" r="0" b="9525"/>
            <wp:docPr id="227" name="Picture 227" descr="../../Documents/projects/icgc/icgc_paper_figures/evo_paper_treatment/survival_breakdown_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projects/icgc/icgc_paper_figures/evo_paper_treatment/survival_breakdown_overview.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3165860"/>
                    </a:xfrm>
                    <a:prstGeom prst="rect">
                      <a:avLst/>
                    </a:prstGeom>
                    <a:noFill/>
                    <a:ln>
                      <a:noFill/>
                    </a:ln>
                  </pic:spPr>
                </pic:pic>
              </a:graphicData>
            </a:graphic>
          </wp:inline>
        </w:drawing>
      </w:r>
    </w:p>
    <w:p w14:paraId="56369967" w14:textId="6FFD74F2" w:rsidR="00E80D87" w:rsidRPr="00E80D87" w:rsidRDefault="00E80D87" w:rsidP="00E80D87">
      <w:pPr>
        <w:pStyle w:val="Caption"/>
        <w:rPr>
          <w:b/>
        </w:rPr>
      </w:pPr>
      <w:bookmarkStart w:id="17" w:name="_Ref391904886"/>
      <w:r>
        <w:t xml:space="preserve">Fig. </w:t>
      </w:r>
      <w:r w:rsidR="001003E9">
        <w:fldChar w:fldCharType="begin"/>
      </w:r>
      <w:r w:rsidR="001003E9">
        <w:instrText xml:space="preserve"> SEQ Fig. \* ARABIC </w:instrText>
      </w:r>
      <w:r w:rsidR="001003E9">
        <w:fldChar w:fldCharType="separate"/>
      </w:r>
      <w:r w:rsidR="00673FBD">
        <w:rPr>
          <w:noProof/>
        </w:rPr>
        <w:t>7</w:t>
      </w:r>
      <w:r w:rsidR="001003E9">
        <w:rPr>
          <w:noProof/>
        </w:rPr>
        <w:fldChar w:fldCharType="end"/>
      </w:r>
      <w:bookmarkEnd w:id="17"/>
      <w:r w:rsidRPr="00E80D87">
        <w:rPr>
          <w:shd w:val="clear" w:color="auto" w:fill="FFFFFF"/>
        </w:rPr>
        <w:t xml:space="preserve"> </w:t>
      </w:r>
      <w:r w:rsidRPr="00E80D87">
        <w:rPr>
          <w:b/>
          <w:shd w:val="clear" w:color="auto" w:fill="FFFFFF"/>
        </w:rPr>
        <w:t>Treatment annotations per cancer type.</w:t>
      </w:r>
    </w:p>
    <w:p w14:paraId="5353E06F" w14:textId="77777777" w:rsidR="00E80D87" w:rsidRDefault="00E80D87" w:rsidP="00E80D87">
      <w:pPr>
        <w:keepNext/>
        <w:jc w:val="center"/>
      </w:pPr>
      <w:r w:rsidRPr="00BA4A9E">
        <w:rPr>
          <w:rFonts w:eastAsia="Times New Roman"/>
          <w:noProof/>
          <w:sz w:val="20"/>
          <w:szCs w:val="20"/>
          <w:lang w:eastAsia="en-GB"/>
        </w:rPr>
        <w:drawing>
          <wp:inline distT="0" distB="0" distL="0" distR="0" wp14:anchorId="3AE2B7CF" wp14:editId="5B914945">
            <wp:extent cx="5270500" cy="2639356"/>
            <wp:effectExtent l="0" t="0" r="0" b="2540"/>
            <wp:docPr id="228" name="Picture 228" descr="/Users/dentros/Documents/projects/icgc/icgc_paper_figures/evo_paper_treatment/survival_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dentros/Documents/projects/icgc/icgc_paper_figures/evo_paper_treatment/survival_overview.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0500" cy="2639356"/>
                    </a:xfrm>
                    <a:prstGeom prst="rect">
                      <a:avLst/>
                    </a:prstGeom>
                    <a:noFill/>
                    <a:ln>
                      <a:noFill/>
                    </a:ln>
                  </pic:spPr>
                </pic:pic>
              </a:graphicData>
            </a:graphic>
          </wp:inline>
        </w:drawing>
      </w:r>
    </w:p>
    <w:p w14:paraId="4FC6C779" w14:textId="4DE44BF5" w:rsidR="00E80D87" w:rsidRDefault="00E80D87" w:rsidP="00E80D87">
      <w:pPr>
        <w:pStyle w:val="Caption"/>
      </w:pPr>
      <w:bookmarkStart w:id="18" w:name="_Ref391904892"/>
      <w:r>
        <w:t xml:space="preserve">Fig. </w:t>
      </w:r>
      <w:r w:rsidR="001003E9">
        <w:fldChar w:fldCharType="begin"/>
      </w:r>
      <w:r w:rsidR="001003E9">
        <w:instrText xml:space="preserve"> SEQ Fig. \* ARABIC </w:instrText>
      </w:r>
      <w:r w:rsidR="001003E9">
        <w:fldChar w:fldCharType="separate"/>
      </w:r>
      <w:r w:rsidR="00673FBD">
        <w:rPr>
          <w:noProof/>
        </w:rPr>
        <w:t>8</w:t>
      </w:r>
      <w:r w:rsidR="001003E9">
        <w:rPr>
          <w:noProof/>
        </w:rPr>
        <w:fldChar w:fldCharType="end"/>
      </w:r>
      <w:bookmarkEnd w:id="18"/>
      <w:r w:rsidRPr="00E80D87">
        <w:rPr>
          <w:shd w:val="clear" w:color="auto" w:fill="FFFFFF"/>
        </w:rPr>
        <w:t xml:space="preserve"> </w:t>
      </w:r>
      <w:r w:rsidRPr="00E80D87">
        <w:rPr>
          <w:b/>
          <w:shd w:val="clear" w:color="auto" w:fill="FFFFFF"/>
        </w:rPr>
        <w:t>Proportion of cases with survival annotations per cancer type.</w:t>
      </w:r>
    </w:p>
    <w:p w14:paraId="0E8B4538" w14:textId="77777777" w:rsidR="00E80D87" w:rsidRDefault="00E80D87" w:rsidP="00E80D87">
      <w:pPr>
        <w:keepNext/>
      </w:pPr>
      <w:r>
        <w:rPr>
          <w:rFonts w:eastAsia="Times New Roman"/>
          <w:i/>
          <w:iCs/>
          <w:noProof/>
          <w:color w:val="0000FF"/>
          <w:sz w:val="20"/>
          <w:szCs w:val="20"/>
          <w:shd w:val="clear" w:color="auto" w:fill="FFFFFF"/>
          <w:lang w:eastAsia="en-GB"/>
        </w:rPr>
        <w:lastRenderedPageBreak/>
        <w:drawing>
          <wp:inline distT="0" distB="0" distL="0" distR="0" wp14:anchorId="39DE079E" wp14:editId="615B43A2">
            <wp:extent cx="5270500" cy="3516487"/>
            <wp:effectExtent l="0" t="0" r="0" b="0"/>
            <wp:docPr id="229" name="Picture 229" descr="../../Documents/projects/icgc/icgc_paper_figures/evo_paper_purity_ploidy/purity_ploidy_overview_manualedi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s/projects/icgc/icgc_paper_figures/evo_paper_purity_ploidy/purity_ploidy_overview_manualedits.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3516487"/>
                    </a:xfrm>
                    <a:prstGeom prst="rect">
                      <a:avLst/>
                    </a:prstGeom>
                    <a:noFill/>
                    <a:ln>
                      <a:noFill/>
                    </a:ln>
                  </pic:spPr>
                </pic:pic>
              </a:graphicData>
            </a:graphic>
          </wp:inline>
        </w:drawing>
      </w:r>
    </w:p>
    <w:p w14:paraId="6CFF0285" w14:textId="46535DAB" w:rsidR="00E80D87" w:rsidRPr="00E80D87" w:rsidRDefault="00E80D87" w:rsidP="00E80D87">
      <w:pPr>
        <w:pStyle w:val="Caption"/>
      </w:pPr>
      <w:bookmarkStart w:id="19" w:name="_Ref391904899"/>
      <w:r w:rsidRPr="00E80D87">
        <w:t xml:space="preserve">Fig. </w:t>
      </w:r>
      <w:r w:rsidR="001003E9">
        <w:fldChar w:fldCharType="begin"/>
      </w:r>
      <w:r w:rsidR="001003E9">
        <w:instrText xml:space="preserve"> SEQ Fig. \* ARABIC </w:instrText>
      </w:r>
      <w:r w:rsidR="001003E9">
        <w:fldChar w:fldCharType="separate"/>
      </w:r>
      <w:r w:rsidR="00673FBD">
        <w:rPr>
          <w:noProof/>
        </w:rPr>
        <w:t>9</w:t>
      </w:r>
      <w:r w:rsidR="001003E9">
        <w:rPr>
          <w:noProof/>
        </w:rPr>
        <w:fldChar w:fldCharType="end"/>
      </w:r>
      <w:bookmarkEnd w:id="19"/>
      <w:r w:rsidRPr="00E80D87">
        <w:t xml:space="preserve"> </w:t>
      </w:r>
      <w:r w:rsidRPr="00E80D87">
        <w:rPr>
          <w:b/>
        </w:rPr>
        <w:t>Ploidy (a) and purity (b) values across cancer types, sorted by median ploidy.</w:t>
      </w:r>
    </w:p>
    <w:p w14:paraId="0C74EF1C" w14:textId="77777777" w:rsidR="00E80D87" w:rsidRDefault="00E80D87" w:rsidP="00E80D87">
      <w:pPr>
        <w:keepNext/>
        <w:jc w:val="center"/>
      </w:pPr>
      <w:r w:rsidRPr="00BA4A9E">
        <w:rPr>
          <w:rFonts w:eastAsia="Times New Roman"/>
          <w:noProof/>
          <w:lang w:eastAsia="en-GB"/>
        </w:rPr>
        <w:drawing>
          <wp:inline distT="0" distB="0" distL="0" distR="0" wp14:anchorId="0F22218E" wp14:editId="6F4BFA7A">
            <wp:extent cx="5270500" cy="3355439"/>
            <wp:effectExtent l="0" t="0" r="0" b="0"/>
            <wp:docPr id="16" name="Picture 16" descr="/Users/dentros/Documents/projects/icgc/icgc_paper_figures/evo_paper_wgd_breakdown/wgd_status_break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dentros/Documents/projects/icgc/icgc_paper_figures/evo_paper_wgd_breakdown/wgd_status_breakdown.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3355439"/>
                    </a:xfrm>
                    <a:prstGeom prst="rect">
                      <a:avLst/>
                    </a:prstGeom>
                    <a:noFill/>
                    <a:ln>
                      <a:noFill/>
                    </a:ln>
                  </pic:spPr>
                </pic:pic>
              </a:graphicData>
            </a:graphic>
          </wp:inline>
        </w:drawing>
      </w:r>
    </w:p>
    <w:p w14:paraId="60A6D5AA" w14:textId="7B5FCEAB" w:rsidR="00E80D87" w:rsidRPr="0072060B" w:rsidRDefault="00E80D87" w:rsidP="00E80D87">
      <w:pPr>
        <w:pStyle w:val="Caption"/>
        <w:rPr>
          <w:shd w:val="clear" w:color="auto" w:fill="FFFFFF"/>
        </w:rPr>
      </w:pPr>
      <w:bookmarkStart w:id="20" w:name="_Ref391904908"/>
      <w:r>
        <w:t xml:space="preserve">Fig. </w:t>
      </w:r>
      <w:r w:rsidR="001003E9">
        <w:fldChar w:fldCharType="begin"/>
      </w:r>
      <w:r w:rsidR="001003E9">
        <w:instrText xml:space="preserve"> SEQ Fig. \* ARABIC </w:instrText>
      </w:r>
      <w:r w:rsidR="001003E9">
        <w:fldChar w:fldCharType="separate"/>
      </w:r>
      <w:r w:rsidR="00673FBD">
        <w:rPr>
          <w:noProof/>
        </w:rPr>
        <w:t>10</w:t>
      </w:r>
      <w:r w:rsidR="001003E9">
        <w:rPr>
          <w:noProof/>
        </w:rPr>
        <w:fldChar w:fldCharType="end"/>
      </w:r>
      <w:bookmarkEnd w:id="20"/>
      <w:r w:rsidRPr="00E80D87">
        <w:rPr>
          <w:shd w:val="clear" w:color="auto" w:fill="FFFFFF"/>
        </w:rPr>
        <w:t xml:space="preserve"> </w:t>
      </w:r>
      <w:r w:rsidRPr="00E80D87">
        <w:rPr>
          <w:b/>
          <w:shd w:val="clear" w:color="auto" w:fill="FFFFFF"/>
        </w:rPr>
        <w:t>Proportion of tumours with a whole genome duplication per cancer type.</w:t>
      </w:r>
    </w:p>
    <w:p w14:paraId="2C29F596" w14:textId="3174063A" w:rsidR="00E80D87" w:rsidRPr="00BA4A9E" w:rsidRDefault="00E80D87" w:rsidP="00E80D87">
      <w:pPr>
        <w:pStyle w:val="Caption"/>
        <w:jc w:val="center"/>
        <w:rPr>
          <w:rFonts w:eastAsia="Times New Roman"/>
        </w:rPr>
      </w:pPr>
    </w:p>
    <w:p w14:paraId="271F90B7" w14:textId="77777777" w:rsidR="00E80D87" w:rsidRPr="00BA4A9E" w:rsidRDefault="00E80D87" w:rsidP="00E80D87">
      <w:pPr>
        <w:pStyle w:val="NormalWeb"/>
        <w:spacing w:before="0" w:beforeAutospacing="0" w:after="0" w:afterAutospacing="0"/>
        <w:jc w:val="center"/>
        <w:rPr>
          <w:b/>
          <w:bCs/>
          <w:i/>
          <w:iCs/>
          <w:color w:val="0000FF"/>
          <w:shd w:val="clear" w:color="auto" w:fill="FFFFFF"/>
        </w:rPr>
      </w:pPr>
    </w:p>
    <w:p w14:paraId="00FF949A" w14:textId="77777777" w:rsidR="00E80D87" w:rsidRPr="00BA4A9E" w:rsidRDefault="00E80D87" w:rsidP="00E80D87">
      <w:pPr>
        <w:pStyle w:val="NormalWeb"/>
        <w:spacing w:before="0" w:beforeAutospacing="0" w:after="0" w:afterAutospacing="0"/>
        <w:rPr>
          <w:bCs/>
          <w:iCs/>
          <w:color w:val="0000FF"/>
          <w:shd w:val="clear" w:color="auto" w:fill="FFFFFF"/>
        </w:rPr>
      </w:pPr>
    </w:p>
    <w:p w14:paraId="67F47C6F" w14:textId="77777777" w:rsidR="00E80D87" w:rsidRPr="00E80D87" w:rsidRDefault="00E80D87" w:rsidP="00E80D87">
      <w:pPr>
        <w:pStyle w:val="Heading2"/>
        <w:spacing w:before="320" w:after="80" w:line="276" w:lineRule="auto"/>
        <w:rPr>
          <w:rFonts w:ascii="Times New Roman" w:hAnsi="Times New Roman" w:cs="Times New Roman"/>
          <w:lang w:val="en-GB"/>
        </w:rPr>
      </w:pPr>
      <w:bookmarkStart w:id="21" w:name="_Toc391904992"/>
      <w:r w:rsidRPr="00E80D87">
        <w:rPr>
          <w:rFonts w:ascii="Times New Roman" w:hAnsi="Times New Roman" w:cs="Times New Roman"/>
          <w:lang w:val="en-GB"/>
        </w:rPr>
        <w:lastRenderedPageBreak/>
        <w:t>0.2 Somatic SNV and indel</w:t>
      </w:r>
      <w:bookmarkEnd w:id="21"/>
    </w:p>
    <w:p w14:paraId="295699C6" w14:textId="00EB5C00" w:rsidR="00E80D87" w:rsidRDefault="00E80D87" w:rsidP="00D86E26">
      <w:pPr>
        <w:widowControl w:val="0"/>
        <w:autoSpaceDE w:val="0"/>
        <w:autoSpaceDN w:val="0"/>
        <w:adjustRightInd w:val="0"/>
        <w:spacing w:after="240" w:line="360" w:lineRule="atLeast"/>
        <w:jc w:val="both"/>
        <w:rPr>
          <w:color w:val="000000"/>
          <w:lang w:eastAsia="en-US"/>
        </w:rPr>
      </w:pPr>
      <w:r w:rsidRPr="00BA4A9E">
        <w:rPr>
          <w:color w:val="000000"/>
          <w:lang w:eastAsia="en-US"/>
        </w:rPr>
        <w:t xml:space="preserve">All sequencing data was collected and analysed through a series of standardised primary analysis pipelines to first realign reads to the same reference genome and subsequently call SNVs, indels and SVs, using a homogenised procedure, as is detailed in </w:t>
      </w:r>
      <w:r w:rsidRPr="002C4959">
        <w:rPr>
          <w:color w:val="000000"/>
          <w:lang w:eastAsia="en-US"/>
        </w:rPr>
        <w:t xml:space="preserve">Campbell </w:t>
      </w:r>
      <w:r w:rsidRPr="002C4959">
        <w:rPr>
          <w:i/>
          <w:color w:val="000000"/>
          <w:lang w:eastAsia="en-US"/>
        </w:rPr>
        <w:t>et al</w:t>
      </w:r>
      <w:r w:rsidRPr="002C4959">
        <w:rPr>
          <w:color w:val="000000"/>
          <w:lang w:eastAsia="en-US"/>
        </w:rPr>
        <w:t>. (2017</w:t>
      </w:r>
      <w:r w:rsidRPr="00BA4A9E">
        <w:rPr>
          <w:color w:val="000000"/>
          <w:lang w:eastAsia="en-US"/>
        </w:rPr>
        <w:t>)</w:t>
      </w:r>
      <w:r w:rsidR="00D86E26">
        <w:rPr>
          <w:color w:val="000000"/>
          <w:lang w:eastAsia="en-US"/>
        </w:rPr>
        <w:fldChar w:fldCharType="begin"/>
      </w:r>
      <w:r w:rsidR="00D86E26">
        <w:rPr>
          <w:color w:val="000000"/>
          <w:lang w:eastAsia="en-US"/>
        </w:rPr>
        <w:instrText xml:space="preserve"> ADDIN EN.CITE &lt;EndNote&gt;&lt;Cite&gt;&lt;Author&gt;Campbell&lt;/Author&gt;&lt;Year&gt;2017&lt;/Year&gt;&lt;RecNum&gt;36&lt;/RecNum&gt;&lt;DisplayText&gt;&lt;style face="superscript"&gt;1&lt;/style&gt;&lt;/DisplayText&gt;&lt;record&gt;&lt;rec-number&gt;36&lt;/rec-number&gt;&lt;foreign-keys&gt;&lt;key app="EN" db-id="swsz0f55g50w9yex0aqvtfdxarrpzt5z00pd" timestamp="1511189663"&gt;36&lt;/key&gt;&lt;/foreign-keys&gt;&lt;ref-type name="Journal Article"&gt;17&lt;/ref-type&gt;&lt;contributors&gt;&lt;authors&gt;&lt;author&gt;Campbell, Peter J.&lt;/author&gt;&lt;author&gt;Getz, Gad&lt;/author&gt;&lt;author&gt;Stuart, Joshua M.&lt;/author&gt;&lt;author&gt;Korbel, Jan O.&lt;/author&gt;&lt;author&gt;Stein, Lincoln D.&lt;/author&gt;&lt;/authors&gt;&lt;/contributors&gt;&lt;titles&gt;&lt;title&gt;Pan-cancer analysis of whole genomes&lt;/title&gt;&lt;secondary-title&gt;bioRxiv&lt;/secondary-title&gt;&lt;/titles&gt;&lt;periodical&gt;&lt;full-title&gt;bioRxiv&lt;/full-title&gt;&lt;/periodical&gt;&lt;dates&gt;&lt;year&gt;2017&lt;/year&gt;&lt;/dates&gt;&lt;urls&gt;&lt;/urls&gt;&lt;electronic-resource-num&gt;10.1101/162784&lt;/electronic-resource-num&gt;&lt;/record&gt;&lt;/Cite&gt;&lt;/EndNote&gt;</w:instrText>
      </w:r>
      <w:r w:rsidR="00D86E26">
        <w:rPr>
          <w:color w:val="000000"/>
          <w:lang w:eastAsia="en-US"/>
        </w:rPr>
        <w:fldChar w:fldCharType="separate"/>
      </w:r>
      <w:r w:rsidR="00D86E26" w:rsidRPr="00D86E26">
        <w:rPr>
          <w:noProof/>
          <w:color w:val="000000"/>
          <w:vertAlign w:val="superscript"/>
          <w:lang w:eastAsia="en-US"/>
        </w:rPr>
        <w:t>1</w:t>
      </w:r>
      <w:r w:rsidR="00D86E26">
        <w:rPr>
          <w:color w:val="000000"/>
          <w:lang w:eastAsia="en-US"/>
        </w:rPr>
        <w:fldChar w:fldCharType="end"/>
      </w:r>
      <w:r w:rsidRPr="00BA4A9E">
        <w:rPr>
          <w:color w:val="000000"/>
          <w:lang w:eastAsia="en-US"/>
        </w:rPr>
        <w:t xml:space="preserve">. </w:t>
      </w:r>
      <w:r>
        <w:rPr>
          <w:color w:val="000000"/>
          <w:lang w:eastAsia="en-US"/>
        </w:rPr>
        <w:t>High quality s</w:t>
      </w:r>
      <w:r w:rsidRPr="00BA4A9E">
        <w:rPr>
          <w:color w:val="000000"/>
          <w:lang w:eastAsia="en-US"/>
        </w:rPr>
        <w:t>omatic SNV and indel calls were established via a</w:t>
      </w:r>
      <w:r>
        <w:rPr>
          <w:color w:val="000000"/>
          <w:lang w:eastAsia="en-US"/>
        </w:rPr>
        <w:t xml:space="preserve"> robust</w:t>
      </w:r>
      <w:r w:rsidRPr="00BA4A9E">
        <w:rPr>
          <w:color w:val="000000"/>
          <w:lang w:eastAsia="en-US"/>
        </w:rPr>
        <w:t xml:space="preserve"> consensus strategy</w:t>
      </w:r>
      <w:r>
        <w:rPr>
          <w:color w:val="000000"/>
          <w:lang w:eastAsia="en-US"/>
        </w:rPr>
        <w:t xml:space="preserve"> based on multiple methods</w:t>
      </w:r>
      <w:r w:rsidRPr="00BA4A9E">
        <w:rPr>
          <w:color w:val="000000"/>
          <w:lang w:eastAsia="en-US"/>
        </w:rPr>
        <w:t xml:space="preserve"> to achieve greater accuracy. Eighteen different callers were considered and asked to produce calls on 63 tumours selected across 23 cancer types and 26 contributing projects. </w:t>
      </w:r>
      <w:r>
        <w:rPr>
          <w:color w:val="000000"/>
          <w:lang w:eastAsia="en-US"/>
        </w:rPr>
        <w:t>F</w:t>
      </w:r>
      <w:r w:rsidRPr="00BA4A9E">
        <w:rPr>
          <w:color w:val="000000"/>
          <w:lang w:eastAsia="en-US"/>
        </w:rPr>
        <w:t>or 50 tumours</w:t>
      </w:r>
      <w:r>
        <w:rPr>
          <w:color w:val="000000"/>
          <w:lang w:eastAsia="en-US"/>
        </w:rPr>
        <w:t>,</w:t>
      </w:r>
      <w:r w:rsidRPr="00BA4A9E">
        <w:rPr>
          <w:color w:val="000000"/>
          <w:lang w:eastAsia="en-US"/>
        </w:rPr>
        <w:t xml:space="preserve"> </w:t>
      </w:r>
      <w:r>
        <w:rPr>
          <w:color w:val="000000"/>
          <w:lang w:eastAsia="en-US"/>
        </w:rPr>
        <w:t>t</w:t>
      </w:r>
      <w:r w:rsidRPr="00BA4A9E">
        <w:rPr>
          <w:color w:val="000000"/>
          <w:lang w:eastAsia="en-US"/>
        </w:rPr>
        <w:t>here was sufficient DNA to perform deep sequencing via DNA hybridisation capture. Around 250,000 SNVs and indels were selected, stratified by the number of methods by which they were called, followed by uniform sampling across the overlaps. A consensus approach was then defined to maximise precision and sensitivity, based on the three core pipelines supplied by the Broad, DKFZ-EMBL and Sanger. Two additional callers (one SNV caller from MD-Anderson and an additional indel caller from the Barcelona Supercomputing Center) were added to improve th</w:t>
      </w:r>
      <w:r>
        <w:rPr>
          <w:color w:val="000000"/>
          <w:lang w:eastAsia="en-US"/>
        </w:rPr>
        <w:t>e ability to detect low-allele-</w:t>
      </w:r>
      <w:r w:rsidRPr="00BA4A9E">
        <w:rPr>
          <w:color w:val="000000"/>
          <w:lang w:eastAsia="en-US"/>
        </w:rPr>
        <w:t>frequency variants. Variant allele frequency was taken into account when sampling variants for the validation; the precision obtained on SNVs</w:t>
      </w:r>
      <w:r>
        <w:rPr>
          <w:color w:val="000000"/>
          <w:lang w:eastAsia="en-US"/>
        </w:rPr>
        <w:t xml:space="preserve"> at different allele frequencies</w:t>
      </w:r>
      <w:r w:rsidRPr="00BA4A9E">
        <w:rPr>
          <w:color w:val="000000"/>
          <w:lang w:eastAsia="en-US"/>
        </w:rPr>
        <w:t xml:space="preserve"> is shown in </w:t>
      </w:r>
      <w:r>
        <w:rPr>
          <w:color w:val="000000"/>
          <w:lang w:eastAsia="en-US"/>
        </w:rPr>
        <w:fldChar w:fldCharType="begin"/>
      </w:r>
      <w:r>
        <w:rPr>
          <w:color w:val="000000"/>
          <w:lang w:eastAsia="en-US"/>
        </w:rPr>
        <w:instrText xml:space="preserve"> REF _Ref391904968 \h </w:instrText>
      </w:r>
      <w:r>
        <w:rPr>
          <w:color w:val="000000"/>
          <w:lang w:eastAsia="en-US"/>
        </w:rPr>
      </w:r>
      <w:r>
        <w:rPr>
          <w:color w:val="000000"/>
          <w:lang w:eastAsia="en-US"/>
        </w:rPr>
        <w:fldChar w:fldCharType="separate"/>
      </w:r>
      <w:r w:rsidR="00673FBD" w:rsidRPr="00E80D87">
        <w:t xml:space="preserve">Fig. </w:t>
      </w:r>
      <w:r w:rsidR="00673FBD">
        <w:rPr>
          <w:noProof/>
        </w:rPr>
        <w:t>11</w:t>
      </w:r>
      <w:r>
        <w:rPr>
          <w:color w:val="000000"/>
          <w:lang w:eastAsia="en-US"/>
        </w:rPr>
        <w:fldChar w:fldCharType="end"/>
      </w:r>
      <w:r w:rsidRPr="00BA4A9E">
        <w:rPr>
          <w:color w:val="000000"/>
          <w:lang w:eastAsia="en-US"/>
        </w:rPr>
        <w:t xml:space="preserve">. </w:t>
      </w:r>
    </w:p>
    <w:p w14:paraId="71F1E6F2" w14:textId="48A1E6C5" w:rsidR="00E80D87" w:rsidRDefault="00E80D87" w:rsidP="00E80D87">
      <w:pPr>
        <w:keepNext/>
        <w:widowControl w:val="0"/>
        <w:autoSpaceDE w:val="0"/>
        <w:autoSpaceDN w:val="0"/>
        <w:adjustRightInd w:val="0"/>
        <w:spacing w:after="240" w:line="360" w:lineRule="atLeast"/>
        <w:jc w:val="both"/>
      </w:pPr>
      <w:r>
        <w:rPr>
          <w:noProof/>
          <w:color w:val="000000"/>
          <w:lang w:eastAsia="en-GB"/>
        </w:rPr>
        <w:drawing>
          <wp:inline distT="0" distB="0" distL="0" distR="0" wp14:anchorId="061EDD00" wp14:editId="138AE1C7">
            <wp:extent cx="5270500" cy="3516487"/>
            <wp:effectExtent l="0" t="0" r="0" b="0"/>
            <wp:docPr id="230" name="Picture 230" descr="../../Documents/projects/icgc/icgc_paper_figures/evo_paper_snv_validation/validation_figure_methodvaf_brief_manualedi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projects/icgc/icgc_paper_figures/evo_paper_snv_validation/validation_figure_methodvaf_brief_manualedits.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0500" cy="3516487"/>
                    </a:xfrm>
                    <a:prstGeom prst="rect">
                      <a:avLst/>
                    </a:prstGeom>
                    <a:noFill/>
                    <a:ln>
                      <a:noFill/>
                    </a:ln>
                  </pic:spPr>
                </pic:pic>
              </a:graphicData>
            </a:graphic>
          </wp:inline>
        </w:drawing>
      </w:r>
    </w:p>
    <w:p w14:paraId="7A561200" w14:textId="7F7F3E25" w:rsidR="00E80D87" w:rsidRPr="00E80D87" w:rsidRDefault="00E80D87" w:rsidP="00E80D87">
      <w:pPr>
        <w:pStyle w:val="Caption"/>
      </w:pPr>
      <w:bookmarkStart w:id="22" w:name="_Ref391904968"/>
      <w:r w:rsidRPr="00E80D87">
        <w:t xml:space="preserve">Fig. </w:t>
      </w:r>
      <w:r w:rsidR="001003E9">
        <w:fldChar w:fldCharType="begin"/>
      </w:r>
      <w:r w:rsidR="001003E9">
        <w:instrText xml:space="preserve"> SEQ Fig. \* ARABIC </w:instrText>
      </w:r>
      <w:r w:rsidR="001003E9">
        <w:fldChar w:fldCharType="separate"/>
      </w:r>
      <w:r w:rsidR="00673FBD">
        <w:rPr>
          <w:noProof/>
        </w:rPr>
        <w:t>11</w:t>
      </w:r>
      <w:r w:rsidR="001003E9">
        <w:rPr>
          <w:noProof/>
        </w:rPr>
        <w:fldChar w:fldCharType="end"/>
      </w:r>
      <w:bookmarkEnd w:id="22"/>
      <w:r w:rsidRPr="00E80D87">
        <w:t xml:space="preserve"> </w:t>
      </w:r>
      <w:r w:rsidRPr="00E80D87">
        <w:rPr>
          <w:b/>
        </w:rPr>
        <w:t>SNV validation results.</w:t>
      </w:r>
      <w:r w:rsidRPr="00E80D87">
        <w:t xml:space="preserve"> The figure shows the number of validated calls for each variant allele frequency bin (a) and the obtained precision (b). The consensus achieves the highest precision of all pipelines with a minimum of 90% of positive calls (lowest VAF bin) and over 94% in all other VAF bins.</w:t>
      </w:r>
    </w:p>
    <w:p w14:paraId="60FF9D6A" w14:textId="77777777" w:rsidR="00E80D87" w:rsidRDefault="00E80D87" w:rsidP="00E80D87">
      <w:pPr>
        <w:pStyle w:val="NormalWeb"/>
        <w:spacing w:before="0" w:beforeAutospacing="0" w:after="0" w:afterAutospacing="0"/>
        <w:jc w:val="center"/>
        <w:rPr>
          <w:b/>
          <w:bCs/>
          <w:i/>
          <w:iCs/>
          <w:color w:val="0000FF"/>
          <w:shd w:val="clear" w:color="auto" w:fill="FFFFFF"/>
        </w:rPr>
      </w:pPr>
    </w:p>
    <w:p w14:paraId="4946E198" w14:textId="77777777" w:rsidR="00E80D87" w:rsidRPr="00E80D87" w:rsidRDefault="00E80D87" w:rsidP="00E80D87">
      <w:pPr>
        <w:pStyle w:val="Heading2"/>
        <w:spacing w:before="320" w:after="80" w:line="276" w:lineRule="auto"/>
        <w:rPr>
          <w:rFonts w:ascii="Times New Roman" w:hAnsi="Times New Roman" w:cs="Times New Roman"/>
          <w:lang w:val="en-GB"/>
        </w:rPr>
      </w:pPr>
      <w:bookmarkStart w:id="23" w:name="_Toc391904993"/>
      <w:r w:rsidRPr="00E80D87">
        <w:rPr>
          <w:rFonts w:ascii="Times New Roman" w:hAnsi="Times New Roman" w:cs="Times New Roman"/>
          <w:lang w:val="en-GB"/>
        </w:rPr>
        <w:t>0.3 Drivers</w:t>
      </w:r>
      <w:bookmarkEnd w:id="23"/>
    </w:p>
    <w:p w14:paraId="3F496840" w14:textId="7A0B3AD4" w:rsidR="00E80D87" w:rsidRPr="00E511D9" w:rsidRDefault="00E80D87" w:rsidP="00D86E26">
      <w:pPr>
        <w:widowControl w:val="0"/>
        <w:autoSpaceDE w:val="0"/>
        <w:autoSpaceDN w:val="0"/>
        <w:adjustRightInd w:val="0"/>
        <w:spacing w:after="240" w:line="360" w:lineRule="auto"/>
        <w:jc w:val="both"/>
        <w:rPr>
          <w:color w:val="000000"/>
          <w:lang w:eastAsia="en-US"/>
        </w:rPr>
      </w:pPr>
      <w:r w:rsidRPr="00EA2B67">
        <w:rPr>
          <w:color w:val="000000"/>
          <w:lang w:eastAsia="en-US"/>
        </w:rPr>
        <w:t>Driver calls have been made available throughout the PCAWG project</w:t>
      </w:r>
      <w:r>
        <w:rPr>
          <w:color w:val="000000"/>
          <w:lang w:eastAsia="en-US"/>
        </w:rPr>
        <w:t>;</w:t>
      </w:r>
      <w:r w:rsidRPr="00EA2B67">
        <w:rPr>
          <w:color w:val="000000"/>
          <w:lang w:eastAsia="en-US"/>
        </w:rPr>
        <w:t xml:space="preserve"> the full findings and methods are described in </w:t>
      </w:r>
      <w:r w:rsidRPr="002C4959">
        <w:rPr>
          <w:color w:val="000000"/>
          <w:lang w:eastAsia="en-US"/>
        </w:rPr>
        <w:t xml:space="preserve">Rheinbay </w:t>
      </w:r>
      <w:r w:rsidRPr="002C4959">
        <w:rPr>
          <w:i/>
          <w:color w:val="000000"/>
          <w:lang w:eastAsia="en-US"/>
        </w:rPr>
        <w:t>et al</w:t>
      </w:r>
      <w:r w:rsidRPr="002C4959">
        <w:rPr>
          <w:color w:val="000000"/>
          <w:lang w:eastAsia="en-US"/>
        </w:rPr>
        <w:t>. (2017</w:t>
      </w:r>
      <w:r w:rsidRPr="00EA2B67">
        <w:rPr>
          <w:color w:val="000000"/>
          <w:lang w:eastAsia="en-US"/>
        </w:rPr>
        <w:t>)</w:t>
      </w:r>
      <w:r w:rsidR="00D86E26">
        <w:rPr>
          <w:color w:val="000000"/>
          <w:lang w:eastAsia="en-US"/>
        </w:rPr>
        <w:fldChar w:fldCharType="begin">
          <w:fldData xml:space="preserve">PEVuZE5vdGU+PENpdGU+PEF1dGhvcj5SaGVpbmJheTwvQXV0aG9yPjxZZWFyPjIwMTc8L1llYXI+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</w:fldData>
        </w:fldChar>
      </w:r>
      <w:r w:rsidR="00D86E26">
        <w:rPr>
          <w:color w:val="000000"/>
          <w:lang w:eastAsia="en-US"/>
        </w:rPr>
        <w:instrText xml:space="preserve"> ADDIN EN.CITE </w:instrText>
      </w:r>
      <w:r w:rsidR="00D86E26">
        <w:rPr>
          <w:color w:val="000000"/>
          <w:lang w:eastAsia="en-US"/>
        </w:rPr>
        <w:fldChar w:fldCharType="begin">
          <w:fldData xml:space="preserve">PEVuZE5vdGU+PENpdGU+PEF1dGhvcj5SaGVpbmJheTwvQXV0aG9yPjxZZWFyPjIwMTc8L1llYXI+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</w:fldData>
        </w:fldChar>
      </w:r>
      <w:r w:rsidR="00D86E26">
        <w:rPr>
          <w:color w:val="000000"/>
          <w:lang w:eastAsia="en-US"/>
        </w:rPr>
        <w:instrText xml:space="preserve"> ADDIN EN.CITE.DATA </w:instrText>
      </w:r>
      <w:r w:rsidR="00D86E26">
        <w:rPr>
          <w:color w:val="000000"/>
          <w:lang w:eastAsia="en-US"/>
        </w:rPr>
      </w:r>
      <w:r w:rsidR="00D86E26">
        <w:rPr>
          <w:color w:val="000000"/>
          <w:lang w:eastAsia="en-US"/>
        </w:rPr>
        <w:fldChar w:fldCharType="end"/>
      </w:r>
      <w:r w:rsidR="00D86E26">
        <w:rPr>
          <w:color w:val="000000"/>
          <w:lang w:eastAsia="en-US"/>
        </w:rPr>
      </w:r>
      <w:r w:rsidR="00D86E26">
        <w:rPr>
          <w:color w:val="000000"/>
          <w:lang w:eastAsia="en-US"/>
        </w:rPr>
        <w:fldChar w:fldCharType="separate"/>
      </w:r>
      <w:r w:rsidR="00D86E26" w:rsidRPr="00D86E26">
        <w:rPr>
          <w:noProof/>
          <w:color w:val="000000"/>
          <w:vertAlign w:val="superscript"/>
          <w:lang w:eastAsia="en-US"/>
        </w:rPr>
        <w:t>2</w:t>
      </w:r>
      <w:r w:rsidR="00D86E26">
        <w:rPr>
          <w:color w:val="000000"/>
          <w:lang w:eastAsia="en-US"/>
        </w:rPr>
        <w:fldChar w:fldCharType="end"/>
      </w:r>
      <w:r w:rsidRPr="00EA2B67">
        <w:rPr>
          <w:color w:val="000000"/>
          <w:lang w:eastAsia="en-US"/>
        </w:rPr>
        <w:t xml:space="preserve">, while the table with driver elements are part of </w:t>
      </w:r>
      <w:r w:rsidRPr="002C4959">
        <w:rPr>
          <w:color w:val="000000"/>
          <w:lang w:eastAsia="en-US"/>
        </w:rPr>
        <w:t xml:space="preserve">Sabarinathan </w:t>
      </w:r>
      <w:r w:rsidRPr="002C4959">
        <w:rPr>
          <w:i/>
          <w:color w:val="000000"/>
          <w:lang w:eastAsia="en-US"/>
        </w:rPr>
        <w:t>et al</w:t>
      </w:r>
      <w:r w:rsidRPr="002C4959">
        <w:rPr>
          <w:color w:val="000000"/>
          <w:lang w:eastAsia="en-US"/>
        </w:rPr>
        <w:t>. (2017</w:t>
      </w:r>
      <w:r w:rsidRPr="00EA2B67">
        <w:rPr>
          <w:color w:val="000000"/>
          <w:lang w:eastAsia="en-US"/>
        </w:rPr>
        <w:t>)</w:t>
      </w:r>
      <w:r w:rsidR="00D86E26">
        <w:rPr>
          <w:color w:val="000000"/>
          <w:lang w:eastAsia="en-US"/>
        </w:rPr>
        <w:fldChar w:fldCharType="begin"/>
      </w:r>
      <w:r w:rsidR="00D86E26">
        <w:rPr>
          <w:color w:val="000000"/>
          <w:lang w:eastAsia="en-US"/>
        </w:rPr>
        <w:instrText xml:space="preserve"> ADDIN EN.CITE &lt;EndNote&gt;&lt;Cite&gt;&lt;Author&gt;Sabarinathan&lt;/Author&gt;&lt;Year&gt;2017&lt;/Year&gt;&lt;RecNum&gt;44&lt;/RecNum&gt;&lt;DisplayText&gt;&lt;style face="superscript"&gt;3&lt;/style&gt;&lt;/DisplayText&gt;&lt;record&gt;&lt;rec-number&gt;44&lt;/rec-number&gt;&lt;foreign-keys&gt;&lt;key app="EN" db-id="swsz0f55g50w9yex0aqvtfdxarrpzt5z00pd" timestamp="1511194572"&gt;44&lt;/key&gt;&lt;/foreign-keys&gt;&lt;ref-type name="Journal Article"&gt;17&lt;/ref-type&gt;&lt;contributors&gt;&lt;authors&gt;&lt;author&gt;Sabarinathan, Radhakrishnan&lt;/author&gt;&lt;author&gt;Pich, Oriol&lt;/author&gt;&lt;author&gt;Martincorena, Inigo&lt;/author&gt;&lt;author&gt;Rubio-Perez, Carlota&lt;/author&gt;&lt;author&gt;Juul, Malene&lt;/author&gt;&lt;author&gt;Wala, Jeremiah&lt;/author&gt;&lt;author&gt;Schumacher, Steven&lt;/author&gt;&lt;author&gt;Shapira, Ofer&lt;/author&gt;&lt;author&gt;Sidiropoulos, Nikos&lt;/author&gt;&lt;author&gt;Waszak, Sebastian&lt;/author&gt;&lt;author&gt;Tamborero, David&lt;/author&gt;&lt;author&gt;Mularoni, Loris&lt;/author&gt;&lt;author&gt;Rheinbay, Esther&lt;/author&gt;&lt;author&gt;Hornshoj, Henrik&lt;/author&gt;&lt;author&gt;Deu-Pons, Jordi&lt;/author&gt;&lt;author&gt;Muinos, Ferran&lt;/author&gt;&lt;author&gt;Bertl, Johanna&lt;/author&gt;&lt;author&gt;Guo, Qianyun&lt;/author&gt;&lt;author&gt;Weischenfeldt, Joachim&lt;/author&gt;&lt;author&gt;Korbel, Jan O&lt;/author&gt;&lt;author&gt;Getz, Gad&lt;/author&gt;&lt;author&gt;Campbell, Peter J&lt;/author&gt;&lt;author&gt;Pedersen, Jakob S&lt;/author&gt;&lt;author&gt;Beroukhim, Rameen&lt;/author&gt;&lt;author&gt;Perez-Gonzalez, Abel&lt;/author&gt;&lt;author&gt;Lopez-Bigas, Nuria&lt;/author&gt;&lt;/authors&gt;&lt;/contributors&gt;&lt;titles&gt;&lt;title&gt;The whole-genome panorama of cancer drivers&lt;/title&gt;&lt;secondary-title&gt;bioRxiv&lt;/secondary-title&gt;&lt;/titles&gt;&lt;periodical&gt;&lt;full-title&gt;bioRxiv&lt;/full-title&gt;&lt;/periodical&gt;&lt;dates&gt;&lt;year&gt;2017&lt;/year&gt;&lt;/dates&gt;&lt;urls&gt;&lt;/urls&gt;&lt;electronic-resource-num&gt;10.1101/190330&lt;/electronic-resource-num&gt;&lt;/record&gt;&lt;/Cite&gt;&lt;/EndNote&gt;</w:instrText>
      </w:r>
      <w:r w:rsidR="00D86E26">
        <w:rPr>
          <w:color w:val="000000"/>
          <w:lang w:eastAsia="en-US"/>
        </w:rPr>
        <w:fldChar w:fldCharType="separate"/>
      </w:r>
      <w:r w:rsidR="00D86E26" w:rsidRPr="00D86E26">
        <w:rPr>
          <w:noProof/>
          <w:color w:val="000000"/>
          <w:vertAlign w:val="superscript"/>
          <w:lang w:eastAsia="en-US"/>
        </w:rPr>
        <w:t>3</w:t>
      </w:r>
      <w:r w:rsidR="00D86E26">
        <w:rPr>
          <w:color w:val="000000"/>
          <w:lang w:eastAsia="en-US"/>
        </w:rPr>
        <w:fldChar w:fldCharType="end"/>
      </w:r>
      <w:r w:rsidRPr="00EA2B67">
        <w:rPr>
          <w:color w:val="000000"/>
          <w:lang w:eastAsia="en-US"/>
        </w:rPr>
        <w:t xml:space="preserve">. Somatic driver SNVs and indels were discovered by combining the outputs from 16 different discovery methods, </w:t>
      </w:r>
      <w:r>
        <w:rPr>
          <w:color w:val="000000"/>
          <w:lang w:eastAsia="en-US"/>
        </w:rPr>
        <w:t>including factors</w:t>
      </w:r>
      <w:r w:rsidRPr="00EA2B67">
        <w:rPr>
          <w:color w:val="000000"/>
          <w:lang w:eastAsia="en-US"/>
        </w:rPr>
        <w:t xml:space="preserve"> such as mutational burden, functional impact and mutation hotspots. </w:t>
      </w:r>
      <w:r>
        <w:rPr>
          <w:color w:val="000000"/>
          <w:lang w:eastAsia="en-US"/>
        </w:rPr>
        <w:t xml:space="preserve">To combine calls, their approach integrated p-values assigned to each event by the 16 callers, </w:t>
      </w:r>
      <w:r w:rsidRPr="00EA2B67">
        <w:rPr>
          <w:color w:val="000000"/>
          <w:lang w:eastAsia="en-US"/>
        </w:rPr>
        <w:t>taking into account autocorrelation between methods based on similar principles</w:t>
      </w:r>
      <w:r>
        <w:rPr>
          <w:color w:val="000000"/>
          <w:lang w:eastAsia="en-US"/>
        </w:rPr>
        <w:t>,</w:t>
      </w:r>
      <w:r w:rsidRPr="00EA2B67">
        <w:rPr>
          <w:color w:val="000000"/>
          <w:lang w:eastAsia="en-US"/>
        </w:rPr>
        <w:t xml:space="preserve"> and applying multiple-testing correction. Th</w:t>
      </w:r>
      <w:r>
        <w:rPr>
          <w:color w:val="000000"/>
          <w:lang w:eastAsia="en-US"/>
        </w:rPr>
        <w:t xml:space="preserve">is </w:t>
      </w:r>
      <w:r w:rsidRPr="00EA2B67">
        <w:rPr>
          <w:color w:val="000000"/>
          <w:lang w:eastAsia="en-US"/>
        </w:rPr>
        <w:t xml:space="preserve">was applied to protein-coding genes, promoters, untranslated regions (UTRs), distal enhancers and non-coding RNAs. </w:t>
      </w:r>
    </w:p>
    <w:p w14:paraId="7E312587" w14:textId="77777777" w:rsidR="00E80D87" w:rsidRPr="00E80D87" w:rsidRDefault="00E80D87" w:rsidP="00E80D87">
      <w:pPr>
        <w:pStyle w:val="Heading2"/>
        <w:spacing w:before="320" w:after="80" w:line="276" w:lineRule="auto"/>
        <w:rPr>
          <w:rFonts w:ascii="Times New Roman" w:hAnsi="Times New Roman" w:cs="Times New Roman"/>
          <w:lang w:val="en-GB"/>
        </w:rPr>
      </w:pPr>
      <w:bookmarkStart w:id="24" w:name="_Toc391904994"/>
      <w:r w:rsidRPr="00E80D87">
        <w:rPr>
          <w:rFonts w:ascii="Times New Roman" w:hAnsi="Times New Roman" w:cs="Times New Roman"/>
          <w:lang w:val="en-GB"/>
        </w:rPr>
        <w:t>0.4 Signatures</w:t>
      </w:r>
      <w:bookmarkEnd w:id="24"/>
    </w:p>
    <w:p w14:paraId="3E79BAC8" w14:textId="3B395C6E" w:rsidR="00E80D87" w:rsidRPr="00D21612" w:rsidRDefault="00E80D87" w:rsidP="00D86E26">
      <w:pPr>
        <w:widowControl w:val="0"/>
        <w:autoSpaceDE w:val="0"/>
        <w:autoSpaceDN w:val="0"/>
        <w:adjustRightInd w:val="0"/>
        <w:spacing w:after="240" w:line="360" w:lineRule="auto"/>
        <w:jc w:val="both"/>
        <w:rPr>
          <w:bCs/>
          <w:color w:val="000000"/>
        </w:rPr>
      </w:pPr>
      <w:r>
        <w:rPr>
          <w:bCs/>
          <w:color w:val="000000"/>
        </w:rPr>
        <w:t xml:space="preserve">Mutational signatures, and estimates of their activity in each sample, have been produced by the PCAWG signatures group, with findings and methods detailed in </w:t>
      </w:r>
      <w:r w:rsidRPr="002C4959">
        <w:rPr>
          <w:bCs/>
          <w:color w:val="000000"/>
        </w:rPr>
        <w:t xml:space="preserve">Alexandrov </w:t>
      </w:r>
      <w:r w:rsidRPr="002C4959">
        <w:rPr>
          <w:bCs/>
          <w:i/>
          <w:color w:val="000000"/>
        </w:rPr>
        <w:t>et al</w:t>
      </w:r>
      <w:r w:rsidRPr="002C4959">
        <w:rPr>
          <w:bCs/>
          <w:color w:val="000000"/>
        </w:rPr>
        <w:t>. (2018)</w:t>
      </w:r>
      <w:r w:rsidR="00D86E26">
        <w:rPr>
          <w:bCs/>
          <w:color w:val="000000"/>
        </w:rPr>
        <w:fldChar w:fldCharType="begin"/>
      </w:r>
      <w:r w:rsidR="00D86E26">
        <w:rPr>
          <w:bCs/>
          <w:color w:val="000000"/>
        </w:rPr>
        <w:instrText xml:space="preserve"> ADDIN EN.CITE &lt;EndNote&gt;&lt;Cite&gt;&lt;Author&gt;Alexandrov&lt;/Author&gt;&lt;Year&gt;2018&lt;/Year&gt;&lt;RecNum&gt;57&lt;/RecNum&gt;&lt;DisplayText&gt;&lt;style face="superscript"&gt;4&lt;/style&gt;&lt;/DisplayText&gt;&lt;record&gt;&lt;rec-number&gt;57&lt;/rec-number&gt;&lt;foreign-keys&gt;&lt;key app="EN" db-id="swsz0f55g50w9yex0aqvtfdxarrpzt5z00pd" timestamp="1530305912"&gt;57&lt;/key&gt;&lt;/foreign-keys&gt;&lt;ref-type name="Journal Article"&gt;17&lt;/ref-type&gt;&lt;contributors&gt;&lt;authors&gt;&lt;author&gt;Alexandrov, Ludmil&lt;/author&gt;&lt;author&gt;Kim, Jaegil&lt;/author&gt;&lt;author&gt;Haradhvala, Nicholas J&lt;/author&gt;&lt;author&gt;Huang, Mi Ni&lt;/author&gt;&lt;author&gt;Ng, Alvin W T&lt;/author&gt;&lt;author&gt;Boot, Arnoud&lt;/author&gt;&lt;author&gt;Covington, Kyle R&lt;/author&gt;&lt;author&gt;Gordenin, Dmitry A&lt;/author&gt;&lt;author&gt;Bergstrom, Erik&lt;/author&gt;&lt;author&gt;Lopez-Bigas, Nuria&lt;/author&gt;&lt;author&gt;Klimczak, Leszek J&lt;/author&gt;&lt;author&gt;McPherson, John R&lt;/author&gt;&lt;author&gt;Morganella, Sandro&lt;/author&gt;&lt;author&gt;Sabarinathan, Radhakrishnan&lt;/author&gt;&lt;author&gt;Wheeler, David A&lt;/author&gt;&lt;author&gt;Mustonen, Ville&lt;/author&gt;&lt;author&gt;Getz, Gad&lt;/author&gt;&lt;author&gt;Rozen, Steven G.&lt;/author&gt;&lt;author&gt;Stratton, Michael R&lt;/author&gt;&lt;/authors&gt;&lt;/contributors&gt;&lt;titles&gt;&lt;title&gt;The Repertoire of Mutational Signatures in Human Cancer&lt;/title&gt;&lt;secondary-title&gt;bioRxiv&lt;/secondary-title&gt;&lt;/titles&gt;&lt;periodical&gt;&lt;full-title&gt;bioRxiv&lt;/full-title&gt;&lt;/periodical&gt;&lt;dates&gt;&lt;year&gt;2018&lt;/year&gt;&lt;/dates&gt;&lt;urls&gt;&lt;related-urls&gt;&lt;url&gt;https://www.biorxiv.org/content/biorxiv/early/2018/05/15/322859.full.pdf&lt;/url&gt;&lt;/related-urls&gt;&lt;/urls&gt;&lt;electronic-resource-num&gt;10.1101/322859&lt;/electronic-resource-num&gt;&lt;/record&gt;&lt;/Cite&gt;&lt;/EndNote&gt;</w:instrText>
      </w:r>
      <w:r w:rsidR="00D86E26">
        <w:rPr>
          <w:bCs/>
          <w:color w:val="000000"/>
        </w:rPr>
        <w:fldChar w:fldCharType="separate"/>
      </w:r>
      <w:r w:rsidR="00D86E26" w:rsidRPr="00D86E26">
        <w:rPr>
          <w:bCs/>
          <w:noProof/>
          <w:color w:val="000000"/>
          <w:vertAlign w:val="superscript"/>
        </w:rPr>
        <w:t>4</w:t>
      </w:r>
      <w:r w:rsidR="00D86E26">
        <w:rPr>
          <w:bCs/>
          <w:color w:val="000000"/>
        </w:rPr>
        <w:fldChar w:fldCharType="end"/>
      </w:r>
      <w:r>
        <w:rPr>
          <w:bCs/>
          <w:color w:val="000000"/>
        </w:rPr>
        <w:t xml:space="preserve">. They applied two different computational approaches based on non-negative matrix factorisation to 4,645 genome and 19,184 exome sequences, to extract 49 single base substitution, 11 doublet base substitution and 17 indel signatures. The doublet base and indel signatures are completely novel, whilst the single base signatures are broadly concordant with the published signatures in COSMIC, with some additional signatures, and some signatures now being split. The authors report of a high concordance between the two approaches on all PCAWG samples, except in the case of hyper-mutators (5.6% of samples). Both reference sets of signatures and the per-sample quantifications of activity have been made available to the PCAWG project. In this manuscript, for simplicity we make use of the signatures output from one of the approaches only (SigProfiler). </w:t>
      </w:r>
    </w:p>
    <w:p w14:paraId="5EFF658B" w14:textId="77777777" w:rsidR="00E80D87" w:rsidRPr="00670E32" w:rsidRDefault="00E80D87" w:rsidP="00E80D87">
      <w:pPr>
        <w:pStyle w:val="NormalWeb"/>
        <w:spacing w:before="0" w:beforeAutospacing="0" w:after="0" w:afterAutospacing="0"/>
        <w:rPr>
          <w:bCs/>
          <w:iCs/>
          <w:color w:val="0000FF"/>
          <w:shd w:val="clear" w:color="auto" w:fill="FFFFFF"/>
        </w:rPr>
      </w:pPr>
    </w:p>
    <w:p w14:paraId="05C47F26" w14:textId="7B679C3D" w:rsidR="00741462" w:rsidRPr="00AC13E7" w:rsidRDefault="00FE3B88" w:rsidP="00741462">
      <w:pPr>
        <w:pStyle w:val="Heading1"/>
        <w:spacing w:before="360" w:after="120" w:line="276" w:lineRule="auto"/>
        <w:rPr>
          <w:rFonts w:ascii="Times New Roman" w:hAnsi="Times New Roman" w:cs="Times New Roman"/>
          <w:lang w:val="en-GB"/>
        </w:rPr>
      </w:pPr>
      <w:bookmarkStart w:id="25" w:name="_Toc391904995"/>
      <w:r w:rsidRPr="00AC13E7">
        <w:rPr>
          <w:rFonts w:ascii="Times New Roman" w:hAnsi="Times New Roman" w:cs="Times New Roman"/>
          <w:lang w:val="en-GB"/>
        </w:rPr>
        <w:lastRenderedPageBreak/>
        <w:t>1.</w:t>
      </w:r>
      <w:r w:rsidR="005F4BF0" w:rsidRPr="00AC13E7">
        <w:rPr>
          <w:rFonts w:ascii="Times New Roman" w:hAnsi="Times New Roman" w:cs="Times New Roman"/>
          <w:lang w:val="en-GB"/>
        </w:rPr>
        <w:t xml:space="preserve"> </w:t>
      </w:r>
      <w:r w:rsidRPr="00AC13E7">
        <w:rPr>
          <w:rFonts w:ascii="Times New Roman" w:hAnsi="Times New Roman" w:cs="Times New Roman"/>
          <w:lang w:val="en-GB"/>
        </w:rPr>
        <w:t>Copy number consensus</w:t>
      </w:r>
      <w:bookmarkEnd w:id="6"/>
      <w:bookmarkEnd w:id="7"/>
      <w:bookmarkEnd w:id="8"/>
      <w:bookmarkEnd w:id="9"/>
      <w:bookmarkEnd w:id="25"/>
    </w:p>
    <w:p w14:paraId="2C6C17CA" w14:textId="1624E366" w:rsidR="00720570" w:rsidRPr="00AC13E7" w:rsidRDefault="00FE3B88" w:rsidP="00ED0812">
      <w:pPr>
        <w:pStyle w:val="Heading2"/>
        <w:spacing w:before="320" w:after="80" w:line="276" w:lineRule="auto"/>
        <w:rPr>
          <w:rFonts w:ascii="Times New Roman" w:hAnsi="Times New Roman" w:cs="Times New Roman"/>
          <w:lang w:val="en-GB"/>
        </w:rPr>
      </w:pPr>
      <w:bookmarkStart w:id="26" w:name="_grs7pvmxscsz" w:colFirst="0" w:colLast="0"/>
      <w:bookmarkStart w:id="27" w:name="_Toc499569267"/>
      <w:bookmarkStart w:id="28" w:name="_Toc499571717"/>
      <w:bookmarkStart w:id="29" w:name="_Toc391904996"/>
      <w:bookmarkEnd w:id="26"/>
      <w:r w:rsidRPr="00AC13E7">
        <w:rPr>
          <w:rFonts w:ascii="Times New Roman" w:hAnsi="Times New Roman" w:cs="Times New Roman"/>
          <w:lang w:val="en-GB"/>
        </w:rPr>
        <w:t>1.1 Overview</w:t>
      </w:r>
      <w:bookmarkEnd w:id="27"/>
      <w:bookmarkEnd w:id="28"/>
      <w:bookmarkEnd w:id="29"/>
    </w:p>
    <w:p w14:paraId="7D3D4836" w14:textId="40C3F97D" w:rsidR="00DB6639" w:rsidRPr="00AC13E7" w:rsidRDefault="000A4C7E" w:rsidP="008B6240">
      <w:pPr>
        <w:jc w:val="both"/>
      </w:pPr>
      <w:r w:rsidRPr="00AC13E7">
        <w:t>The copy number consensus procedure builds on top of the output from six different copy number callers. Upon inspection of profiles produced by the individual callers</w:t>
      </w:r>
      <w:r w:rsidR="003E4874" w:rsidRPr="00AC13E7">
        <w:t>,</w:t>
      </w:r>
      <w:r w:rsidRPr="00AC13E7">
        <w:t xml:space="preserve"> we observed that profiles differ depending on the</w:t>
      </w:r>
      <w:r w:rsidR="007240A2" w:rsidRPr="00AC13E7">
        <w:t>ir</w:t>
      </w:r>
      <w:r w:rsidRPr="00AC13E7">
        <w:t xml:space="preserve"> segmentation and that </w:t>
      </w:r>
      <w:r w:rsidR="007240A2" w:rsidRPr="00AC13E7">
        <w:t>disagreement on copy number states of large proportions of the genome is</w:t>
      </w:r>
      <w:r w:rsidRPr="00AC13E7">
        <w:t xml:space="preserve"> the result of disagreement on whether a whole genome duplication had occurred. We therefore first constructed a complete set of breakpoints from an initial pass of </w:t>
      </w:r>
      <w:r w:rsidR="00522691" w:rsidRPr="00AC13E7">
        <w:t>five of the six</w:t>
      </w:r>
      <w:r w:rsidRPr="00AC13E7">
        <w:t xml:space="preserve"> methods</w:t>
      </w:r>
      <w:r w:rsidR="007240A2" w:rsidRPr="00AC13E7">
        <w:t xml:space="preserve"> (the JaBbA output was not yet available)</w:t>
      </w:r>
      <w:r w:rsidRPr="00AC13E7">
        <w:t>. The consensus breakpoints were then fed back in to the methods to produce copy number calls</w:t>
      </w:r>
      <w:r w:rsidR="00522691" w:rsidRPr="00AC13E7">
        <w:t xml:space="preserve"> from all six methods</w:t>
      </w:r>
      <w:r w:rsidRPr="00AC13E7">
        <w:t xml:space="preserve">. After resolving ploidy disagreements, we applied a procedure </w:t>
      </w:r>
      <w:r w:rsidR="00522691" w:rsidRPr="00AC13E7">
        <w:t>to every consensus segment that looks for agreement in major and minor allele states between the output of the six callers. Finally, we produced consensus purity calls for every tumour by combining purity calls from the six copy number callers with those from subclonal architecture reconstruction methods that produce purity calls from SNV data. The full procedure results in a purity estimate for every tumour in the PCAWG dataset and a copy number call for every consensus segment, where every call is assigned a confidence level and a quality star.</w:t>
      </w:r>
    </w:p>
    <w:p w14:paraId="49D964F1" w14:textId="1BEA82BF" w:rsidR="00720570" w:rsidRPr="00AC13E7" w:rsidRDefault="00FE3B88" w:rsidP="00ED0812">
      <w:pPr>
        <w:pStyle w:val="Heading2"/>
        <w:spacing w:before="320" w:after="80" w:line="276" w:lineRule="auto"/>
        <w:rPr>
          <w:rFonts w:ascii="Times New Roman" w:hAnsi="Times New Roman" w:cs="Times New Roman"/>
          <w:lang w:val="en-GB"/>
        </w:rPr>
      </w:pPr>
      <w:bookmarkStart w:id="30" w:name="_6mpp05uki6xt" w:colFirst="0" w:colLast="0"/>
      <w:bookmarkStart w:id="31" w:name="_Toc499569268"/>
      <w:bookmarkStart w:id="32" w:name="_Toc499571718"/>
      <w:bookmarkStart w:id="33" w:name="_Toc391904997"/>
      <w:bookmarkEnd w:id="30"/>
      <w:r w:rsidRPr="00AC13E7">
        <w:rPr>
          <w:rFonts w:ascii="Times New Roman" w:hAnsi="Times New Roman" w:cs="Times New Roman"/>
          <w:lang w:val="en-GB"/>
        </w:rPr>
        <w:t>1.2 Description of copy number methods</w:t>
      </w:r>
      <w:bookmarkEnd w:id="31"/>
      <w:bookmarkEnd w:id="32"/>
      <w:bookmarkEnd w:id="33"/>
      <w:r w:rsidRPr="00AC13E7">
        <w:rPr>
          <w:rFonts w:ascii="Times New Roman" w:hAnsi="Times New Roman" w:cs="Times New Roman"/>
          <w:lang w:val="en-GB"/>
        </w:rPr>
        <w:t xml:space="preserve"> </w:t>
      </w:r>
    </w:p>
    <w:p w14:paraId="0BD6CD58" w14:textId="77777777" w:rsidR="00ED0812" w:rsidRPr="00AC13E7" w:rsidRDefault="00ED0812" w:rsidP="00ED0812">
      <w:pPr>
        <w:spacing w:line="276" w:lineRule="auto"/>
      </w:pPr>
    </w:p>
    <w:p w14:paraId="5E39B9F7" w14:textId="77777777" w:rsidR="00383A6B" w:rsidRPr="00AC13E7" w:rsidRDefault="00FE3B88" w:rsidP="00ED7622">
      <w:pPr>
        <w:pStyle w:val="Heading3"/>
        <w:rPr>
          <w:rFonts w:ascii="Times New Roman" w:hAnsi="Times New Roman" w:cs="Times New Roman"/>
          <w:b w:val="0"/>
          <w:bCs/>
          <w:sz w:val="32"/>
          <w:szCs w:val="32"/>
          <w:lang w:val="en-GB"/>
        </w:rPr>
      </w:pPr>
      <w:bookmarkStart w:id="34" w:name="_Toc499571719"/>
      <w:bookmarkStart w:id="35" w:name="_Toc391904998"/>
      <w:r w:rsidRPr="00AC13E7">
        <w:rPr>
          <w:rFonts w:ascii="Times New Roman" w:hAnsi="Times New Roman" w:cs="Times New Roman"/>
          <w:b w:val="0"/>
          <w:bCs/>
          <w:sz w:val="32"/>
          <w:szCs w:val="32"/>
          <w:lang w:val="en-GB"/>
        </w:rPr>
        <w:t xml:space="preserve">1.2.1 </w:t>
      </w:r>
      <w:r w:rsidR="00ED0812" w:rsidRPr="00AC13E7">
        <w:rPr>
          <w:rFonts w:ascii="Times New Roman" w:hAnsi="Times New Roman" w:cs="Times New Roman"/>
          <w:b w:val="0"/>
          <w:bCs/>
          <w:sz w:val="32"/>
          <w:szCs w:val="32"/>
          <w:lang w:val="en-GB"/>
        </w:rPr>
        <w:t>ABSOLUTE</w:t>
      </w:r>
      <w:bookmarkEnd w:id="34"/>
      <w:bookmarkEnd w:id="35"/>
    </w:p>
    <w:p w14:paraId="42477898" w14:textId="31226AD3" w:rsidR="002660A9" w:rsidRPr="00AC13E7" w:rsidRDefault="002660A9" w:rsidP="002660A9">
      <w:pPr>
        <w:jc w:val="both"/>
        <w:rPr>
          <w:bCs/>
        </w:rPr>
      </w:pPr>
      <w:r w:rsidRPr="00AC13E7">
        <w:rPr>
          <w:bCs/>
        </w:rPr>
        <w:t>Ignaty Leshchiner, Dimitri Livitz</w:t>
      </w:r>
      <w:r w:rsidR="0084009D" w:rsidRPr="00AC13E7">
        <w:rPr>
          <w:bCs/>
        </w:rPr>
        <w:t xml:space="preserve">, </w:t>
      </w:r>
      <w:r w:rsidRPr="00AC13E7">
        <w:rPr>
          <w:bCs/>
        </w:rPr>
        <w:t>Gad Getz</w:t>
      </w:r>
    </w:p>
    <w:p w14:paraId="5ACC0DDF" w14:textId="77777777" w:rsidR="006F55EA" w:rsidRPr="00AC13E7" w:rsidRDefault="006F55EA" w:rsidP="00593DE1">
      <w:pPr>
        <w:jc w:val="both"/>
        <w:rPr>
          <w:bCs/>
        </w:rPr>
      </w:pPr>
    </w:p>
    <w:p w14:paraId="4A90527B" w14:textId="001EF12E" w:rsidR="00ED0812" w:rsidRPr="00AC13E7" w:rsidRDefault="00ED0812" w:rsidP="00D86E26">
      <w:pPr>
        <w:jc w:val="both"/>
        <w:rPr>
          <w:bCs/>
        </w:rPr>
      </w:pPr>
      <w:r w:rsidRPr="00AC13E7">
        <w:rPr>
          <w:bCs/>
        </w:rPr>
        <w:t>We used the ABSOLUTE algorithm to calculate the purity, ploidy, and absolute DNA copy</w:t>
      </w:r>
      <w:r w:rsidR="00CD109B" w:rsidRPr="00AC13E7">
        <w:rPr>
          <w:bCs/>
        </w:rPr>
        <w:t xml:space="preserve"> </w:t>
      </w:r>
      <w:r w:rsidRPr="00AC13E7">
        <w:rPr>
          <w:bCs/>
        </w:rPr>
        <w:t>number of each sample</w:t>
      </w:r>
      <w:r w:rsidR="00892E17" w:rsidRPr="00AC13E7">
        <w:rPr>
          <w:bCs/>
        </w:rPr>
        <w:fldChar w:fldCharType="begin">
          <w:fldData xml:space="preserve">PEVuZE5vdGU+PENpdGU+PEF1dGhvcj5DYXJ0ZXI8L0F1dGhvcj48WWVhcj4yMDEyPC9ZZWFyPjxS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</w:fldData>
        </w:fldChar>
      </w:r>
      <w:r w:rsidR="00D86E26">
        <w:rPr>
          <w:bCs/>
        </w:rPr>
        <w:instrText xml:space="preserve"> ADDIN EN.CITE </w:instrText>
      </w:r>
      <w:r w:rsidR="00D86E26">
        <w:rPr>
          <w:bCs/>
        </w:rPr>
        <w:fldChar w:fldCharType="begin">
          <w:fldData xml:space="preserve">PEVuZE5vdGU+PENpdGU+PEF1dGhvcj5DYXJ0ZXI8L0F1dGhvcj48WWVhcj4yMDEyPC9ZZWFyPjxS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</w:fldData>
        </w:fldChar>
      </w:r>
      <w:r w:rsidR="00D86E26">
        <w:rPr>
          <w:bCs/>
        </w:rPr>
        <w:instrText xml:space="preserve"> ADDIN EN.CITE.DATA </w:instrText>
      </w:r>
      <w:r w:rsidR="00D86E26">
        <w:rPr>
          <w:bCs/>
        </w:rPr>
      </w:r>
      <w:r w:rsidR="00D86E26">
        <w:rPr>
          <w:bCs/>
        </w:rPr>
        <w:fldChar w:fldCharType="end"/>
      </w:r>
      <w:r w:rsidR="00892E17" w:rsidRPr="00AC13E7">
        <w:rPr>
          <w:bCs/>
        </w:rPr>
      </w:r>
      <w:r w:rsidR="00892E17" w:rsidRPr="00AC13E7">
        <w:rPr>
          <w:bCs/>
        </w:rPr>
        <w:fldChar w:fldCharType="separate"/>
      </w:r>
      <w:r w:rsidR="00D86E26" w:rsidRPr="00D86E26">
        <w:rPr>
          <w:bCs/>
          <w:noProof/>
          <w:vertAlign w:val="superscript"/>
        </w:rPr>
        <w:t>6</w:t>
      </w:r>
      <w:r w:rsidR="00892E17" w:rsidRPr="00AC13E7">
        <w:rPr>
          <w:bCs/>
        </w:rPr>
        <w:fldChar w:fldCharType="end"/>
      </w:r>
      <w:r w:rsidRPr="00AC13E7">
        <w:rPr>
          <w:bCs/>
        </w:rPr>
        <w:t>. Fragment based coverage</w:t>
      </w:r>
      <w:r w:rsidR="00BD44A7" w:rsidRPr="00AC13E7">
        <w:rPr>
          <w:bCs/>
        </w:rPr>
        <w:t xml:space="preserve"> (derived from full read template span)</w:t>
      </w:r>
      <w:r w:rsidRPr="00AC13E7">
        <w:rPr>
          <w:bCs/>
        </w:rPr>
        <w:t xml:space="preserve"> was collected over the genome and corrected for GC and mappability biases. Tangent-normalization of the </w:t>
      </w:r>
      <w:r w:rsidR="00962407" w:rsidRPr="00AC13E7">
        <w:rPr>
          <w:bCs/>
        </w:rPr>
        <w:t>tumour</w:t>
      </w:r>
      <w:r w:rsidRPr="00AC13E7">
        <w:rPr>
          <w:bCs/>
        </w:rPr>
        <w:t xml:space="preserve"> copy number profile was performed by using a panel buil</w:t>
      </w:r>
      <w:r w:rsidR="00E07E7F" w:rsidRPr="00AC13E7">
        <w:rPr>
          <w:bCs/>
        </w:rPr>
        <w:t>t</w:t>
      </w:r>
      <w:r w:rsidRPr="00AC13E7">
        <w:rPr>
          <w:bCs/>
        </w:rPr>
        <w:t xml:space="preserve"> from PCAWG normal samples. Further, allele</w:t>
      </w:r>
      <w:r w:rsidR="00ED102D" w:rsidRPr="00AC13E7">
        <w:rPr>
          <w:bCs/>
        </w:rPr>
        <w:t>-</w:t>
      </w:r>
      <w:r w:rsidRPr="00AC13E7">
        <w:rPr>
          <w:bCs/>
        </w:rPr>
        <w:t xml:space="preserve">specific copy number was computed based on heterozygous sites identified in the paired normal and segmentation was performed by using </w:t>
      </w:r>
      <w:r w:rsidR="0098004E" w:rsidRPr="00AC13E7">
        <w:rPr>
          <w:bCs/>
        </w:rPr>
        <w:t xml:space="preserve">a </w:t>
      </w:r>
      <w:r w:rsidRPr="00AC13E7">
        <w:rPr>
          <w:bCs/>
        </w:rPr>
        <w:t xml:space="preserve">circular binary segmentation algorithm. The Nelder–Mead algorithm was used to search the space of possible purity and ploidy solutions and prioritize them. </w:t>
      </w:r>
      <w:r w:rsidR="00F138CC" w:rsidRPr="00AC13E7">
        <w:t xml:space="preserve">Dirichlet Process </w:t>
      </w:r>
      <w:r w:rsidR="0079230D" w:rsidRPr="00AC13E7">
        <w:rPr>
          <w:bCs/>
        </w:rPr>
        <w:t>clustering was performed on subclonal copy number segments</w:t>
      </w:r>
      <w:r w:rsidR="00F138CC" w:rsidRPr="00AC13E7">
        <w:rPr>
          <w:bCs/>
        </w:rPr>
        <w:t>, to annotate identical subclonal copy-number cluster states.</w:t>
      </w:r>
      <w:r w:rsidR="0079230D" w:rsidRPr="00AC13E7">
        <w:rPr>
          <w:bCs/>
        </w:rPr>
        <w:t xml:space="preserve"> </w:t>
      </w:r>
      <w:r w:rsidRPr="00AC13E7">
        <w:rPr>
          <w:bCs/>
        </w:rPr>
        <w:t>Somatic SNVs were imputed on the computed absolute copy number profile and the cancer cell fraction and multiplicities were inferred for each mutation independently prior to running subclonal architecture reconstruction.</w:t>
      </w:r>
    </w:p>
    <w:p w14:paraId="6F3B2D20" w14:textId="77777777" w:rsidR="00720570" w:rsidRPr="00AC13E7" w:rsidRDefault="00720570" w:rsidP="00F14636">
      <w:pPr>
        <w:jc w:val="both"/>
        <w:rPr>
          <w:rFonts w:eastAsia="Arial"/>
          <w:sz w:val="20"/>
          <w:szCs w:val="20"/>
        </w:rPr>
      </w:pPr>
    </w:p>
    <w:p w14:paraId="7A243500" w14:textId="77777777" w:rsidR="000668D6" w:rsidRPr="00AC13E7" w:rsidRDefault="000668D6">
      <w:pPr>
        <w:rPr>
          <w:rFonts w:eastAsia="Times"/>
          <w:bCs/>
          <w:color w:val="000000"/>
          <w:sz w:val="32"/>
          <w:szCs w:val="32"/>
        </w:rPr>
      </w:pPr>
      <w:bookmarkStart w:id="36" w:name="_Toc499571720"/>
      <w:r w:rsidRPr="00AC13E7">
        <w:rPr>
          <w:b/>
          <w:bCs/>
          <w:sz w:val="32"/>
          <w:szCs w:val="32"/>
        </w:rPr>
        <w:br w:type="page"/>
      </w:r>
    </w:p>
    <w:p w14:paraId="2B42B6B8" w14:textId="34FD72A7" w:rsidR="00F84C52" w:rsidRPr="00966AB6" w:rsidRDefault="00FE3B88" w:rsidP="00ED7622">
      <w:pPr>
        <w:pStyle w:val="Heading3"/>
        <w:rPr>
          <w:rFonts w:ascii="Times New Roman" w:hAnsi="Times New Roman" w:cs="Times New Roman"/>
          <w:b w:val="0"/>
          <w:bCs/>
          <w:sz w:val="32"/>
          <w:szCs w:val="32"/>
          <w:lang w:val="de-DE"/>
        </w:rPr>
      </w:pPr>
      <w:bookmarkStart w:id="37" w:name="_Toc391904999"/>
      <w:r w:rsidRPr="00966AB6">
        <w:rPr>
          <w:rFonts w:ascii="Times New Roman" w:hAnsi="Times New Roman" w:cs="Times New Roman"/>
          <w:b w:val="0"/>
          <w:bCs/>
          <w:sz w:val="32"/>
          <w:szCs w:val="32"/>
          <w:lang w:val="de-DE"/>
        </w:rPr>
        <w:lastRenderedPageBreak/>
        <w:t xml:space="preserve">1.2.2 </w:t>
      </w:r>
      <w:r w:rsidR="00ED0812" w:rsidRPr="00966AB6">
        <w:rPr>
          <w:rFonts w:ascii="Times New Roman" w:hAnsi="Times New Roman" w:cs="Times New Roman"/>
          <w:b w:val="0"/>
          <w:bCs/>
          <w:sz w:val="32"/>
          <w:szCs w:val="32"/>
          <w:lang w:val="de-DE"/>
        </w:rPr>
        <w:t>ACEseq</w:t>
      </w:r>
      <w:bookmarkEnd w:id="36"/>
      <w:bookmarkEnd w:id="37"/>
    </w:p>
    <w:p w14:paraId="1E2F5D73" w14:textId="77777777" w:rsidR="00B161FE" w:rsidRPr="00966AB6" w:rsidRDefault="00B161FE" w:rsidP="00B161FE">
      <w:pPr>
        <w:jc w:val="both"/>
        <w:rPr>
          <w:lang w:val="de-DE"/>
        </w:rPr>
      </w:pPr>
      <w:r w:rsidRPr="00966AB6">
        <w:rPr>
          <w:lang w:val="de-DE"/>
        </w:rPr>
        <w:t>Kortine Kleinheinz, Roland Eils, Matthias Schlesner</w:t>
      </w:r>
    </w:p>
    <w:p w14:paraId="17072AE5" w14:textId="77777777" w:rsidR="00F84C52" w:rsidRPr="00966AB6" w:rsidRDefault="00F84C52" w:rsidP="00D62891">
      <w:pPr>
        <w:jc w:val="both"/>
        <w:rPr>
          <w:lang w:val="de-DE"/>
        </w:rPr>
      </w:pPr>
    </w:p>
    <w:p w14:paraId="794B282A" w14:textId="7ED94E47" w:rsidR="00ED0812" w:rsidRPr="00AC13E7" w:rsidRDefault="00ED0812" w:rsidP="00D86E26">
      <w:pPr>
        <w:jc w:val="both"/>
      </w:pPr>
      <w:r w:rsidRPr="00AC13E7">
        <w:t>ACEseq (allele-specific copy number estimation from sequencing</w:t>
      </w:r>
      <w:r w:rsidR="0092560E" w:rsidRPr="00AC13E7">
        <w:t>)</w:t>
      </w:r>
      <w:r w:rsidR="00D62891" w:rsidRPr="00AC13E7">
        <w:fldChar w:fldCharType="begin"/>
      </w:r>
      <w:r w:rsidR="00D86E26">
        <w:instrText xml:space="preserve"> ADDIN EN.CITE &lt;EndNote&gt;&lt;Cite&gt;&lt;Author&gt;Kleinheinz&lt;/Author&gt;&lt;Year&gt;2017&lt;/Year&gt;&lt;RecNum&gt;37&lt;/RecNum&gt;&lt;DisplayText&gt;&lt;style face="superscript"&gt;7&lt;/style&gt;&lt;/DisplayText&gt;&lt;record&gt;&lt;rec-number&gt;37&lt;/rec-number&gt;&lt;foreign-keys&gt;&lt;key app="EN" db-id="swsz0f55g50w9yex0aqvtfdxarrpzt5z00pd" timestamp="1511189690"&gt;37&lt;/key&gt;&lt;/foreign-keys&gt;&lt;ref-type name="Journal Article"&gt;17&lt;/ref-type&gt;&lt;contributors&gt;&lt;authors&gt;&lt;author&gt;Kleinheinz, Kortine&lt;/author&gt;&lt;author&gt;Bludau, Isabell&lt;/author&gt;&lt;author&gt;Huebschmann, Daniel&lt;/author&gt;&lt;author&gt;Heinold, Michael&lt;/author&gt;&lt;author&gt;Kensche, Philip&lt;/author&gt;&lt;author&gt;Gu, Zuguang&lt;/author&gt;&lt;author&gt;Lopez, Cristina&lt;/author&gt;&lt;author&gt;Hummel, Michael&lt;/author&gt;&lt;author&gt;Klapper, Wolfram&lt;/author&gt;&lt;author&gt;Moeller, Peter&lt;/author&gt;&lt;author&gt;Vater, Inga&lt;/author&gt;&lt;author&gt;Wagener, Rabea&lt;/author&gt;&lt;author&gt;Brors, Benedikt&lt;/author&gt;&lt;author&gt;Siebert, Reiner&lt;/author&gt;&lt;author&gt;Eils, Roland&lt;/author&gt;&lt;author&gt;Schlesner, Matthias&lt;/author&gt;&lt;/authors&gt;&lt;/contributors&gt;&lt;titles&gt;&lt;title&gt;ACEseq - allele specific copy number estimation from whole genome sequencing&lt;/title&gt;&lt;secondary-title&gt;bioRxiv&lt;/secondary-title&gt;&lt;/titles&gt;&lt;periodical&gt;&lt;full-title&gt;bioRxiv&lt;/full-title&gt;&lt;/periodical&gt;&lt;dates&gt;&lt;year&gt;2017&lt;/year&gt;&lt;/dates&gt;&lt;urls&gt;&lt;/urls&gt;&lt;electronic-resource-num&gt;10.1101/210807&lt;/electronic-resource-num&gt;&lt;/record&gt;&lt;/Cite&gt;&lt;/EndNote&gt;</w:instrText>
      </w:r>
      <w:r w:rsidR="00D62891" w:rsidRPr="00AC13E7">
        <w:fldChar w:fldCharType="separate"/>
      </w:r>
      <w:r w:rsidR="00D86E26" w:rsidRPr="00D86E26">
        <w:rPr>
          <w:noProof/>
          <w:vertAlign w:val="superscript"/>
        </w:rPr>
        <w:t>7</w:t>
      </w:r>
      <w:r w:rsidR="00D62891" w:rsidRPr="00AC13E7">
        <w:fldChar w:fldCharType="end"/>
      </w:r>
      <w:r w:rsidRPr="00AC13E7">
        <w:t xml:space="preserve"> determines absolute copy number from a combination of the coverage ratio of </w:t>
      </w:r>
      <w:r w:rsidR="00962407" w:rsidRPr="00AC13E7">
        <w:t>tumour</w:t>
      </w:r>
      <w:r w:rsidRPr="00AC13E7">
        <w:t xml:space="preserve"> and matched normal in genomic windows </w:t>
      </w:r>
      <w:r w:rsidR="00CE1197" w:rsidRPr="00AC13E7">
        <w:t>and the</w:t>
      </w:r>
      <w:r w:rsidRPr="00AC13E7">
        <w:t xml:space="preserve"> B-allele frequencies (BAF) of </w:t>
      </w:r>
      <w:r w:rsidR="00CE1197" w:rsidRPr="00AC13E7">
        <w:t xml:space="preserve">the </w:t>
      </w:r>
      <w:r w:rsidRPr="00AC13E7">
        <w:t xml:space="preserve">corresponding SNPs. In addition to the copy number, </w:t>
      </w:r>
      <w:r w:rsidR="00962407" w:rsidRPr="00AC13E7">
        <w:t>tumour</w:t>
      </w:r>
      <w:r w:rsidRPr="00AC13E7">
        <w:t xml:space="preserve"> ploidy and </w:t>
      </w:r>
      <w:r w:rsidR="00962407" w:rsidRPr="00AC13E7">
        <w:t>tumour</w:t>
      </w:r>
      <w:r w:rsidRPr="00AC13E7">
        <w:t xml:space="preserve"> cell content are estimated. </w:t>
      </w:r>
    </w:p>
    <w:p w14:paraId="5350DCD3" w14:textId="7BB2761D" w:rsidR="00ED0812" w:rsidRPr="00AC13E7" w:rsidRDefault="00ED0812" w:rsidP="00D86E26">
      <w:pPr>
        <w:jc w:val="both"/>
      </w:pPr>
      <w:r w:rsidRPr="00AC13E7">
        <w:t>During pre-processing of the data, allele frequencies are obtained for all single nucleotide polymorphism (SNP) positions recorded in dbSNP version 135</w:t>
      </w:r>
      <w:r w:rsidR="004E72F9" w:rsidRPr="00AC13E7">
        <w:fldChar w:fldCharType="begin"/>
      </w:r>
      <w:r w:rsidR="00D86E26">
        <w:instrText xml:space="preserve"> ADDIN EN.CITE &lt;EndNote&gt;&lt;Cite&gt;&lt;RecNum&gt;2&lt;/RecNum&gt;&lt;DisplayText&gt;&lt;style face="superscript"&gt;8&lt;/style&gt;&lt;/DisplayText&gt;&lt;record&gt;&lt;rec-number&gt;2&lt;/rec-number&gt;&lt;foreign-keys&gt;&lt;key app="EN" db-id="swsz0f55g50w9yex0aqvtfdxarrpzt5z00pd" timestamp="1493734554"&gt;2&lt;/key&gt;&lt;/foreign-keys&gt;&lt;ref-type name="Aggregated Database"&gt;55&lt;/ref-type&gt;&lt;contributors&gt;&lt;/contributors&gt;&lt;titles&gt;&lt;title&gt;Database of Single Nucleotide Polymorphisms (dbSNP)&lt;/title&gt;&lt;/titles&gt;&lt;volume&gt;(dbSNP Build ID: 135)&lt;/volume&gt;&lt;dates&gt;&lt;/dates&gt;&lt;pub-location&gt;Bethesda (MD): National Center for Biotechnology Information, National Library of Medicine&lt;/pub-location&gt;&lt;urls&gt;&lt;/urls&gt;&lt;/record&gt;&lt;/Cite&gt;&lt;/EndNote&gt;</w:instrText>
      </w:r>
      <w:r w:rsidR="004E72F9" w:rsidRPr="00AC13E7">
        <w:fldChar w:fldCharType="separate"/>
      </w:r>
      <w:r w:rsidR="00D86E26" w:rsidRPr="00D86E26">
        <w:rPr>
          <w:noProof/>
          <w:vertAlign w:val="superscript"/>
        </w:rPr>
        <w:t>8</w:t>
      </w:r>
      <w:r w:rsidR="004E72F9" w:rsidRPr="00AC13E7">
        <w:fldChar w:fldCharType="end"/>
      </w:r>
      <w:r w:rsidRPr="00AC13E7">
        <w:t>. To improve sensitivity for the detection of genomic imbalances, SNPs in the matched normal are phased with IMPUTE2</w:t>
      </w:r>
      <w:r w:rsidRPr="00AC13E7">
        <w:fldChar w:fldCharType="begin"/>
      </w:r>
      <w:r w:rsidR="00D86E26">
        <w:instrText xml:space="preserve"> ADDIN EN.CITE &lt;EndNote&gt;&lt;Cite&gt;&lt;Author&gt;Howie&lt;/Author&gt;&lt;Year&gt;2009&lt;/Year&gt;&lt;RecNum&gt;3&lt;/RecNum&gt;&lt;DisplayText&gt;&lt;style face="superscript"&gt;9&lt;/style&gt;&lt;/DisplayText&gt;&lt;record&gt;&lt;rec-number&gt;3&lt;/rec-number&gt;&lt;foreign-keys&gt;&lt;key app="EN" db-id="swsz0f55g50w9yex0aqvtfdxarrpzt5z00pd" timestamp="1493734958"&gt;3&lt;/key&gt;&lt;/foreign-keys&gt;&lt;ref-type name="Journal Article"&gt;17&lt;/ref-type&gt;&lt;contributors&gt;&lt;authors&gt;&lt;author&gt;Howie, B. N.&lt;/author&gt;&lt;author&gt;Donnelly, P.&lt;/author&gt;&lt;author&gt;Marchini, J.&lt;/author&gt;&lt;/authors&gt;&lt;/contributors&gt;&lt;auth-address&gt;Department of Statistics, University of Oxford, Oxford, UK.&lt;/auth-address&gt;&lt;titles&gt;&lt;title&gt;A flexible and accurate genotype imputation method for the next generation of genome-wide association studies&lt;/title&gt;&lt;secondary-title&gt;PLoS Genet&lt;/secondary-title&gt;&lt;/titles&gt;&lt;periodical&gt;&lt;full-title&gt;PLoS Genet&lt;/full-title&gt;&lt;/periodical&gt;&lt;pages&gt;e1000529&lt;/pages&gt;&lt;volume&gt;5&lt;/volume&gt;&lt;number&gt;6&lt;/number&gt;&lt;keywords&gt;&lt;keyword&gt;Genetics, Population&lt;/keyword&gt;&lt;keyword&gt;Genome-Wide Association Study/*methods&lt;/keyword&gt;&lt;keyword&gt;Genotype&lt;/keyword&gt;&lt;keyword&gt;Humans&lt;/keyword&gt;&lt;keyword&gt;Polymorphism, Single Nucleotide&lt;/keyword&gt;&lt;keyword&gt;Software&lt;/keyword&gt;&lt;/keywords&gt;&lt;dates&gt;&lt;year&gt;2009&lt;/year&gt;&lt;pub-dates&gt;&lt;date&gt;Jun&lt;/date&gt;&lt;/pub-dates&gt;&lt;/dates&gt;&lt;isbn&gt;1553-7404 (Electronic)&amp;#xD;1553-7390 (Linking)&lt;/isbn&gt;&lt;accession-num&gt;19543373&lt;/accession-num&gt;&lt;urls&gt;&lt;related-urls&gt;&lt;url&gt;https://www.ncbi.nlm.nih.gov/pubmed/19543373&lt;/url&gt;&lt;/related-urls&gt;&lt;/urls&gt;&lt;custom2&gt;PMC2689936&lt;/custom2&gt;&lt;electronic-resource-num&gt;10.1371/journal.pgen.1000529&lt;/electronic-resource-num&gt;&lt;/record&gt;&lt;/Cite&gt;&lt;/EndNote&gt;</w:instrText>
      </w:r>
      <w:r w:rsidRPr="00AC13E7">
        <w:fldChar w:fldCharType="separate"/>
      </w:r>
      <w:r w:rsidR="00D86E26" w:rsidRPr="00D86E26">
        <w:rPr>
          <w:noProof/>
          <w:vertAlign w:val="superscript"/>
        </w:rPr>
        <w:t>9</w:t>
      </w:r>
      <w:r w:rsidRPr="00AC13E7">
        <w:fldChar w:fldCharType="end"/>
      </w:r>
      <w:r w:rsidRPr="00AC13E7">
        <w:t xml:space="preserve"> . The coverage for 10 kb windows with sufficient mapping quality and read depth (maximum mappability over at least 50 % of the window; average coverage of at least 5 reads per base) is determined and corrected for GC content-dependent as well as replication timing-dependent coverage bias. Subsequently the genome is segmented with the PSCBS package</w:t>
      </w:r>
      <w:r w:rsidR="007C7083" w:rsidRPr="00AC13E7">
        <w:fldChar w:fldCharType="begin"/>
      </w:r>
      <w:r w:rsidR="00D86E26">
        <w:instrText xml:space="preserve"> ADDIN EN.CITE &lt;EndNote&gt;&lt;Cite&gt;&lt;Author&gt;Olshen&lt;/Author&gt;&lt;Year&gt;2011&lt;/Year&gt;&lt;RecNum&gt;4&lt;/RecNum&gt;&lt;DisplayText&gt;&lt;style face="superscript"&gt;10&lt;/style&gt;&lt;/DisplayText&gt;&lt;record&gt;&lt;rec-number&gt;4&lt;/rec-number&gt;&lt;foreign-keys&gt;&lt;key app="EN" db-id="swsz0f55g50w9yex0aqvtfdxarrpzt5z00pd" timestamp="1493734983"&gt;4&lt;/key&gt;&lt;/foreign-keys&gt;&lt;ref-type name="Journal Article"&gt;17&lt;/ref-type&gt;&lt;contributors&gt;&lt;authors&gt;&lt;author&gt;Olshen, A. B.&lt;/author&gt;&lt;author&gt;Bengtsson, H.&lt;/author&gt;&lt;author&gt;Neuvial, P.&lt;/author&gt;&lt;author&gt;Spellman, P. T.&lt;/author&gt;&lt;author&gt;Olshen, R. A.&lt;/author&gt;&lt;author&gt;Seshan, V. E.&lt;/author&gt;&lt;/authors&gt;&lt;/contributors&gt;&lt;auth-address&gt;Department of Epidemiology and Biostatistics, University of California, San Francisco, CA, USA. olshena@biostat.ucsf.edu&lt;/auth-address&gt;&lt;titles&gt;&lt;title&gt;Parent-specific copy number in paired tumor-normal studies using circular binary segmentation&lt;/title&gt;&lt;secondary-title&gt;Bioinformatics&lt;/secondary-title&gt;&lt;/titles&gt;&lt;periodical&gt;&lt;full-title&gt;Bioinformatics&lt;/full-title&gt;&lt;/periodical&gt;&lt;pages&gt;2038-46&lt;/pages&gt;&lt;volume&gt;27&lt;/volume&gt;&lt;number&gt;15&lt;/number&gt;&lt;keywords&gt;&lt;keyword&gt;*Algorithms&lt;/keyword&gt;&lt;keyword&gt;Alleles&lt;/keyword&gt;&lt;keyword&gt;Computer Simulation&lt;/keyword&gt;&lt;keyword&gt;*Gene Dosage&lt;/keyword&gt;&lt;keyword&gt;Gene Frequency&lt;/keyword&gt;&lt;keyword&gt;Glioblastoma/*genetics&lt;/keyword&gt;&lt;keyword&gt;Humans&lt;/keyword&gt;&lt;keyword&gt;Loss of Heterozygosity&lt;/keyword&gt;&lt;keyword&gt;Polymorphism, Single Nucleotide&lt;/keyword&gt;&lt;keyword&gt;Sequence Analysis, DNA/*methods&lt;/keyword&gt;&lt;keyword&gt;Software&lt;/keyword&gt;&lt;/keywords&gt;&lt;dates&gt;&lt;year&gt;2011&lt;/year&gt;&lt;pub-dates&gt;&lt;date&gt;Aug 01&lt;/date&gt;&lt;/pub-dates&gt;&lt;/dates&gt;&lt;isbn&gt;1367-4811 (Electronic)&amp;#xD;1367-4803 (Linking)&lt;/isbn&gt;&lt;accession-num&gt;21666266&lt;/accession-num&gt;&lt;urls&gt;&lt;related-urls&gt;&lt;url&gt;https://www.ncbi.nlm.nih.gov/pubmed/21666266&lt;/url&gt;&lt;/related-urls&gt;&lt;/urls&gt;&lt;custom2&gt;PMC3137217&lt;/custom2&gt;&lt;electronic-resource-num&gt;10.1093/bioinformatics/btr329&lt;/electronic-resource-num&gt;&lt;/record&gt;&lt;/Cite&gt;&lt;/EndNote&gt;</w:instrText>
      </w:r>
      <w:r w:rsidR="007C7083" w:rsidRPr="00AC13E7">
        <w:fldChar w:fldCharType="separate"/>
      </w:r>
      <w:r w:rsidR="00D86E26" w:rsidRPr="00D86E26">
        <w:rPr>
          <w:noProof/>
          <w:vertAlign w:val="superscript"/>
        </w:rPr>
        <w:t>10</w:t>
      </w:r>
      <w:r w:rsidR="007C7083" w:rsidRPr="00AC13E7">
        <w:fldChar w:fldCharType="end"/>
      </w:r>
      <w:r w:rsidR="007C7083" w:rsidRPr="00AC13E7">
        <w:t xml:space="preserve"> </w:t>
      </w:r>
      <w:r w:rsidRPr="00AC13E7">
        <w:t xml:space="preserve">into regions of equal coverage and imbalance state. Prior to segmentation, </w:t>
      </w:r>
      <w:r w:rsidR="0035761C" w:rsidRPr="00AC13E7">
        <w:t xml:space="preserve">structural variant (SV) </w:t>
      </w:r>
      <w:r w:rsidRPr="00AC13E7">
        <w:t>breakpoints defined by the consensus SV set</w:t>
      </w:r>
      <w:r w:rsidR="00121BAB" w:rsidRPr="00AC13E7">
        <w:t xml:space="preserve"> </w:t>
      </w:r>
      <w:r w:rsidRPr="00AC13E7">
        <w:t xml:space="preserve">were incorporated as segment borders. The resulting segments were submitted for consensus breakpoint estimation. </w:t>
      </w:r>
    </w:p>
    <w:p w14:paraId="60AE1297" w14:textId="39471A82" w:rsidR="00ED0812" w:rsidRPr="00AC13E7" w:rsidRDefault="00ED0812" w:rsidP="00F14636">
      <w:pPr>
        <w:jc w:val="both"/>
      </w:pPr>
      <w:r w:rsidRPr="00AC13E7">
        <w:t xml:space="preserve">The segments obtained with the final consensus breakpoints were annotated with coverage and BAF values to estimate the </w:t>
      </w:r>
      <w:r w:rsidR="00962407" w:rsidRPr="00AC13E7">
        <w:t>tumour</w:t>
      </w:r>
      <w:r w:rsidRPr="00AC13E7">
        <w:t xml:space="preserve"> cell content and ploidy of the sample. All ploidy / </w:t>
      </w:r>
      <w:r w:rsidR="00962407" w:rsidRPr="00AC13E7">
        <w:t>tumour</w:t>
      </w:r>
      <w:r w:rsidRPr="00AC13E7">
        <w:t xml:space="preserve"> cell content combinations in the range of 1 and 6.5 for ploidy and 15% and 100% for </w:t>
      </w:r>
      <w:r w:rsidR="00962407" w:rsidRPr="00AC13E7">
        <w:t>tumour</w:t>
      </w:r>
      <w:r w:rsidRPr="00AC13E7">
        <w:t xml:space="preserve"> cell content were </w:t>
      </w:r>
      <w:r w:rsidR="00C02CC3" w:rsidRPr="00AC13E7">
        <w:t>modelled</w:t>
      </w:r>
      <w:r w:rsidRPr="00AC13E7">
        <w:t>, and the combination which best explain</w:t>
      </w:r>
      <w:r w:rsidR="00163BB2" w:rsidRPr="00AC13E7">
        <w:t>s</w:t>
      </w:r>
      <w:r w:rsidRPr="00AC13E7">
        <w:t xml:space="preserve"> the data was chosen. Balanced segments were constrained to even-numbered copy number states during the fitting, and solutions which required a BAF value &gt; 1 or negative copy numbers for at least one segment were excluded</w:t>
      </w:r>
      <w:r w:rsidR="00C02CC3" w:rsidRPr="00AC13E7">
        <w:t>.</w:t>
      </w:r>
    </w:p>
    <w:p w14:paraId="2BBFBE6C" w14:textId="77777777" w:rsidR="00720570" w:rsidRPr="00AC13E7" w:rsidRDefault="00720570" w:rsidP="00ED7622">
      <w:pPr>
        <w:pStyle w:val="Heading3"/>
        <w:rPr>
          <w:rFonts w:ascii="Times New Roman" w:hAnsi="Times New Roman" w:cs="Times New Roman"/>
          <w:b w:val="0"/>
          <w:bCs/>
          <w:sz w:val="32"/>
          <w:szCs w:val="32"/>
          <w:lang w:val="en-GB"/>
        </w:rPr>
      </w:pPr>
    </w:p>
    <w:p w14:paraId="0FA8F99C" w14:textId="6655322C" w:rsidR="00297E8D" w:rsidRPr="00AC13E7" w:rsidRDefault="00FE3B88" w:rsidP="00ED7622">
      <w:pPr>
        <w:pStyle w:val="Heading3"/>
        <w:rPr>
          <w:rFonts w:ascii="Times New Roman" w:hAnsi="Times New Roman" w:cs="Times New Roman"/>
          <w:b w:val="0"/>
          <w:bCs/>
          <w:sz w:val="32"/>
          <w:szCs w:val="32"/>
          <w:lang w:val="en-GB"/>
        </w:rPr>
      </w:pPr>
      <w:bookmarkStart w:id="38" w:name="_Toc499571721"/>
      <w:bookmarkStart w:id="39" w:name="_Toc391905000"/>
      <w:r w:rsidRPr="00AC13E7">
        <w:rPr>
          <w:rFonts w:ascii="Times New Roman" w:hAnsi="Times New Roman" w:cs="Times New Roman"/>
          <w:b w:val="0"/>
          <w:bCs/>
          <w:sz w:val="32"/>
          <w:szCs w:val="32"/>
          <w:lang w:val="en-GB"/>
        </w:rPr>
        <w:t>1.2.3 Battenberg</w:t>
      </w:r>
      <w:bookmarkEnd w:id="38"/>
      <w:bookmarkEnd w:id="39"/>
    </w:p>
    <w:p w14:paraId="17474403" w14:textId="09869C3B" w:rsidR="00FF20B3" w:rsidRPr="00AC13E7" w:rsidRDefault="00FF20B3" w:rsidP="00FF20B3">
      <w:pPr>
        <w:jc w:val="both"/>
        <w:rPr>
          <w:rFonts w:eastAsia="Arial"/>
        </w:rPr>
      </w:pPr>
      <w:r w:rsidRPr="00AC13E7">
        <w:rPr>
          <w:rFonts w:eastAsia="Arial"/>
        </w:rPr>
        <w:t>Stefan Dentro, Kevin Dawson, Henry Lee-Six, David Wedge, Peter Van Loo</w:t>
      </w:r>
    </w:p>
    <w:p w14:paraId="4AB67578" w14:textId="77777777" w:rsidR="00F84C52" w:rsidRPr="00AC13E7" w:rsidRDefault="00F84C52" w:rsidP="00D62891">
      <w:pPr>
        <w:jc w:val="both"/>
        <w:rPr>
          <w:rFonts w:eastAsia="Arial"/>
        </w:rPr>
      </w:pPr>
    </w:p>
    <w:p w14:paraId="6BE15ECF" w14:textId="700AFE82" w:rsidR="00720570" w:rsidRPr="00AC13E7" w:rsidRDefault="00FE3B88" w:rsidP="00D86E26">
      <w:pPr>
        <w:jc w:val="both"/>
        <w:rPr>
          <w:rFonts w:eastAsia="Arial"/>
        </w:rPr>
      </w:pPr>
      <w:r w:rsidRPr="00AC13E7">
        <w:rPr>
          <w:rFonts w:eastAsia="Arial"/>
        </w:rPr>
        <w:t>We applied the previously described</w:t>
      </w:r>
      <w:r w:rsidR="007900E4" w:rsidRPr="00AC13E7">
        <w:rPr>
          <w:rFonts w:eastAsia="Arial"/>
        </w:rPr>
        <w:fldChar w:fldCharType="begin">
          <w:fldData xml:space="preserve">PEVuZE5vdGU+PENpdGU+PEF1dGhvcj5EZW50cm88L0F1dGhvcj48WWVhcj4yMDE3PC9ZZWFyPjxS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</w:fldData>
        </w:fldChar>
      </w:r>
      <w:r w:rsidR="00D86E26">
        <w:rPr>
          <w:rFonts w:eastAsia="Arial"/>
        </w:rPr>
        <w:instrText xml:space="preserve"> ADDIN EN.CITE </w:instrText>
      </w:r>
      <w:r w:rsidR="00D86E26">
        <w:rPr>
          <w:rFonts w:eastAsia="Arial"/>
        </w:rPr>
        <w:fldChar w:fldCharType="begin">
          <w:fldData xml:space="preserve">PEVuZE5vdGU+PENpdGU+PEF1dGhvcj5EZW50cm88L0F1dGhvcj48WWVhcj4yMDE3PC9ZZWFyPjxS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</w:fldData>
        </w:fldChar>
      </w:r>
      <w:r w:rsidR="00D86E26">
        <w:rPr>
          <w:rFonts w:eastAsia="Arial"/>
        </w:rPr>
        <w:instrText xml:space="preserve"> ADDIN EN.CITE.DATA </w:instrText>
      </w:r>
      <w:r w:rsidR="00D86E26">
        <w:rPr>
          <w:rFonts w:eastAsia="Arial"/>
        </w:rPr>
      </w:r>
      <w:r w:rsidR="00D86E26">
        <w:rPr>
          <w:rFonts w:eastAsia="Arial"/>
        </w:rPr>
        <w:fldChar w:fldCharType="end"/>
      </w:r>
      <w:r w:rsidR="007900E4" w:rsidRPr="00AC13E7">
        <w:rPr>
          <w:rFonts w:eastAsia="Arial"/>
        </w:rPr>
      </w:r>
      <w:r w:rsidR="007900E4" w:rsidRPr="00AC13E7">
        <w:rPr>
          <w:rFonts w:eastAsia="Arial"/>
        </w:rPr>
        <w:fldChar w:fldCharType="separate"/>
      </w:r>
      <w:r w:rsidR="00D86E26" w:rsidRPr="00D86E26">
        <w:rPr>
          <w:rFonts w:eastAsia="Arial"/>
          <w:noProof/>
          <w:vertAlign w:val="superscript"/>
        </w:rPr>
        <w:t>11,12</w:t>
      </w:r>
      <w:r w:rsidR="007900E4" w:rsidRPr="00AC13E7">
        <w:rPr>
          <w:rFonts w:eastAsia="Arial"/>
        </w:rPr>
        <w:fldChar w:fldCharType="end"/>
      </w:r>
      <w:r w:rsidR="007900E4" w:rsidRPr="00AC13E7">
        <w:rPr>
          <w:rFonts w:eastAsia="Arial"/>
        </w:rPr>
        <w:t xml:space="preserve"> </w:t>
      </w:r>
      <w:r w:rsidR="00A40178" w:rsidRPr="00AC13E7">
        <w:rPr>
          <w:rFonts w:eastAsia="Arial"/>
        </w:rPr>
        <w:t xml:space="preserve">Battenberg algorithm </w:t>
      </w:r>
      <w:r w:rsidRPr="00AC13E7">
        <w:rPr>
          <w:rFonts w:eastAsia="Arial"/>
        </w:rPr>
        <w:t xml:space="preserve">to the PCAWG data. Briefly, the Battenberg pipeline starts with collecting read count information for all 1000 genomes phase 3 SNPs from the tumour and its matched normal. B-allele frequency (BAF) and relative coverage ratio (logR) are calculated for each SNP, after which the logR is corrected for GC content. The matched normal is used to obtain germline heterozygous SNPs, which are subsequently phased </w:t>
      </w:r>
      <w:r w:rsidR="00287A26" w:rsidRPr="00AC13E7">
        <w:rPr>
          <w:rFonts w:eastAsia="Arial"/>
        </w:rPr>
        <w:t xml:space="preserve">using IMPUTE2 </w:t>
      </w:r>
      <w:r w:rsidRPr="00AC13E7">
        <w:rPr>
          <w:rFonts w:eastAsia="Arial"/>
        </w:rPr>
        <w:t xml:space="preserve">to obtain haplotype blocks. Outlier blocks are switched because two consecutive haplotype blocks can have a different allele chosen as allele </w:t>
      </w:r>
      <w:r w:rsidRPr="00AC13E7">
        <w:rPr>
          <w:rFonts w:eastAsia="Arial"/>
          <w:i/>
        </w:rPr>
        <w:t>b</w:t>
      </w:r>
      <w:r w:rsidRPr="00AC13E7">
        <w:rPr>
          <w:rFonts w:eastAsia="Arial"/>
        </w:rPr>
        <w:t>. The phased SNPs result in precise BAF estimates that allow for detection of subclonal copy number.</w:t>
      </w:r>
    </w:p>
    <w:p w14:paraId="3FFF1BF7" w14:textId="77777777" w:rsidR="00720570" w:rsidRPr="00AC13E7" w:rsidRDefault="00720570" w:rsidP="00F14636">
      <w:pPr>
        <w:jc w:val="both"/>
        <w:rPr>
          <w:rFonts w:eastAsia="Arial"/>
        </w:rPr>
      </w:pPr>
    </w:p>
    <w:p w14:paraId="38E0BACE" w14:textId="6D46917F" w:rsidR="00720570" w:rsidRPr="00AC13E7" w:rsidRDefault="00FE3B88" w:rsidP="00F14636">
      <w:pPr>
        <w:jc w:val="both"/>
        <w:rPr>
          <w:rFonts w:eastAsia="Arial"/>
        </w:rPr>
      </w:pPr>
      <w:r w:rsidRPr="00AC13E7">
        <w:rPr>
          <w:rFonts w:eastAsia="Arial"/>
        </w:rPr>
        <w:t xml:space="preserve">The data is segmented using piecewise constant fitting (PCF), with structural variants (SVs) taken in as prior established breakpoints. A clonal copy number profile is fit by a grid search over purity and ploidy combinations. The purity/ploidy combination that yields the largest proportion of the genome with clonal copy number is picked. Subclonal copy number is fit by first testing whether the BAF is significantly different from the currently fit clonal copy number state, allowing for at most a 1% deviation from the clonal BAF. If the BAF is significantly different, then there are four options </w:t>
      </w:r>
      <w:r w:rsidRPr="00AC13E7">
        <w:rPr>
          <w:rFonts w:eastAsia="Arial"/>
        </w:rPr>
        <w:lastRenderedPageBreak/>
        <w:t xml:space="preserve">under the assumption that there are at most two cellular populations with only a single allele </w:t>
      </w:r>
      <w:r w:rsidR="003E4874" w:rsidRPr="00AC13E7">
        <w:rPr>
          <w:rFonts w:eastAsia="Arial"/>
        </w:rPr>
        <w:t>copy number difference: Allele A and B are rounded up, A and B are rounded down, A is rounded up and B is rounded down, or A is rounded down and B</w:t>
      </w:r>
      <w:r w:rsidRPr="00AC13E7">
        <w:rPr>
          <w:rFonts w:eastAsia="Arial"/>
        </w:rPr>
        <w:t xml:space="preserve"> is rounded up. The option that explains the observed BAF best is picked and used to fit the final copy number states.</w:t>
      </w:r>
    </w:p>
    <w:p w14:paraId="206B5624" w14:textId="77777777" w:rsidR="00720570" w:rsidRPr="00AC13E7" w:rsidRDefault="00720570" w:rsidP="00F14636">
      <w:pPr>
        <w:jc w:val="both"/>
        <w:rPr>
          <w:rFonts w:eastAsia="Arial"/>
        </w:rPr>
      </w:pPr>
    </w:p>
    <w:p w14:paraId="50D46CBB" w14:textId="3084F1F5" w:rsidR="00720570" w:rsidRPr="00AC13E7" w:rsidRDefault="00FE3B88" w:rsidP="00D86E26">
      <w:pPr>
        <w:jc w:val="both"/>
        <w:rPr>
          <w:rFonts w:eastAsia="Arial"/>
        </w:rPr>
      </w:pPr>
      <w:r w:rsidRPr="00AC13E7">
        <w:rPr>
          <w:rFonts w:eastAsia="Arial"/>
        </w:rPr>
        <w:t>The algorithm used for this analysis is different from th</w:t>
      </w:r>
      <w:r w:rsidR="0013188E" w:rsidRPr="00AC13E7">
        <w:rPr>
          <w:rFonts w:eastAsia="Arial"/>
        </w:rPr>
        <w:t>e original version</w:t>
      </w:r>
      <w:r w:rsidRPr="00AC13E7">
        <w:rPr>
          <w:rFonts w:eastAsia="Arial"/>
        </w:rPr>
        <w:t xml:space="preserve"> in three ways: Correction for GC content, inclusion of SVs during segmentation and merging of adjacent segments that are assigned the same copy number states. Sequencing data can be affected by inconsistent coverage that correlates with GC content</w:t>
      </w:r>
      <w:r w:rsidR="00400E82" w:rsidRPr="00AC13E7">
        <w:rPr>
          <w:rFonts w:eastAsia="Arial"/>
        </w:rPr>
        <w:fldChar w:fldCharType="begin"/>
      </w:r>
      <w:r w:rsidR="00D86E26">
        <w:rPr>
          <w:rFonts w:eastAsia="Arial"/>
        </w:rPr>
        <w:instrText xml:space="preserve"> ADDIN EN.CITE &lt;EndNote&gt;&lt;Cite&gt;&lt;Author&gt;Benjamini&lt;/Author&gt;&lt;Year&gt;2012&lt;/Year&gt;&lt;RecNum&gt;7&lt;/RecNum&gt;&lt;DisplayText&gt;&lt;style face="superscript"&gt;13&lt;/style&gt;&lt;/DisplayText&gt;&lt;record&gt;&lt;rec-number&gt;7&lt;/rec-number&gt;&lt;foreign-keys&gt;&lt;key app="EN" db-id="swsz0f55g50w9yex0aqvtfdxarrpzt5z00pd" timestamp="1493738960"&gt;7&lt;/key&gt;&lt;/foreign-keys&gt;&lt;ref-type name="Journal Article"&gt;17&lt;/ref-type&gt;&lt;contributors&gt;&lt;authors&gt;&lt;author&gt;Benjamini, Y.&lt;/author&gt;&lt;author&gt;Speed, T. P.&lt;/author&gt;&lt;/authors&gt;&lt;/contributors&gt;&lt;auth-address&gt;Department of Statistics, University of California, Berkeley, CA 94720, USA. yuvalb@stat.berkeley.edu&lt;/auth-address&gt;&lt;titles&gt;&lt;title&gt;Summarizing and correcting the GC content bias in high-throughput sequencing&lt;/title&gt;&lt;secondary-title&gt;Nucleic Acids Res&lt;/secondary-title&gt;&lt;/titles&gt;&lt;periodical&gt;&lt;full-title&gt;Nucleic Acids Res&lt;/full-title&gt;&lt;/periodical&gt;&lt;pages&gt;e72&lt;/pages&gt;&lt;volume&gt;40&lt;/volume&gt;&lt;number&gt;10&lt;/number&gt;&lt;keywords&gt;&lt;keyword&gt;Base Composition&lt;/keyword&gt;&lt;keyword&gt;DNA/chemistry&lt;/keyword&gt;&lt;keyword&gt;Genome, Human&lt;/keyword&gt;&lt;keyword&gt;High-Throughput Nucleotide Sequencing/*methods&lt;/keyword&gt;&lt;keyword&gt;Humans&lt;/keyword&gt;&lt;keyword&gt;Models, Genetic&lt;/keyword&gt;&lt;keyword&gt;Poisson Distribution&lt;/keyword&gt;&lt;keyword&gt;Sequence Analysis, DNA/*methods&lt;/keyword&gt;&lt;/keywords&gt;&lt;dates&gt;&lt;year&gt;2012&lt;/year&gt;&lt;pub-dates&gt;&lt;date&gt;May&lt;/date&gt;&lt;/pub-dates&gt;&lt;/dates&gt;&lt;isbn&gt;1362-4962 (Electronic)&amp;#xD;0305-1048 (Linking)&lt;/isbn&gt;&lt;accession-num&gt;22323520&lt;/accession-num&gt;&lt;urls&gt;&lt;related-urls&gt;&lt;url&gt;https://www.ncbi.nlm.nih.gov/pubmed/22323520&lt;/url&gt;&lt;/related-urls&gt;&lt;/urls&gt;&lt;custom2&gt;PMC3378858&lt;/custom2&gt;&lt;electronic-resource-num&gt;10.1093/nar/gks001&lt;/electronic-resource-num&gt;&lt;/record&gt;&lt;/Cite&gt;&lt;/EndNote&gt;</w:instrText>
      </w:r>
      <w:r w:rsidR="00400E82" w:rsidRPr="00AC13E7">
        <w:rPr>
          <w:rFonts w:eastAsia="Arial"/>
        </w:rPr>
        <w:fldChar w:fldCharType="separate"/>
      </w:r>
      <w:r w:rsidR="00D86E26" w:rsidRPr="00D86E26">
        <w:rPr>
          <w:rFonts w:eastAsia="Arial"/>
          <w:noProof/>
          <w:vertAlign w:val="superscript"/>
        </w:rPr>
        <w:t>13</w:t>
      </w:r>
      <w:r w:rsidR="00400E82" w:rsidRPr="00AC13E7">
        <w:rPr>
          <w:rFonts w:eastAsia="Arial"/>
        </w:rPr>
        <w:fldChar w:fldCharType="end"/>
      </w:r>
      <w:r w:rsidR="00400E82" w:rsidRPr="00AC13E7">
        <w:rPr>
          <w:rFonts w:eastAsia="Arial"/>
        </w:rPr>
        <w:t xml:space="preserve"> </w:t>
      </w:r>
      <w:r w:rsidRPr="00AC13E7">
        <w:rPr>
          <w:rFonts w:eastAsia="Arial"/>
        </w:rPr>
        <w:t>and coverage</w:t>
      </w:r>
      <w:r w:rsidR="003E4874" w:rsidRPr="00AC13E7">
        <w:rPr>
          <w:rFonts w:eastAsia="Arial"/>
        </w:rPr>
        <w:t xml:space="preserve"> is contained within the L</w:t>
      </w:r>
      <w:r w:rsidRPr="00AC13E7">
        <w:rPr>
          <w:rFonts w:eastAsia="Arial"/>
        </w:rPr>
        <w:t>ogR calculations. A correction step is ther</w:t>
      </w:r>
      <w:r w:rsidR="003E4874" w:rsidRPr="00AC13E7">
        <w:rPr>
          <w:rFonts w:eastAsia="Arial"/>
        </w:rPr>
        <w:t>efore required. We correct the L</w:t>
      </w:r>
      <w:r w:rsidRPr="00AC13E7">
        <w:rPr>
          <w:rFonts w:eastAsia="Arial"/>
        </w:rPr>
        <w:t xml:space="preserve">ogR by fitting a linear model that explains the data as being </w:t>
      </w:r>
      <w:r w:rsidR="003E4874" w:rsidRPr="00AC13E7">
        <w:rPr>
          <w:rFonts w:eastAsia="Arial"/>
        </w:rPr>
        <w:t>affected by two types of GC arte</w:t>
      </w:r>
      <w:r w:rsidRPr="00AC13E7">
        <w:rPr>
          <w:rFonts w:eastAsia="Arial"/>
        </w:rPr>
        <w:t xml:space="preserve">facts: A high frequency wave, encoded in a small window size and a low frequency wave corresponding to a large window size. We pre-calculated the GC content in various windows </w:t>
      </w:r>
      <w:r w:rsidR="003E4874" w:rsidRPr="00AC13E7">
        <w:rPr>
          <w:rFonts w:eastAsia="Arial"/>
        </w:rPr>
        <w:t>centred</w:t>
      </w:r>
      <w:r w:rsidRPr="00AC13E7">
        <w:rPr>
          <w:rFonts w:eastAsia="Arial"/>
        </w:rPr>
        <w:t xml:space="preserve"> on each 1000 genomes SNP. For each window</w:t>
      </w:r>
      <w:r w:rsidR="00400E82" w:rsidRPr="00AC13E7">
        <w:rPr>
          <w:rFonts w:eastAsia="Arial"/>
        </w:rPr>
        <w:t xml:space="preserve"> </w:t>
      </w:r>
      <w:r w:rsidRPr="00AC13E7">
        <w:rPr>
          <w:rFonts w:eastAsia="Arial"/>
        </w:rPr>
        <w:t>size</w:t>
      </w:r>
      <w:r w:rsidR="00400E82" w:rsidRPr="00AC13E7">
        <w:rPr>
          <w:rFonts w:eastAsia="Arial"/>
        </w:rPr>
        <w:t xml:space="preserve"> </w:t>
      </w:r>
      <w:r w:rsidRPr="00AC13E7">
        <w:rPr>
          <w:rFonts w:eastAsia="Arial"/>
        </w:rPr>
        <w:t>we calculate the GC content correlation and pick the highest correlating window size below 1MB and of 1MB or larger. The residu</w:t>
      </w:r>
      <w:r w:rsidR="00791201" w:rsidRPr="00AC13E7">
        <w:rPr>
          <w:rFonts w:eastAsia="Arial"/>
        </w:rPr>
        <w:t>al</w:t>
      </w:r>
      <w:r w:rsidRPr="00AC13E7">
        <w:rPr>
          <w:rFonts w:eastAsia="Arial"/>
        </w:rPr>
        <w:t>s of the linear mo</w:t>
      </w:r>
      <w:r w:rsidR="003E4874" w:rsidRPr="00AC13E7">
        <w:rPr>
          <w:rFonts w:eastAsia="Arial"/>
        </w:rPr>
        <w:t>del are saved as the corrected L</w:t>
      </w:r>
      <w:r w:rsidRPr="00AC13E7">
        <w:rPr>
          <w:rFonts w:eastAsia="Arial"/>
        </w:rPr>
        <w:t>ogR.</w:t>
      </w:r>
    </w:p>
    <w:p w14:paraId="005C30FB" w14:textId="77777777" w:rsidR="00720570" w:rsidRPr="00AC13E7" w:rsidRDefault="00720570" w:rsidP="00F14636">
      <w:pPr>
        <w:jc w:val="both"/>
        <w:rPr>
          <w:rFonts w:eastAsia="Arial"/>
        </w:rPr>
      </w:pPr>
    </w:p>
    <w:p w14:paraId="6BCFC800" w14:textId="27AFC4F1" w:rsidR="00720570" w:rsidRPr="00AC13E7" w:rsidRDefault="00FE3B88" w:rsidP="00F14636">
      <w:pPr>
        <w:jc w:val="both"/>
        <w:rPr>
          <w:rFonts w:eastAsia="Arial"/>
          <w:sz w:val="20"/>
          <w:szCs w:val="20"/>
        </w:rPr>
      </w:pPr>
      <w:r w:rsidRPr="00AC13E7">
        <w:rPr>
          <w:rFonts w:eastAsia="Arial"/>
        </w:rPr>
        <w:t>Inclusion of SVs during segmentation increases the accuracy of the segmentation and therefore the copy number calls. We first create SV segments by sorting the breakpoints by chromosome and position. Then, for every SV segment, PCF is run separately to obtain the final segmentation. After copy number has been established</w:t>
      </w:r>
      <w:r w:rsidR="003E4874" w:rsidRPr="00AC13E7">
        <w:rPr>
          <w:rFonts w:eastAsia="Arial"/>
        </w:rPr>
        <w:t>,</w:t>
      </w:r>
      <w:r w:rsidRPr="00AC13E7">
        <w:rPr>
          <w:rFonts w:eastAsia="Arial"/>
        </w:rPr>
        <w:t xml:space="preserve"> we merge adjacent segments with equal copy number states. This step removes SV supported segments that do not constitute a copy number change (inversions).</w:t>
      </w:r>
    </w:p>
    <w:p w14:paraId="1D389865" w14:textId="77777777" w:rsidR="00720570" w:rsidRPr="00AC13E7" w:rsidRDefault="00720570" w:rsidP="00F14636">
      <w:pPr>
        <w:jc w:val="both"/>
        <w:rPr>
          <w:rFonts w:eastAsia="Arial"/>
          <w:sz w:val="22"/>
          <w:szCs w:val="22"/>
        </w:rPr>
      </w:pPr>
    </w:p>
    <w:p w14:paraId="5325971A" w14:textId="77777777" w:rsidR="00B73E2B" w:rsidRPr="00AC13E7" w:rsidRDefault="00B73E2B" w:rsidP="00F14636">
      <w:pPr>
        <w:jc w:val="both"/>
        <w:rPr>
          <w:rFonts w:eastAsia="Arial"/>
          <w:sz w:val="22"/>
          <w:szCs w:val="22"/>
        </w:rPr>
      </w:pPr>
    </w:p>
    <w:p w14:paraId="1E1F8DD5" w14:textId="0C79982E" w:rsidR="00A24AD8" w:rsidRPr="00AC13E7" w:rsidRDefault="00FE3B88" w:rsidP="00ED7622">
      <w:pPr>
        <w:pStyle w:val="Heading3"/>
        <w:rPr>
          <w:rFonts w:ascii="Times New Roman" w:hAnsi="Times New Roman" w:cs="Times New Roman"/>
          <w:b w:val="0"/>
          <w:bCs/>
          <w:sz w:val="32"/>
          <w:szCs w:val="32"/>
          <w:lang w:val="en-GB"/>
        </w:rPr>
      </w:pPr>
      <w:bookmarkStart w:id="40" w:name="_Toc499571722"/>
      <w:bookmarkStart w:id="41" w:name="_Toc391905001"/>
      <w:r w:rsidRPr="00AC13E7">
        <w:rPr>
          <w:rFonts w:ascii="Times New Roman" w:hAnsi="Times New Roman" w:cs="Times New Roman"/>
          <w:b w:val="0"/>
          <w:bCs/>
          <w:sz w:val="32"/>
          <w:szCs w:val="32"/>
          <w:lang w:val="en-GB"/>
        </w:rPr>
        <w:t xml:space="preserve">1.2.4 </w:t>
      </w:r>
      <w:r w:rsidR="00A24AD8" w:rsidRPr="00AC13E7">
        <w:rPr>
          <w:rFonts w:ascii="Times New Roman" w:hAnsi="Times New Roman" w:cs="Times New Roman"/>
          <w:b w:val="0"/>
          <w:bCs/>
          <w:sz w:val="32"/>
          <w:szCs w:val="32"/>
          <w:lang w:val="en-GB"/>
        </w:rPr>
        <w:t>cloneHD</w:t>
      </w:r>
      <w:bookmarkEnd w:id="40"/>
      <w:bookmarkEnd w:id="41"/>
    </w:p>
    <w:p w14:paraId="2FEABC23" w14:textId="724F8497" w:rsidR="00F84C52" w:rsidRPr="00AC13E7" w:rsidRDefault="00F84C52" w:rsidP="00F84C52">
      <w:pPr>
        <w:jc w:val="both"/>
      </w:pPr>
      <w:r w:rsidRPr="00AC13E7">
        <w:t>Ignacio Vázquez García</w:t>
      </w:r>
      <w:r w:rsidR="00016DB4" w:rsidRPr="00AC13E7">
        <w:t>, Ville Mustonen</w:t>
      </w:r>
    </w:p>
    <w:p w14:paraId="5B40690C" w14:textId="77777777" w:rsidR="00F84C52" w:rsidRPr="00AC13E7" w:rsidRDefault="00F84C52" w:rsidP="00D62891">
      <w:pPr>
        <w:jc w:val="both"/>
      </w:pPr>
    </w:p>
    <w:p w14:paraId="5FF1A3A0" w14:textId="38EB6EBB" w:rsidR="00A24AD8" w:rsidRPr="00AC13E7" w:rsidRDefault="00A24AD8" w:rsidP="00D86E26">
      <w:pPr>
        <w:jc w:val="both"/>
      </w:pPr>
      <w:r w:rsidRPr="00AC13E7">
        <w:t>We used the cloneHD algorithm for copy number calling</w:t>
      </w:r>
      <w:r w:rsidR="00400E82" w:rsidRPr="00AC13E7">
        <w:fldChar w:fldCharType="begin">
          <w:fldData xml:space="preserve">PEVuZE5vdGU+PENpdGU+PEF1dGhvcj5GaXNjaGVyPC9BdXRob3I+PFllYXI+MjAxNDwvWWVhcj48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</w:fldData>
        </w:fldChar>
      </w:r>
      <w:r w:rsidR="00D86E26">
        <w:instrText xml:space="preserve"> ADDIN EN.CITE </w:instrText>
      </w:r>
      <w:r w:rsidR="00D86E26">
        <w:fldChar w:fldCharType="begin">
          <w:fldData xml:space="preserve">PEVuZE5vdGU+PENpdGU+PEF1dGhvcj5GaXNjaGVyPC9BdXRob3I+PFllYXI+MjAxNDwvWWVhcj48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</w:fldData>
        </w:fldChar>
      </w:r>
      <w:r w:rsidR="00D86E26">
        <w:instrText xml:space="preserve"> ADDIN EN.CITE.DATA </w:instrText>
      </w:r>
      <w:r w:rsidR="00D86E26">
        <w:fldChar w:fldCharType="end"/>
      </w:r>
      <w:r w:rsidR="00400E82" w:rsidRPr="00AC13E7">
        <w:fldChar w:fldCharType="separate"/>
      </w:r>
      <w:r w:rsidR="00D86E26" w:rsidRPr="00D86E26">
        <w:rPr>
          <w:noProof/>
          <w:vertAlign w:val="superscript"/>
        </w:rPr>
        <w:t>14</w:t>
      </w:r>
      <w:r w:rsidR="00400E82" w:rsidRPr="00AC13E7">
        <w:fldChar w:fldCharType="end"/>
      </w:r>
      <w:r w:rsidRPr="00AC13E7">
        <w:t xml:space="preserve">. Briefly, cloneHD implements a Hidden Markov Model (HMM) </w:t>
      </w:r>
      <w:r w:rsidR="003E4874" w:rsidRPr="00AC13E7">
        <w:t>that</w:t>
      </w:r>
      <w:r w:rsidRPr="00AC13E7">
        <w:t xml:space="preserve"> describes the (hidden) copy number state of the sample. The hidden states emit observations </w:t>
      </w:r>
      <w:r w:rsidR="003E4874" w:rsidRPr="00AC13E7">
        <w:t>that</w:t>
      </w:r>
      <w:r w:rsidRPr="00AC13E7">
        <w:t xml:space="preserve"> correspond to the read depth and B-allele frequency counts (BAF) of each sample. The emission models implemented in cloneHD are Poisson for </w:t>
      </w:r>
      <w:r w:rsidR="00CE22E2" w:rsidRPr="00AC13E7">
        <w:t xml:space="preserve">read depth </w:t>
      </w:r>
      <w:r w:rsidRPr="00AC13E7">
        <w:t xml:space="preserve">and Binomial for BAF, and their over-dispersed counterparts. Here we used cloneHD in </w:t>
      </w:r>
      <w:r w:rsidR="00CE22E2" w:rsidRPr="00AC13E7">
        <w:t>read depth + BAF</w:t>
      </w:r>
      <w:r w:rsidRPr="00AC13E7">
        <w:t xml:space="preserve"> mode and exclusively the Poisson and Binomial emission models.</w:t>
      </w:r>
    </w:p>
    <w:p w14:paraId="541F1A2C" w14:textId="77777777" w:rsidR="00A24AD8" w:rsidRPr="00AC13E7" w:rsidRDefault="00A24AD8" w:rsidP="00553DF7">
      <w:pPr>
        <w:jc w:val="both"/>
        <w:rPr>
          <w:rFonts w:eastAsia="Times New Roman"/>
        </w:rPr>
      </w:pPr>
    </w:p>
    <w:p w14:paraId="483BFD26" w14:textId="3CF27A44" w:rsidR="00A24AD8" w:rsidRPr="00AC13E7" w:rsidRDefault="00A24AD8" w:rsidP="00593DE1">
      <w:pPr>
        <w:jc w:val="both"/>
      </w:pPr>
      <w:r w:rsidRPr="00AC13E7">
        <w:t>The first step in the cloneHD pipeline is the filterHD algorithm, which is a continuous state space HMM with a jump-diffusion state transition model. The diffusion component is useful to allow for the hidden stat</w:t>
      </w:r>
      <w:r w:rsidR="009839EF" w:rsidRPr="00AC13E7">
        <w:t xml:space="preserve">e to change smoothly and models </w:t>
      </w:r>
      <w:r w:rsidRPr="00AC13E7">
        <w:t>sources of (non-biological) bias. The jump component corresponds to a discrete change in the hidden state above the noise level, such as a copy number gain or loss. The result of filterHD is a posterior probability of the hidden state, e.g., the posterior read depth (both for the tumour and its matched normal) or the posterior B-allele fr</w:t>
      </w:r>
      <w:r w:rsidR="003E4874" w:rsidRPr="00AC13E7">
        <w:t>equency</w:t>
      </w:r>
      <w:r w:rsidRPr="00AC13E7">
        <w:t xml:space="preserve"> for BAF, and per-locus jump probabilities. Importantly, filterHD does not seek to explain the subclonal structure in the data and is a generic algorithm for fuzzy segmentation. It plays a similar role to the segmentation step carried out by most copy number callers.</w:t>
      </w:r>
    </w:p>
    <w:p w14:paraId="406B7B9D" w14:textId="6CB3089B" w:rsidR="00A24AD8" w:rsidRPr="00AC13E7" w:rsidRDefault="00A24AD8" w:rsidP="00E02F9B">
      <w:pPr>
        <w:jc w:val="both"/>
        <w:rPr>
          <w:rFonts w:eastAsia="Times New Roman"/>
        </w:rPr>
      </w:pPr>
      <w:r w:rsidRPr="00AC13E7">
        <w:rPr>
          <w:rFonts w:eastAsia="Times New Roman"/>
        </w:rPr>
        <w:lastRenderedPageBreak/>
        <w:br/>
        <w:t xml:space="preserve">To find out a biologically interpretable model of the data we used cloneHD. This was done by applying cloneHD to both </w:t>
      </w:r>
      <w:r w:rsidR="00CE22E2" w:rsidRPr="00AC13E7">
        <w:rPr>
          <w:rFonts w:eastAsia="Times New Roman"/>
        </w:rPr>
        <w:t xml:space="preserve">read depth </w:t>
      </w:r>
      <w:r w:rsidRPr="00AC13E7">
        <w:rPr>
          <w:rFonts w:eastAsia="Times New Roman"/>
        </w:rPr>
        <w:t xml:space="preserve">and BAF data of each sample, the per-locus jump probability for these, and the mean of the posterior read depth for </w:t>
      </w:r>
      <w:r w:rsidR="00CE22E2" w:rsidRPr="00AC13E7">
        <w:rPr>
          <w:rFonts w:eastAsia="Times New Roman"/>
        </w:rPr>
        <w:t xml:space="preserve">read depth </w:t>
      </w:r>
      <w:r w:rsidRPr="00AC13E7">
        <w:rPr>
          <w:rFonts w:eastAsia="Times New Roman"/>
        </w:rPr>
        <w:t xml:space="preserve">of the matched normal sample (to correct for bias). The HMM implemented in cloneHD aims to explain the data as a mixture of copy number states weighted by the corresponding cellular fractions of normal and cancerous cells, while allowing for the hidden state to change using the per-locus jump probability. Copy number calling using single samples from a tumour suffers from degenerate solutions that can be difficult to resolve. Most importantly, a correct baseline ploidy of the sample has to be inferred. cloneHD allows the user to specify a penalty for leaving a normal baseline (diploid) copy number. A penalty value of 1.0 does not penalise leaving the normal baseline. Without this penalty, higher copy number baselines are typically preferred over lower ones. Biologically, this would mean a higher number of inferred whole genome duplications. By default, we used 0.95 for this penalty. This setting was used to provide cloneHD copy number calls for the consensus breakpoint calling. After consensus breakpoints were available we used them to obtain per-locus jump probabilities, allowing for transitions only at these set locations. We then executed cloneHD as </w:t>
      </w:r>
      <w:r w:rsidR="00E02F9B" w:rsidRPr="00AC13E7">
        <w:rPr>
          <w:rFonts w:eastAsia="Times New Roman"/>
        </w:rPr>
        <w:t>before</w:t>
      </w:r>
      <w:r w:rsidRPr="00AC13E7">
        <w:rPr>
          <w:rFonts w:eastAsia="Times New Roman"/>
        </w:rPr>
        <w:t>, using the baseline penalty values 0.80, 0.95 and 0.99. Based on the consensus average ploidy for each sample we then selected the closest cloneHD solution. We note that for most samples all three solutions are essentially the same, however, for a subset the penalty is decisive whether to call a whole genome duplication or not.</w:t>
      </w:r>
    </w:p>
    <w:p w14:paraId="3C69A1F1" w14:textId="77777777" w:rsidR="00720570" w:rsidRPr="00AC13E7" w:rsidRDefault="00720570" w:rsidP="00553DF7">
      <w:pPr>
        <w:jc w:val="both"/>
        <w:rPr>
          <w:rFonts w:eastAsia="Arial"/>
        </w:rPr>
      </w:pPr>
    </w:p>
    <w:p w14:paraId="62BFD0C0" w14:textId="77777777" w:rsidR="00AE6E8D" w:rsidRPr="00AC13E7" w:rsidRDefault="00AE6E8D" w:rsidP="00553DF7">
      <w:pPr>
        <w:jc w:val="both"/>
        <w:rPr>
          <w:rFonts w:eastAsia="Arial"/>
        </w:rPr>
      </w:pPr>
    </w:p>
    <w:p w14:paraId="6F9E8C10" w14:textId="307041B7" w:rsidR="00016DB4" w:rsidRPr="00AC13E7" w:rsidRDefault="0063114B" w:rsidP="00ED7622">
      <w:pPr>
        <w:pStyle w:val="Heading3"/>
        <w:rPr>
          <w:rFonts w:ascii="Times New Roman" w:hAnsi="Times New Roman" w:cs="Times New Roman"/>
          <w:b w:val="0"/>
          <w:bCs/>
          <w:sz w:val="32"/>
          <w:szCs w:val="32"/>
          <w:lang w:val="en-GB"/>
        </w:rPr>
      </w:pPr>
      <w:bookmarkStart w:id="42" w:name="_Toc499571723"/>
      <w:bookmarkStart w:id="43" w:name="_Toc391905002"/>
      <w:r w:rsidRPr="00AC13E7">
        <w:rPr>
          <w:rFonts w:ascii="Times New Roman" w:hAnsi="Times New Roman" w:cs="Times New Roman"/>
          <w:b w:val="0"/>
          <w:bCs/>
          <w:sz w:val="32"/>
          <w:szCs w:val="32"/>
          <w:lang w:val="en-GB"/>
        </w:rPr>
        <w:t>1.2.5 JaBbA</w:t>
      </w:r>
      <w:bookmarkEnd w:id="42"/>
      <w:bookmarkEnd w:id="43"/>
    </w:p>
    <w:p w14:paraId="5A9A8E52" w14:textId="40987AB6" w:rsidR="00016DB4" w:rsidRPr="00AC13E7" w:rsidRDefault="0042472A" w:rsidP="00D01698">
      <w:pPr>
        <w:jc w:val="both"/>
        <w:rPr>
          <w:rFonts w:eastAsia="Arial"/>
        </w:rPr>
      </w:pPr>
      <w:r w:rsidRPr="00AC13E7">
        <w:rPr>
          <w:rFonts w:eastAsia="Arial"/>
        </w:rPr>
        <w:t>Xiaotong Yao, Steven Schumacher, Rameen Beroukhim, Marcin Imielinski</w:t>
      </w:r>
    </w:p>
    <w:p w14:paraId="34A86EA9" w14:textId="77777777" w:rsidR="0042472A" w:rsidRPr="00AC13E7" w:rsidRDefault="0042472A" w:rsidP="00D01698">
      <w:pPr>
        <w:jc w:val="both"/>
        <w:rPr>
          <w:rFonts w:eastAsia="Arial"/>
        </w:rPr>
      </w:pPr>
    </w:p>
    <w:p w14:paraId="446FA7F0" w14:textId="77777777" w:rsidR="00D01698" w:rsidRPr="00AC13E7" w:rsidRDefault="00D01698" w:rsidP="00D01698">
      <w:pPr>
        <w:jc w:val="both"/>
        <w:rPr>
          <w:rFonts w:eastAsia="Arial"/>
        </w:rPr>
      </w:pPr>
      <w:r w:rsidRPr="00AC13E7">
        <w:rPr>
          <w:rFonts w:eastAsia="Arial"/>
        </w:rPr>
        <w:t xml:space="preserve">We used Junction Balance Analysis (JaBbA) to integrate paired-end and read depth signals and infer copy numbers on genomic intervals and rearrangement junctions.   </w:t>
      </w:r>
    </w:p>
    <w:p w14:paraId="0A8A8971" w14:textId="77777777" w:rsidR="00D01698" w:rsidRPr="00AC13E7" w:rsidRDefault="00D01698" w:rsidP="00D01698">
      <w:pPr>
        <w:jc w:val="both"/>
        <w:rPr>
          <w:rFonts w:eastAsia="Arial"/>
        </w:rPr>
      </w:pPr>
      <w:r w:rsidRPr="00AC13E7">
        <w:rPr>
          <w:rFonts w:eastAsia="Arial"/>
        </w:rPr>
        <w:t> </w:t>
      </w:r>
    </w:p>
    <w:p w14:paraId="7FC77310" w14:textId="6FA37A01" w:rsidR="00D01698" w:rsidRPr="00AC13E7" w:rsidRDefault="00D01698" w:rsidP="00D86E26">
      <w:pPr>
        <w:jc w:val="both"/>
        <w:rPr>
          <w:rFonts w:eastAsia="Arial"/>
        </w:rPr>
      </w:pPr>
      <w:r w:rsidRPr="00AC13E7">
        <w:rPr>
          <w:rFonts w:eastAsia="Arial"/>
        </w:rPr>
        <w:t>JaBbA exploits the principle that copy number alterations (CNA) always result from rearrangements or whole chromosome gains / losses, previously explored in several publications on germline and cancer genome structural variant analysis</w:t>
      </w:r>
      <w:r w:rsidRPr="00AC13E7">
        <w:rPr>
          <w:rFonts w:eastAsia="Arial"/>
        </w:rPr>
        <w:fldChar w:fldCharType="begin">
          <w:fldData xml:space="preserve">PEVuZE5vdGU+PENpdGU+PEF1dGhvcj5MaTwvQXV0aG9yPjxZZWFyPjIwMTY8L1llYXI+PFJlY051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</w:fldData>
        </w:fldChar>
      </w:r>
      <w:r w:rsidR="00D86E26">
        <w:rPr>
          <w:rFonts w:eastAsia="Arial"/>
        </w:rPr>
        <w:instrText xml:space="preserve"> ADDIN EN.CITE </w:instrText>
      </w:r>
      <w:r w:rsidR="00D86E26">
        <w:rPr>
          <w:rFonts w:eastAsia="Arial"/>
        </w:rPr>
        <w:fldChar w:fldCharType="begin">
          <w:fldData xml:space="preserve">PEVuZE5vdGU+PENpdGU+PEF1dGhvcj5MaTwvQXV0aG9yPjxZZWFyPjIwMTY8L1llYXI+PFJlY051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</w:fldData>
        </w:fldChar>
      </w:r>
      <w:r w:rsidR="00D86E26">
        <w:rPr>
          <w:rFonts w:eastAsia="Arial"/>
        </w:rPr>
        <w:instrText xml:space="preserve"> ADDIN EN.CITE.DATA </w:instrText>
      </w:r>
      <w:r w:rsidR="00D86E26">
        <w:rPr>
          <w:rFonts w:eastAsia="Arial"/>
        </w:rPr>
      </w:r>
      <w:r w:rsidR="00D86E26">
        <w:rPr>
          <w:rFonts w:eastAsia="Arial"/>
        </w:rPr>
        <w:fldChar w:fldCharType="end"/>
      </w:r>
      <w:r w:rsidRPr="00AC13E7">
        <w:rPr>
          <w:rFonts w:eastAsia="Arial"/>
        </w:rPr>
      </w:r>
      <w:r w:rsidRPr="00AC13E7">
        <w:rPr>
          <w:rFonts w:eastAsia="Arial"/>
        </w:rPr>
        <w:fldChar w:fldCharType="separate"/>
      </w:r>
      <w:r w:rsidR="00D86E26" w:rsidRPr="00D86E26">
        <w:rPr>
          <w:rFonts w:eastAsia="Arial"/>
          <w:noProof/>
          <w:vertAlign w:val="superscript"/>
        </w:rPr>
        <w:t>15-17</w:t>
      </w:r>
      <w:r w:rsidRPr="00AC13E7">
        <w:rPr>
          <w:rFonts w:eastAsia="Arial"/>
        </w:rPr>
        <w:fldChar w:fldCharType="end"/>
      </w:r>
      <w:r w:rsidRPr="00AC13E7">
        <w:rPr>
          <w:rFonts w:eastAsia="Arial"/>
        </w:rPr>
        <w:t xml:space="preserve">. This results in a junction balance constraint (JBC), namely that the copy number of every genomic segment is consistent with its </w:t>
      </w:r>
      <w:r w:rsidR="0011583A" w:rsidRPr="00AC13E7">
        <w:rPr>
          <w:rFonts w:eastAsia="Arial"/>
        </w:rPr>
        <w:t>neighbours</w:t>
      </w:r>
      <w:r w:rsidR="003E4874" w:rsidRPr="00AC13E7">
        <w:rPr>
          <w:rFonts w:eastAsia="Arial"/>
        </w:rPr>
        <w:t xml:space="preserve">. </w:t>
      </w:r>
      <w:r w:rsidRPr="00AC13E7">
        <w:rPr>
          <w:rFonts w:eastAsia="Arial"/>
        </w:rPr>
        <w:t xml:space="preserve">Applied to a genomic graph whose nodes represent (+ and – strands of) genomic segments and edges represent alternate and reference junctions (corresponding to 3-5’ phospho-diester bonds), the JBC forces the copy number of every node to equal the sum of the copy numbers of all incoming (similarly, outgoing) edges.   </w:t>
      </w:r>
    </w:p>
    <w:p w14:paraId="219623CD" w14:textId="77777777" w:rsidR="00D01698" w:rsidRPr="00AC13E7" w:rsidRDefault="00D01698" w:rsidP="00D01698">
      <w:pPr>
        <w:jc w:val="both"/>
        <w:rPr>
          <w:rFonts w:eastAsia="Arial"/>
        </w:rPr>
      </w:pPr>
    </w:p>
    <w:p w14:paraId="17E83409" w14:textId="2B5E1CE5" w:rsidR="00D01698" w:rsidRPr="00AC13E7" w:rsidRDefault="00D01698" w:rsidP="00D01698">
      <w:pPr>
        <w:jc w:val="both"/>
        <w:rPr>
          <w:rFonts w:eastAsia="Arial"/>
        </w:rPr>
      </w:pPr>
      <w:r w:rsidRPr="00AC13E7">
        <w:rPr>
          <w:rFonts w:eastAsia="Arial"/>
        </w:rPr>
        <w:t xml:space="preserve">To fit this model to data, we formulate a mixed integer quadratic program (MIQP) to match node copy numbers with estimates of read depth measurements </w:t>
      </w:r>
      <w:r w:rsidR="0055731C" w:rsidRPr="00AC13E7">
        <w:rPr>
          <w:rFonts w:eastAsia="Arial"/>
        </w:rPr>
        <w:t>parameteris</w:t>
      </w:r>
      <w:r w:rsidRPr="00AC13E7">
        <w:rPr>
          <w:rFonts w:eastAsia="Arial"/>
        </w:rPr>
        <w:t xml:space="preserve">ed as posterior means and variances at </w:t>
      </w:r>
      <w:r w:rsidRPr="00AC13E7">
        <w:rPr>
          <w:rFonts w:eastAsia="Arial"/>
          <w:i/>
          <w:iCs/>
        </w:rPr>
        <w:t xml:space="preserve">n </w:t>
      </w:r>
      <w:r w:rsidR="003E4874" w:rsidRPr="00AC13E7">
        <w:rPr>
          <w:rFonts w:eastAsia="Arial"/>
        </w:rPr>
        <w:t xml:space="preserve">genomic segments. </w:t>
      </w:r>
      <w:r w:rsidRPr="00AC13E7">
        <w:rPr>
          <w:rFonts w:eastAsia="Arial"/>
        </w:rPr>
        <w:t xml:space="preserve">The summed </w:t>
      </w:r>
      <w:r w:rsidR="0055731C" w:rsidRPr="00AC13E7">
        <w:rPr>
          <w:rFonts w:eastAsia="Arial"/>
        </w:rPr>
        <w:t xml:space="preserve">deviation of the model fits </w:t>
      </w:r>
      <w:r w:rsidRPr="00AC13E7">
        <w:rPr>
          <w:rFonts w:eastAsia="Arial"/>
        </w:rPr>
        <w:t xml:space="preserve">(i.e. segment copy numbers) from the observed data (mean estimate on segment read depths) is captured in </w:t>
      </w:r>
      <w:r w:rsidR="00ED107F" w:rsidRPr="00AC13E7">
        <w:rPr>
          <w:rFonts w:eastAsia="Arial"/>
        </w:rPr>
        <w:t xml:space="preserve">a </w:t>
      </w:r>
      <w:r w:rsidRPr="00AC13E7">
        <w:rPr>
          <w:rFonts w:eastAsia="Arial"/>
        </w:rPr>
        <w:t xml:space="preserve">weighted sum of squares quadratic objective function that incorporates purity, ploidy, and inverse variances as weights. To allow for missing junctions, which frequently result from rearrangements occurring at hard to map genomic regions (e.g. centromeres) and force local violations of junction </w:t>
      </w:r>
      <w:r w:rsidRPr="00AC13E7">
        <w:rPr>
          <w:rFonts w:eastAsia="Arial"/>
        </w:rPr>
        <w:lastRenderedPageBreak/>
        <w:t>balance, we add</w:t>
      </w:r>
      <w:r w:rsidR="003E4874" w:rsidRPr="00AC13E7">
        <w:rPr>
          <w:rFonts w:eastAsia="Arial"/>
        </w:rPr>
        <w:t xml:space="preserve"> a slack parameter to the JBC. </w:t>
      </w:r>
      <w:r w:rsidRPr="00AC13E7">
        <w:rPr>
          <w:rFonts w:eastAsia="Arial"/>
        </w:rPr>
        <w:t>These slack parameters represent “loose ends” in the structural variation model, which can either represent missing junctions or “biological loose ends” that could correspond to neo-telomeres in the can</w:t>
      </w:r>
      <w:r w:rsidR="003E4874" w:rsidRPr="00AC13E7">
        <w:rPr>
          <w:rFonts w:eastAsia="Arial"/>
        </w:rPr>
        <w:t>cer karyotype.</w:t>
      </w:r>
      <w:r w:rsidRPr="00AC13E7">
        <w:rPr>
          <w:rFonts w:eastAsia="Arial"/>
        </w:rPr>
        <w:t xml:space="preserve"> We then add a linear slack penalty to the objective function</w:t>
      </w:r>
      <w:r w:rsidR="003E4874" w:rsidRPr="00AC13E7">
        <w:rPr>
          <w:rFonts w:eastAsia="Arial"/>
        </w:rPr>
        <w:t>,</w:t>
      </w:r>
      <w:r w:rsidRPr="00AC13E7">
        <w:rPr>
          <w:rFonts w:eastAsia="Arial"/>
        </w:rPr>
        <w:t xml:space="preserve"> which </w:t>
      </w:r>
      <w:r w:rsidR="00F61CFC" w:rsidRPr="00AC13E7">
        <w:rPr>
          <w:rFonts w:eastAsia="Arial"/>
        </w:rPr>
        <w:t>penalis</w:t>
      </w:r>
      <w:r w:rsidRPr="00AC13E7">
        <w:rPr>
          <w:rFonts w:eastAsia="Arial"/>
        </w:rPr>
        <w:t>es the number of slack (loose end copies).  We provide a user-defined hyper-parameter</w:t>
      </w:r>
      <w:r w:rsidR="003E4874" w:rsidRPr="00AC13E7">
        <w:rPr>
          <w:rFonts w:eastAsia="Arial"/>
        </w:rPr>
        <w:t>,</w:t>
      </w:r>
      <w:r w:rsidRPr="00AC13E7">
        <w:rPr>
          <w:rFonts w:eastAsia="Arial"/>
        </w:rPr>
        <w:t xml:space="preserve"> which balances the contribution of (linear) slack and quadratic (read-depth) pen</w:t>
      </w:r>
      <w:r w:rsidR="003E4874" w:rsidRPr="00AC13E7">
        <w:rPr>
          <w:rFonts w:eastAsia="Arial"/>
        </w:rPr>
        <w:t xml:space="preserve">alties to the analysis. </w:t>
      </w:r>
      <w:r w:rsidRPr="00AC13E7">
        <w:rPr>
          <w:rFonts w:eastAsia="Arial"/>
        </w:rPr>
        <w:t>Model fitting yields estimate</w:t>
      </w:r>
      <w:r w:rsidR="00F74B20" w:rsidRPr="00AC13E7">
        <w:rPr>
          <w:rFonts w:eastAsia="Arial"/>
        </w:rPr>
        <w:t>d</w:t>
      </w:r>
      <w:r w:rsidRPr="00AC13E7">
        <w:rPr>
          <w:rFonts w:eastAsia="Arial"/>
        </w:rPr>
        <w:t xml:space="preserve"> integer value copy numbers on graph nodes, edges, and loose ends and numeric value purity / ploidy. </w:t>
      </w:r>
    </w:p>
    <w:p w14:paraId="4220F877" w14:textId="77777777" w:rsidR="00D01698" w:rsidRPr="00AC13E7" w:rsidRDefault="00D01698" w:rsidP="00D01698">
      <w:pPr>
        <w:jc w:val="both"/>
        <w:rPr>
          <w:rFonts w:eastAsia="Arial"/>
        </w:rPr>
      </w:pPr>
      <w:r w:rsidRPr="00AC13E7">
        <w:rPr>
          <w:rFonts w:eastAsia="Arial"/>
        </w:rPr>
        <w:t> </w:t>
      </w:r>
    </w:p>
    <w:p w14:paraId="05E8B3BE" w14:textId="529E1D11" w:rsidR="00D01698" w:rsidRPr="00AC13E7" w:rsidRDefault="00D01698" w:rsidP="00802FE5">
      <w:pPr>
        <w:jc w:val="both"/>
        <w:rPr>
          <w:rFonts w:eastAsia="Arial"/>
        </w:rPr>
      </w:pPr>
      <w:r w:rsidRPr="00AC13E7">
        <w:rPr>
          <w:rFonts w:eastAsia="Arial"/>
        </w:rPr>
        <w:t>For the PCAWG consensus copy number analysis, we applied JaBbA in two rounds, in concordance with t</w:t>
      </w:r>
      <w:r w:rsidR="003E4874" w:rsidRPr="00AC13E7">
        <w:rPr>
          <w:rFonts w:eastAsia="Arial"/>
        </w:rPr>
        <w:t xml:space="preserve">he other copy number methods. </w:t>
      </w:r>
      <w:r w:rsidRPr="00AC13E7">
        <w:rPr>
          <w:rFonts w:eastAsia="Arial"/>
        </w:rPr>
        <w:t>In practice, JaBbA begins with a .bam file, a junction call set  (e.g. a BND VCF file, a .bedpe), and (optionally) a preliminary segmentat</w:t>
      </w:r>
      <w:r w:rsidR="003E4874" w:rsidRPr="00AC13E7">
        <w:rPr>
          <w:rFonts w:eastAsia="Arial"/>
        </w:rPr>
        <w:t xml:space="preserve">ion and purity / ploidy input. </w:t>
      </w:r>
      <w:r w:rsidRPr="00AC13E7">
        <w:rPr>
          <w:rFonts w:eastAsia="Arial"/>
        </w:rPr>
        <w:t>We compute high density binned read depth (200bp bins) by calculating tumo</w:t>
      </w:r>
      <w:r w:rsidR="00D37FE0" w:rsidRPr="00AC13E7">
        <w:rPr>
          <w:rFonts w:eastAsia="Arial"/>
        </w:rPr>
        <w:t>u</w:t>
      </w:r>
      <w:r w:rsidRPr="00AC13E7">
        <w:rPr>
          <w:rFonts w:eastAsia="Arial"/>
        </w:rPr>
        <w:t>r / normal ratios of GC and mappability corrected coverage of “proper” read pair centroids in t</w:t>
      </w:r>
      <w:r w:rsidR="003E4874" w:rsidRPr="00AC13E7">
        <w:rPr>
          <w:rFonts w:eastAsia="Arial"/>
        </w:rPr>
        <w:t xml:space="preserve">he .bam file (fragCounter). </w:t>
      </w:r>
      <w:r w:rsidRPr="00AC13E7">
        <w:rPr>
          <w:rFonts w:eastAsia="Arial"/>
        </w:rPr>
        <w:t xml:space="preserve">In the absence of a preliminary segmentation (pre-consensus run), we use </w:t>
      </w:r>
      <w:r w:rsidR="00802FE5" w:rsidRPr="00AC13E7">
        <w:rPr>
          <w:rFonts w:eastAsia="Arial"/>
        </w:rPr>
        <w:t>circular binary segmentation (CBS)</w:t>
      </w:r>
      <w:r w:rsidRPr="00AC13E7">
        <w:rPr>
          <w:rFonts w:eastAsia="Arial"/>
        </w:rPr>
        <w:t xml:space="preserve"> to segment high-density binned coverage (~15M intervals) into a lower dimensional collection (e.g. 10-100K regions) of reg</w:t>
      </w:r>
      <w:r w:rsidR="003E4874" w:rsidRPr="00AC13E7">
        <w:rPr>
          <w:rFonts w:eastAsia="Arial"/>
        </w:rPr>
        <w:t xml:space="preserve">ions of constant copy number. </w:t>
      </w:r>
      <w:r w:rsidRPr="00AC13E7">
        <w:rPr>
          <w:rFonts w:eastAsia="Arial"/>
        </w:rPr>
        <w:t>In the subsequent “consensus” run, we use the “initial copy number consensus” as the preliminary seg</w:t>
      </w:r>
      <w:r w:rsidR="003E4874" w:rsidRPr="00AC13E7">
        <w:rPr>
          <w:rFonts w:eastAsia="Arial"/>
        </w:rPr>
        <w:t xml:space="preserve">mentation. </w:t>
      </w:r>
      <w:r w:rsidRPr="00AC13E7">
        <w:rPr>
          <w:rFonts w:eastAsia="Arial"/>
        </w:rPr>
        <w:t xml:space="preserve">For the junction input, we used the full PCAWG-6 call set </w:t>
      </w:r>
      <w:r w:rsidR="003E4874" w:rsidRPr="00AC13E7">
        <w:rPr>
          <w:rFonts w:eastAsia="Arial"/>
        </w:rPr>
        <w:t xml:space="preserve">during the pre-consensus run. </w:t>
      </w:r>
      <w:r w:rsidRPr="00AC13E7">
        <w:rPr>
          <w:rFonts w:eastAsia="Arial"/>
        </w:rPr>
        <w:t xml:space="preserve">In subsequent runs, we used a strict intersection of this junction set with the end points of consensus PCAWG-11 segmentation. </w:t>
      </w:r>
    </w:p>
    <w:p w14:paraId="4B443094" w14:textId="77777777" w:rsidR="00D01698" w:rsidRPr="00AC13E7" w:rsidRDefault="00D01698" w:rsidP="00D01698">
      <w:pPr>
        <w:jc w:val="both"/>
        <w:rPr>
          <w:rFonts w:eastAsia="Arial"/>
        </w:rPr>
      </w:pPr>
    </w:p>
    <w:p w14:paraId="682C5AA3" w14:textId="35F5B2A2" w:rsidR="00D01698" w:rsidRPr="00AC13E7" w:rsidRDefault="00D01698" w:rsidP="00D86E26">
      <w:pPr>
        <w:jc w:val="both"/>
        <w:rPr>
          <w:rFonts w:eastAsia="Arial"/>
        </w:rPr>
      </w:pPr>
      <w:r w:rsidRPr="00AC13E7">
        <w:rPr>
          <w:rFonts w:eastAsia="Arial"/>
        </w:rPr>
        <w:t xml:space="preserve">The union of the endpoints in this segmentation and the breakpoints in the junction call set induce a partition of the reference genome, from which we build a genomic graph </w:t>
      </w:r>
      <w:r w:rsidR="0027308B" w:rsidRPr="00AC13E7">
        <w:rPr>
          <w:rFonts w:eastAsia="Arial"/>
        </w:rPr>
        <w:t xml:space="preserve">of </w:t>
      </w:r>
      <w:r w:rsidRPr="00AC13E7">
        <w:rPr>
          <w:rFonts w:eastAsia="Arial"/>
          <w:i/>
        </w:rPr>
        <w:t xml:space="preserve">n </w:t>
      </w:r>
      <w:r w:rsidRPr="00AC13E7">
        <w:rPr>
          <w:rFonts w:eastAsia="Arial"/>
        </w:rPr>
        <w:t xml:space="preserve">segments and </w:t>
      </w:r>
      <w:r w:rsidRPr="00AC13E7">
        <w:rPr>
          <w:rFonts w:eastAsia="Arial"/>
          <w:i/>
        </w:rPr>
        <w:t xml:space="preserve">m </w:t>
      </w:r>
      <w:r w:rsidR="003E4874" w:rsidRPr="00AC13E7">
        <w:rPr>
          <w:rFonts w:eastAsia="Arial"/>
        </w:rPr>
        <w:t xml:space="preserve">edges. </w:t>
      </w:r>
      <w:r w:rsidRPr="00AC13E7">
        <w:rPr>
          <w:rFonts w:eastAsia="Arial"/>
        </w:rPr>
        <w:t xml:space="preserve">We use the high-density coverage to compute posterior means and variances on fragment density at each of these </w:t>
      </w:r>
      <w:r w:rsidRPr="00AC13E7">
        <w:rPr>
          <w:rFonts w:eastAsia="Arial"/>
          <w:i/>
        </w:rPr>
        <w:t xml:space="preserve">n </w:t>
      </w:r>
      <w:r w:rsidR="003E4874" w:rsidRPr="00AC13E7">
        <w:rPr>
          <w:rFonts w:eastAsia="Arial"/>
        </w:rPr>
        <w:t xml:space="preserve">segments. </w:t>
      </w:r>
      <w:r w:rsidRPr="00AC13E7">
        <w:rPr>
          <w:rFonts w:eastAsia="Arial"/>
        </w:rPr>
        <w:t xml:space="preserve">We solve a preliminary least squares problem (corresponding to our full MIQP objective function, but without JBC, i.e. with zero slack penalty) to infer an affine transformation between read depth and integer copy number, and hence purity and </w:t>
      </w:r>
      <w:r w:rsidR="00BC22C1" w:rsidRPr="00AC13E7">
        <w:rPr>
          <w:rFonts w:eastAsia="Arial"/>
        </w:rPr>
        <w:t>ploidy.</w:t>
      </w:r>
      <w:r w:rsidR="00E72601" w:rsidRPr="00AC13E7">
        <w:rPr>
          <w:rFonts w:eastAsia="Arial"/>
        </w:rPr>
        <w:t xml:space="preserve"> </w:t>
      </w:r>
      <w:r w:rsidRPr="00AC13E7">
        <w:rPr>
          <w:rFonts w:eastAsia="Arial"/>
        </w:rPr>
        <w:t>This least squares inference implements principles described in by Van Loo and colleagues</w:t>
      </w:r>
      <w:r w:rsidR="00E72601" w:rsidRPr="00AC13E7">
        <w:rPr>
          <w:rFonts w:eastAsia="Arial"/>
        </w:rPr>
        <w:fldChar w:fldCharType="begin"/>
      </w:r>
      <w:r w:rsidR="00D86E26">
        <w:rPr>
          <w:rFonts w:eastAsia="Arial"/>
        </w:rPr>
        <w:instrText xml:space="preserve"> ADDIN EN.CITE &lt;EndNote&gt;&lt;Cite&gt;&lt;Author&gt;Van Loo&lt;/Author&gt;&lt;Year&gt;2010&lt;/Year&gt;&lt;RecNum&gt;30&lt;/RecNum&gt;&lt;DisplayText&gt;&lt;style face="superscript"&gt;18&lt;/style&gt;&lt;/DisplayText&gt;&lt;record&gt;&lt;rec-number&gt;30&lt;/rec-number&gt;&lt;foreign-keys&gt;&lt;key app="EN" db-id="swsz0f55g50w9yex0aqvtfdxarrpzt5z00pd" timestamp="1497877464"&gt;30&lt;/key&gt;&lt;/foreign-keys&gt;&lt;ref-type name="Journal Article"&gt;17&lt;/ref-type&gt;&lt;contributors&gt;&lt;authors&gt;&lt;author&gt;Van Loo, P.&lt;/author&gt;&lt;author&gt;Nordgard, S. H.&lt;/author&gt;&lt;author&gt;Lingjaerde, O. C.&lt;/author&gt;&lt;author&gt;Russnes, H. G.&lt;/author&gt;&lt;author&gt;Rye, I. H.&lt;/author&gt;&lt;author&gt;Sun, W.&lt;/author&gt;&lt;author&gt;Weigman, V. J.&lt;/author&gt;&lt;author&gt;Marynen, P.&lt;/author&gt;&lt;author&gt;Zetterberg, A.&lt;/author&gt;&lt;author&gt;Naume, B.&lt;/author&gt;&lt;author&gt;Perou, C. M.&lt;/author&gt;&lt;author&gt;Borresen-Dale, A. L.&lt;/author&gt;&lt;author&gt;Kristensen, V. N.&lt;/author&gt;&lt;/authors&gt;&lt;/contributors&gt;&lt;auth-address&gt;Department of Genetics, Institute for Cancer Research, Clinic for Cancer and Surgery, Oslo University Hospital, Montebello, N-0310 Oslo, Norway.&lt;/auth-address&gt;&lt;titles&gt;&lt;title&gt;Allele-specific copy number analysis of tumors&lt;/title&gt;&lt;secondary-title&gt;Proc Natl Acad Sci U S A&lt;/secondary-title&gt;&lt;/titles&gt;&lt;periodical&gt;&lt;full-title&gt;Proc Natl Acad Sci U S A&lt;/full-title&gt;&lt;/periodical&gt;&lt;pages&gt;16910-5&lt;/pages&gt;&lt;volume&gt;107&lt;/volume&gt;&lt;number&gt;39&lt;/number&gt;&lt;keywords&gt;&lt;keyword&gt;Alleles&lt;/keyword&gt;&lt;keyword&gt;Breast Neoplasms/*genetics&lt;/keyword&gt;&lt;keyword&gt;Carcinoma/*genetics&lt;/keyword&gt;&lt;keyword&gt;Female&lt;/keyword&gt;&lt;keyword&gt;*Gene Dosage&lt;/keyword&gt;&lt;keyword&gt;*Genes, Neoplasm&lt;/keyword&gt;&lt;keyword&gt;*Genome, Human&lt;/keyword&gt;&lt;keyword&gt;Humans&lt;/keyword&gt;&lt;keyword&gt;Ploidies&lt;/keyword&gt;&lt;/keywords&gt;&lt;dates&gt;&lt;year&gt;2010&lt;/year&gt;&lt;pub-dates&gt;&lt;date&gt;Sep 28&lt;/date&gt;&lt;/pub-dates&gt;&lt;/dates&gt;&lt;isbn&gt;1091-6490 (Electronic)&amp;#xD;0027-8424 (Linking)&lt;/isbn&gt;&lt;accession-num&gt;20837533&lt;/accession-num&gt;&lt;urls&gt;&lt;related-urls&gt;&lt;url&gt;https://www.ncbi.nlm.nih.gov/pubmed/20837533&lt;/url&gt;&lt;/related-urls&gt;&lt;/urls&gt;&lt;custom2&gt;PMC2947907&lt;/custom2&gt;&lt;electronic-resource-num&gt;10.1073/pnas.1009843107&lt;/electronic-resource-num&gt;&lt;/record&gt;&lt;/Cite&gt;&lt;/EndNote&gt;</w:instrText>
      </w:r>
      <w:r w:rsidR="00E72601" w:rsidRPr="00AC13E7">
        <w:rPr>
          <w:rFonts w:eastAsia="Arial"/>
        </w:rPr>
        <w:fldChar w:fldCharType="separate"/>
      </w:r>
      <w:r w:rsidR="00D86E26" w:rsidRPr="00D86E26">
        <w:rPr>
          <w:rFonts w:eastAsia="Arial"/>
          <w:noProof/>
          <w:vertAlign w:val="superscript"/>
        </w:rPr>
        <w:t>18</w:t>
      </w:r>
      <w:r w:rsidR="00E72601" w:rsidRPr="00AC13E7">
        <w:rPr>
          <w:rFonts w:eastAsia="Arial"/>
        </w:rPr>
        <w:fldChar w:fldCharType="end"/>
      </w:r>
      <w:r w:rsidR="003E4874" w:rsidRPr="00AC13E7">
        <w:rPr>
          <w:rFonts w:eastAsia="Arial"/>
        </w:rPr>
        <w:t xml:space="preserve">. </w:t>
      </w:r>
      <w:r w:rsidR="00E72601" w:rsidRPr="00AC13E7">
        <w:rPr>
          <w:rFonts w:eastAsia="Arial"/>
        </w:rPr>
        <w:t>We find that in practice</w:t>
      </w:r>
      <w:r w:rsidR="003E4874" w:rsidRPr="00AC13E7">
        <w:rPr>
          <w:rFonts w:eastAsia="Arial"/>
        </w:rPr>
        <w:t>,</w:t>
      </w:r>
      <w:r w:rsidR="00E72601" w:rsidRPr="00AC13E7">
        <w:rPr>
          <w:rFonts w:eastAsia="Arial"/>
        </w:rPr>
        <w:t xml:space="preserve"> t</w:t>
      </w:r>
      <w:r w:rsidRPr="00AC13E7">
        <w:rPr>
          <w:rFonts w:eastAsia="Arial"/>
        </w:rPr>
        <w:t>he JBC does not alter purity and ploidy estimation, and dividing the computation into these two phases dramatically improves conv</w:t>
      </w:r>
      <w:r w:rsidR="003E4874" w:rsidRPr="00AC13E7">
        <w:rPr>
          <w:rFonts w:eastAsia="Arial"/>
        </w:rPr>
        <w:t xml:space="preserve">ergence and speed of the MIQP. </w:t>
      </w:r>
      <w:r w:rsidRPr="00AC13E7">
        <w:rPr>
          <w:rFonts w:eastAsia="Arial"/>
        </w:rPr>
        <w:t>Following purity and ploidy inference, application of the full MIQP using CPLEX (</w:t>
      </w:r>
      <w:hyperlink r:id="rId20" w:history="1">
        <w:r w:rsidRPr="00AC13E7">
          <w:rPr>
            <w:rStyle w:val="Hyperlink"/>
            <w:rFonts w:eastAsia="Arial"/>
          </w:rPr>
          <w:t>https://www.ibm.com/software/commerce/optimization/cplex-optimizer/</w:t>
        </w:r>
      </w:hyperlink>
      <w:r w:rsidRPr="00AC13E7">
        <w:rPr>
          <w:rFonts w:eastAsia="Arial"/>
        </w:rPr>
        <w:t>)</w:t>
      </w:r>
      <w:r w:rsidR="003E4874" w:rsidRPr="00AC13E7">
        <w:rPr>
          <w:rFonts w:eastAsia="Arial"/>
        </w:rPr>
        <w:t xml:space="preserve"> </w:t>
      </w:r>
      <w:r w:rsidRPr="00AC13E7">
        <w:rPr>
          <w:rFonts w:eastAsia="Arial"/>
        </w:rPr>
        <w:t xml:space="preserve">fits </w:t>
      </w:r>
      <w:r w:rsidRPr="00AC13E7">
        <w:rPr>
          <w:rFonts w:eastAsia="Arial"/>
          <w:i/>
        </w:rPr>
        <w:t>n</w:t>
      </w:r>
      <w:r w:rsidRPr="00AC13E7">
        <w:rPr>
          <w:rFonts w:eastAsia="Arial"/>
        </w:rPr>
        <w:t xml:space="preserve"> nodes and</w:t>
      </w:r>
      <w:r w:rsidRPr="00AC13E7">
        <w:rPr>
          <w:rFonts w:eastAsia="Arial"/>
          <w:i/>
        </w:rPr>
        <w:t xml:space="preserve"> m</w:t>
      </w:r>
      <w:r w:rsidRPr="00AC13E7">
        <w:rPr>
          <w:rFonts w:eastAsia="Arial"/>
        </w:rPr>
        <w:t xml:space="preserve"> edges in the grap</w:t>
      </w:r>
      <w:r w:rsidR="003E4874" w:rsidRPr="00AC13E7">
        <w:rPr>
          <w:rFonts w:eastAsia="Arial"/>
        </w:rPr>
        <w:t xml:space="preserve">h with integer copy numbers. </w:t>
      </w:r>
      <w:r w:rsidRPr="00AC13E7">
        <w:rPr>
          <w:rFonts w:eastAsia="Arial"/>
        </w:rPr>
        <w:t>After fitting integer (total) copy numbers, JaBbA uses allelic read counts at germline heterozygotic sites (obtained via samtools pileup at HapMap v3 sites) to infer likely allelic copy numbers at genomic segments.</w:t>
      </w:r>
      <w:r w:rsidR="00D206EC" w:rsidRPr="00AC13E7">
        <w:rPr>
          <w:rFonts w:eastAsia="Arial"/>
        </w:rPr>
        <w:t xml:space="preserve"> See the pipeline on </w:t>
      </w:r>
      <w:r w:rsidR="00D206EC" w:rsidRPr="00AC13E7">
        <w:rPr>
          <w:rFonts w:eastAsia="Arial"/>
        </w:rPr>
        <w:fldChar w:fldCharType="begin"/>
      </w:r>
      <w:r w:rsidR="00D206EC" w:rsidRPr="00AC13E7">
        <w:rPr>
          <w:rFonts w:eastAsia="Arial"/>
        </w:rPr>
        <w:instrText xml:space="preserve"> REF _Ref379629595 \h </w:instrText>
      </w:r>
      <w:r w:rsidR="00D206EC" w:rsidRPr="00AC13E7">
        <w:rPr>
          <w:rFonts w:eastAsia="Arial"/>
        </w:rPr>
      </w:r>
      <w:r w:rsidR="00D206EC" w:rsidRPr="00AC13E7">
        <w:rPr>
          <w:rFonts w:eastAsia="Arial"/>
        </w:rPr>
        <w:fldChar w:fldCharType="separate"/>
      </w:r>
      <w:r w:rsidR="00673FBD" w:rsidRPr="00AC13E7">
        <w:t xml:space="preserve">Fig. </w:t>
      </w:r>
      <w:r w:rsidR="00673FBD">
        <w:rPr>
          <w:noProof/>
        </w:rPr>
        <w:t>12</w:t>
      </w:r>
      <w:r w:rsidR="00D206EC" w:rsidRPr="00AC13E7">
        <w:rPr>
          <w:rFonts w:eastAsia="Arial"/>
        </w:rPr>
        <w:fldChar w:fldCharType="end"/>
      </w:r>
      <w:r w:rsidR="00D206EC" w:rsidRPr="00AC13E7">
        <w:rPr>
          <w:rFonts w:eastAsia="Arial"/>
        </w:rPr>
        <w:t>.</w:t>
      </w:r>
    </w:p>
    <w:p w14:paraId="0C6DA62E" w14:textId="0196CDD2" w:rsidR="003054E6" w:rsidRPr="00AC13E7" w:rsidRDefault="003054E6" w:rsidP="003054E6">
      <w:pPr>
        <w:jc w:val="both"/>
        <w:rPr>
          <w:rFonts w:eastAsia="Arial"/>
          <w:sz w:val="32"/>
          <w:szCs w:val="32"/>
        </w:rPr>
      </w:pPr>
    </w:p>
    <w:p w14:paraId="688ACE78" w14:textId="77777777" w:rsidR="00B10467" w:rsidRPr="00AC13E7" w:rsidRDefault="0032764D" w:rsidP="00B10467">
      <w:pPr>
        <w:keepNext/>
        <w:jc w:val="both"/>
      </w:pPr>
      <w:r w:rsidRPr="00AC13E7">
        <w:rPr>
          <w:rFonts w:eastAsia="Arial"/>
          <w:noProof/>
          <w:sz w:val="32"/>
          <w:szCs w:val="32"/>
          <w:lang w:eastAsia="en-GB"/>
        </w:rPr>
        <w:lastRenderedPageBreak/>
        <w:drawing>
          <wp:inline distT="0" distB="0" distL="0" distR="0" wp14:anchorId="36DBD1B8" wp14:editId="10238887">
            <wp:extent cx="4935855" cy="2582545"/>
            <wp:effectExtent l="0" t="0" r="0" b="8255"/>
            <wp:docPr id="1" name="Picture 34" descr="Macintosh HD:Users:mimielinski:Dropbox:PI:Homes:xiaotong@mskilab:PCAWG 11 JaBbA abstract:jabbaFlowChart_PCAW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mimielinski:Dropbox:PI:Homes:xiaotong@mskilab:PCAWG 11 JaBbA abstract:jabbaFlowChart_PCAWG.pd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35855" cy="2582545"/>
                    </a:xfrm>
                    <a:prstGeom prst="rect">
                      <a:avLst/>
                    </a:prstGeom>
                    <a:noFill/>
                    <a:ln>
                      <a:noFill/>
                    </a:ln>
                  </pic:spPr>
                </pic:pic>
              </a:graphicData>
            </a:graphic>
          </wp:inline>
        </w:drawing>
      </w:r>
    </w:p>
    <w:p w14:paraId="0B252BC2" w14:textId="77777777" w:rsidR="00BC24EB" w:rsidRPr="00AC13E7" w:rsidRDefault="00BC24EB" w:rsidP="00B10467">
      <w:pPr>
        <w:keepNext/>
        <w:jc w:val="both"/>
      </w:pPr>
    </w:p>
    <w:p w14:paraId="658CF1B9" w14:textId="6285A123" w:rsidR="003054E6" w:rsidRPr="00AC13E7" w:rsidRDefault="00B10467" w:rsidP="004916C9">
      <w:pPr>
        <w:pStyle w:val="Caption"/>
        <w:rPr>
          <w:sz w:val="32"/>
          <w:szCs w:val="32"/>
        </w:rPr>
      </w:pPr>
      <w:bookmarkStart w:id="44" w:name="_Ref379629595"/>
      <w:bookmarkStart w:id="45" w:name="_Toc384459583"/>
      <w:r w:rsidRPr="00AC13E7">
        <w:t xml:space="preserve">Fig. </w:t>
      </w:r>
      <w:r w:rsidR="001003E9">
        <w:fldChar w:fldCharType="begin"/>
      </w:r>
      <w:r w:rsidR="001003E9">
        <w:instrText xml:space="preserve"> SEQ Fig. \* ARABIC </w:instrText>
      </w:r>
      <w:r w:rsidR="001003E9">
        <w:fldChar w:fldCharType="separate"/>
      </w:r>
      <w:r w:rsidR="00673FBD">
        <w:rPr>
          <w:noProof/>
        </w:rPr>
        <w:t>12</w:t>
      </w:r>
      <w:r w:rsidR="001003E9">
        <w:rPr>
          <w:noProof/>
        </w:rPr>
        <w:fldChar w:fldCharType="end"/>
      </w:r>
      <w:bookmarkEnd w:id="44"/>
      <w:r w:rsidRPr="00AC13E7">
        <w:t xml:space="preserve"> The full JaBbA pipeline depicted graphically.</w:t>
      </w:r>
      <w:bookmarkEnd w:id="45"/>
    </w:p>
    <w:p w14:paraId="47EB9907" w14:textId="77777777" w:rsidR="00E8114B" w:rsidRPr="00AC13E7" w:rsidRDefault="00E8114B" w:rsidP="00033195">
      <w:pPr>
        <w:jc w:val="both"/>
        <w:rPr>
          <w:rFonts w:eastAsia="Arial"/>
          <w:sz w:val="32"/>
          <w:szCs w:val="32"/>
        </w:rPr>
      </w:pPr>
    </w:p>
    <w:p w14:paraId="3B7674D7" w14:textId="4931B236" w:rsidR="00720570" w:rsidRPr="00AC13E7" w:rsidRDefault="00FE3B88" w:rsidP="00ED7622">
      <w:pPr>
        <w:pStyle w:val="Heading3"/>
        <w:rPr>
          <w:rFonts w:ascii="Times New Roman" w:hAnsi="Times New Roman" w:cs="Times New Roman"/>
          <w:b w:val="0"/>
          <w:bCs/>
          <w:sz w:val="32"/>
          <w:szCs w:val="32"/>
          <w:lang w:val="en-GB"/>
        </w:rPr>
      </w:pPr>
      <w:bookmarkStart w:id="46" w:name="_Toc499571724"/>
      <w:bookmarkStart w:id="47" w:name="_Toc391905003"/>
      <w:r w:rsidRPr="00AC13E7">
        <w:rPr>
          <w:rFonts w:ascii="Times New Roman" w:hAnsi="Times New Roman" w:cs="Times New Roman"/>
          <w:b w:val="0"/>
          <w:bCs/>
          <w:sz w:val="32"/>
          <w:szCs w:val="32"/>
          <w:lang w:val="en-GB"/>
        </w:rPr>
        <w:t>1.2.</w:t>
      </w:r>
      <w:r w:rsidR="003054E6" w:rsidRPr="00AC13E7">
        <w:rPr>
          <w:rFonts w:ascii="Times New Roman" w:hAnsi="Times New Roman" w:cs="Times New Roman"/>
          <w:b w:val="0"/>
          <w:bCs/>
          <w:sz w:val="32"/>
          <w:szCs w:val="32"/>
          <w:lang w:val="en-GB"/>
        </w:rPr>
        <w:t>6</w:t>
      </w:r>
      <w:r w:rsidRPr="00AC13E7">
        <w:rPr>
          <w:rFonts w:ascii="Times New Roman" w:hAnsi="Times New Roman" w:cs="Times New Roman"/>
          <w:b w:val="0"/>
          <w:bCs/>
          <w:sz w:val="32"/>
          <w:szCs w:val="32"/>
          <w:lang w:val="en-GB"/>
        </w:rPr>
        <w:t xml:space="preserve"> </w:t>
      </w:r>
      <w:r w:rsidR="001A3FC7" w:rsidRPr="00AC13E7">
        <w:rPr>
          <w:rFonts w:ascii="Times New Roman" w:hAnsi="Times New Roman" w:cs="Times New Roman"/>
          <w:b w:val="0"/>
          <w:bCs/>
          <w:sz w:val="32"/>
          <w:szCs w:val="32"/>
          <w:lang w:val="en-GB"/>
        </w:rPr>
        <w:t>Sclust</w:t>
      </w:r>
      <w:bookmarkEnd w:id="46"/>
      <w:bookmarkEnd w:id="47"/>
    </w:p>
    <w:p w14:paraId="188EF955" w14:textId="77777777" w:rsidR="00411702" w:rsidRPr="00AC13E7" w:rsidRDefault="00411702" w:rsidP="00411702">
      <w:pPr>
        <w:jc w:val="both"/>
      </w:pPr>
      <w:bookmarkStart w:id="48" w:name="_qnh63xwoqioz" w:colFirst="0" w:colLast="0"/>
      <w:bookmarkEnd w:id="48"/>
      <w:r w:rsidRPr="00AC13E7">
        <w:t>Martin Peifer, Yupeng Cun, Tsun-Po Yang</w:t>
      </w:r>
    </w:p>
    <w:p w14:paraId="0C72FD78" w14:textId="77777777" w:rsidR="00386C83" w:rsidRPr="00AC13E7" w:rsidRDefault="00386C83" w:rsidP="00D62891">
      <w:pPr>
        <w:jc w:val="both"/>
      </w:pPr>
    </w:p>
    <w:p w14:paraId="356FA958" w14:textId="08E16080" w:rsidR="001A3FC7" w:rsidRPr="00AC13E7" w:rsidRDefault="001A3FC7" w:rsidP="00D86E26">
      <w:pPr>
        <w:jc w:val="both"/>
      </w:pPr>
      <w:r w:rsidRPr="00AC13E7">
        <w:t>The copy number module of Sclust has extensively been used in our recent large-scale sequencing efforts of small cell lung cancer and neuroblastoma</w:t>
      </w:r>
      <w:r w:rsidR="00C77903" w:rsidRPr="00AC13E7">
        <w:fldChar w:fldCharType="begin">
          <w:fldData xml:space="preserve">PEVuZE5vdGU+PENpdGU+PEF1dGhvcj5HZW9yZ2U8L0F1dGhvcj48WWVhcj4yMDE1PC9ZZWFyPjxS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</w:fldData>
        </w:fldChar>
      </w:r>
      <w:r w:rsidR="00D86E26">
        <w:instrText xml:space="preserve"> ADDIN EN.CITE </w:instrText>
      </w:r>
      <w:r w:rsidR="00D86E26">
        <w:fldChar w:fldCharType="begin">
          <w:fldData xml:space="preserve">PEVuZE5vdGU+PENpdGU+PEF1dGhvcj5HZW9yZ2U8L0F1dGhvcj48WWVhcj4yMDE1PC9ZZWFyPjxS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</w:fldData>
        </w:fldChar>
      </w:r>
      <w:r w:rsidR="00D86E26">
        <w:instrText xml:space="preserve"> ADDIN EN.CITE.DATA </w:instrText>
      </w:r>
      <w:r w:rsidR="00D86E26">
        <w:fldChar w:fldCharType="end"/>
      </w:r>
      <w:r w:rsidR="00C77903" w:rsidRPr="00AC13E7">
        <w:fldChar w:fldCharType="separate"/>
      </w:r>
      <w:r w:rsidR="00D86E26" w:rsidRPr="00D86E26">
        <w:rPr>
          <w:noProof/>
          <w:vertAlign w:val="superscript"/>
        </w:rPr>
        <w:t>19,20</w:t>
      </w:r>
      <w:r w:rsidR="00C77903" w:rsidRPr="00AC13E7">
        <w:fldChar w:fldCharType="end"/>
      </w:r>
      <w:r w:rsidR="00C77903" w:rsidRPr="00AC13E7">
        <w:t xml:space="preserve">. </w:t>
      </w:r>
      <w:r w:rsidRPr="00AC13E7">
        <w:t>In total, Sclust performs copy number segmentation and determines purity, ploidy, and allele</w:t>
      </w:r>
      <w:r w:rsidR="00014394" w:rsidRPr="00AC13E7">
        <w:t>-</w:t>
      </w:r>
      <w:r w:rsidRPr="00AC13E7">
        <w:t xml:space="preserve">specific copy number (both clonal and subclonal). As input, the method requires read counts from </w:t>
      </w:r>
      <w:r w:rsidR="00962407" w:rsidRPr="00AC13E7">
        <w:t>tumour</w:t>
      </w:r>
      <w:r w:rsidRPr="00AC13E7">
        <w:t xml:space="preserve"> and matched normal sample in a sufficiently partitioned genome. Within the ICGC pan-cancer analysis</w:t>
      </w:r>
      <w:r w:rsidR="00D670E6" w:rsidRPr="00AC13E7">
        <w:t>,</w:t>
      </w:r>
      <w:r w:rsidRPr="00AC13E7">
        <w:t xml:space="preserve"> we chose a partitioning into non-overlapping 1kb windows. The read counts are then used to generate GC-corrected read ratios between the </w:t>
      </w:r>
      <w:r w:rsidR="00962407" w:rsidRPr="00AC13E7">
        <w:t>tumour</w:t>
      </w:r>
      <w:r w:rsidRPr="00AC13E7">
        <w:t xml:space="preserve"> and the normal. Secondly, Sclust requires base counts of common single nucleotide polymorphisms (SNPs)</w:t>
      </w:r>
      <w:r w:rsidR="000B0CE7" w:rsidRPr="00AC13E7">
        <w:t xml:space="preserve"> in </w:t>
      </w:r>
      <w:r w:rsidR="002676C9" w:rsidRPr="00AC13E7">
        <w:t>both</w:t>
      </w:r>
      <w:r w:rsidRPr="00AC13E7">
        <w:t xml:space="preserve"> the </w:t>
      </w:r>
      <w:r w:rsidR="00962407" w:rsidRPr="00AC13E7">
        <w:t>tumour</w:t>
      </w:r>
      <w:r w:rsidRPr="00AC13E7">
        <w:t xml:space="preserve"> and the matched normal sample. This data is used to </w:t>
      </w:r>
      <w:r w:rsidR="00D670E6" w:rsidRPr="00AC13E7">
        <w:t xml:space="preserve">compute B </w:t>
      </w:r>
      <w:r w:rsidRPr="00AC13E7">
        <w:t xml:space="preserve">allele frequencies at all heterozygous sites of the normal. Given this as input data, the algorithm first preforms segmentation based on the read ratios by detecting significant jumps in the data. Purity and ploidy estimates are then computed using a conditional maximum likelihood approach. In particular, the likelihood of </w:t>
      </w:r>
      <w:r w:rsidR="00D670E6" w:rsidRPr="00AC13E7">
        <w:t>B allele frequencies</w:t>
      </w:r>
      <w:r w:rsidRPr="00AC13E7">
        <w:t xml:space="preserve"> is optimi</w:t>
      </w:r>
      <w:r w:rsidR="00802594" w:rsidRPr="00AC13E7">
        <w:t>sed</w:t>
      </w:r>
      <w:r w:rsidRPr="00AC13E7">
        <w:t xml:space="preserve"> to obtain purity estimates for a fixed expected ploidy. This yields purity estimates in function of the expected ploidy, which is plugged into the likelihood of read ratios and optimi</w:t>
      </w:r>
      <w:r w:rsidR="00802594" w:rsidRPr="00AC13E7">
        <w:t>sed</w:t>
      </w:r>
      <w:r w:rsidRPr="00AC13E7">
        <w:t xml:space="preserve"> in order to obtain an estimate of the expected ploidy. Here, the search domain can be adjusted to select a more suitable solution in case of whole genome duplications. Along the optimization, allele</w:t>
      </w:r>
      <w:r w:rsidR="00C4738D" w:rsidRPr="00AC13E7">
        <w:t>-</w:t>
      </w:r>
      <w:r w:rsidRPr="00AC13E7">
        <w:t xml:space="preserve">specific copy numbers are computed. To derive subclonal copy number changes, we test which of the </w:t>
      </w:r>
      <w:r w:rsidR="00D670E6" w:rsidRPr="00AC13E7">
        <w:t xml:space="preserve">B </w:t>
      </w:r>
      <w:r w:rsidRPr="00AC13E7">
        <w:t xml:space="preserve">allele frequencies disagree with the model predictions (here a significance threshold of 1% is chosen). For all segments assigned to be subclonal, we select the best combination of copy number </w:t>
      </w:r>
      <w:r w:rsidR="00A92FAA" w:rsidRPr="00AC13E7">
        <w:t xml:space="preserve">states that are </w:t>
      </w:r>
      <w:r w:rsidRPr="00AC13E7">
        <w:t>just one copy apart. Finally, ploidy estimates are computed directly from the determined copy number states.</w:t>
      </w:r>
    </w:p>
    <w:p w14:paraId="5A063EBB" w14:textId="77777777" w:rsidR="00720570" w:rsidRPr="00AC13E7" w:rsidRDefault="00FE3B88">
      <w:r w:rsidRPr="00AC13E7">
        <w:br w:type="page"/>
      </w:r>
    </w:p>
    <w:p w14:paraId="1B229C8E" w14:textId="48F668AB" w:rsidR="00720570" w:rsidRPr="00AC13E7" w:rsidRDefault="00FE3B88">
      <w:pPr>
        <w:pStyle w:val="Heading2"/>
        <w:spacing w:before="320" w:after="80"/>
        <w:rPr>
          <w:rFonts w:ascii="Times New Roman" w:hAnsi="Times New Roman" w:cs="Times New Roman"/>
          <w:lang w:val="en-GB"/>
        </w:rPr>
      </w:pPr>
      <w:bookmarkStart w:id="49" w:name="_bz34ayvs2gwr" w:colFirst="0" w:colLast="0"/>
      <w:bookmarkStart w:id="50" w:name="_5l5a2owomjws" w:colFirst="0" w:colLast="0"/>
      <w:bookmarkStart w:id="51" w:name="_Toc499569269"/>
      <w:bookmarkStart w:id="52" w:name="_Toc499571725"/>
      <w:bookmarkStart w:id="53" w:name="_Toc391905004"/>
      <w:bookmarkEnd w:id="49"/>
      <w:bookmarkEnd w:id="50"/>
      <w:r w:rsidRPr="00AC13E7">
        <w:rPr>
          <w:rFonts w:ascii="Times New Roman" w:hAnsi="Times New Roman" w:cs="Times New Roman"/>
          <w:lang w:val="en-GB"/>
        </w:rPr>
        <w:lastRenderedPageBreak/>
        <w:t>1.3 Copy number consensus approach</w:t>
      </w:r>
      <w:bookmarkEnd w:id="51"/>
      <w:bookmarkEnd w:id="52"/>
      <w:bookmarkEnd w:id="53"/>
    </w:p>
    <w:p w14:paraId="19DCB706" w14:textId="77777777" w:rsidR="00720570" w:rsidRPr="00AC13E7" w:rsidRDefault="00720570">
      <w:pPr>
        <w:rPr>
          <w:rFonts w:eastAsia="Arial"/>
          <w:b/>
          <w:sz w:val="22"/>
          <w:szCs w:val="22"/>
        </w:rPr>
      </w:pPr>
    </w:p>
    <w:p w14:paraId="40F0A326" w14:textId="2546911A" w:rsidR="00720570" w:rsidRPr="00AC13E7" w:rsidRDefault="00DE1B58" w:rsidP="00ED7622">
      <w:pPr>
        <w:pStyle w:val="Heading3"/>
        <w:rPr>
          <w:rFonts w:eastAsia="Arial"/>
          <w:lang w:val="en-GB"/>
        </w:rPr>
      </w:pPr>
      <w:bookmarkStart w:id="54" w:name="_Toc499571726"/>
      <w:bookmarkStart w:id="55" w:name="_Toc391905005"/>
      <w:r w:rsidRPr="00AC13E7">
        <w:rPr>
          <w:rFonts w:ascii="Times New Roman" w:hAnsi="Times New Roman" w:cs="Times New Roman"/>
          <w:b w:val="0"/>
          <w:bCs/>
          <w:sz w:val="32"/>
          <w:szCs w:val="32"/>
          <w:lang w:val="en-GB"/>
        </w:rPr>
        <w:t xml:space="preserve">1.3.1 </w:t>
      </w:r>
      <w:r w:rsidR="00FE3B88" w:rsidRPr="00AC13E7">
        <w:rPr>
          <w:rFonts w:ascii="Times New Roman" w:hAnsi="Times New Roman" w:cs="Times New Roman"/>
          <w:b w:val="0"/>
          <w:bCs/>
          <w:sz w:val="32"/>
          <w:szCs w:val="32"/>
          <w:lang w:val="en-GB"/>
        </w:rPr>
        <w:t>Consensus copy number procedure</w:t>
      </w:r>
      <w:bookmarkEnd w:id="54"/>
      <w:bookmarkEnd w:id="55"/>
    </w:p>
    <w:p w14:paraId="6AAFBA19" w14:textId="3C204FAC" w:rsidR="00720570" w:rsidRPr="00AC13E7" w:rsidRDefault="00FE3B88" w:rsidP="008B6240">
      <w:pPr>
        <w:jc w:val="both"/>
        <w:rPr>
          <w:rFonts w:eastAsia="Arial"/>
        </w:rPr>
      </w:pPr>
      <w:r w:rsidRPr="00AC13E7">
        <w:rPr>
          <w:rFonts w:eastAsia="Arial"/>
        </w:rPr>
        <w:t xml:space="preserve">ICGC PCAWG relied on a consensus strategy for SNVs, SVs, and indels, as calls for each on which different algorithms agreed were understood to be high-confidence predictions. For </w:t>
      </w:r>
      <w:r w:rsidR="00CD109B" w:rsidRPr="00AC13E7">
        <w:rPr>
          <w:rFonts w:eastAsia="Arial"/>
        </w:rPr>
        <w:t>copy number</w:t>
      </w:r>
      <w:r w:rsidRPr="00AC13E7">
        <w:rPr>
          <w:rFonts w:eastAsia="Arial"/>
        </w:rPr>
        <w:t xml:space="preserve"> calls, we relied on a similar consensus approach, which combined results from six individual </w:t>
      </w:r>
      <w:r w:rsidR="00CD109B" w:rsidRPr="00AC13E7">
        <w:rPr>
          <w:rFonts w:eastAsia="Arial"/>
        </w:rPr>
        <w:t>copy number</w:t>
      </w:r>
      <w:r w:rsidRPr="00AC13E7">
        <w:rPr>
          <w:rFonts w:eastAsia="Arial"/>
        </w:rPr>
        <w:t xml:space="preserve"> callers: ABSOLUTE, ACEseq, Battenberg, CloneHD, JaBbA and Sclust.</w:t>
      </w:r>
    </w:p>
    <w:p w14:paraId="7283545B" w14:textId="77777777" w:rsidR="00720570" w:rsidRPr="00AC13E7" w:rsidRDefault="00720570" w:rsidP="008B6240">
      <w:pPr>
        <w:jc w:val="both"/>
        <w:rPr>
          <w:rFonts w:eastAsia="Arial"/>
        </w:rPr>
      </w:pPr>
    </w:p>
    <w:p w14:paraId="334809E4" w14:textId="30A3E1CF" w:rsidR="00720570" w:rsidRPr="00AC13E7" w:rsidRDefault="00FE3B88" w:rsidP="008B6240">
      <w:pPr>
        <w:jc w:val="both"/>
        <w:rPr>
          <w:rFonts w:eastAsia="Arial"/>
        </w:rPr>
      </w:pPr>
      <w:r w:rsidRPr="00AC13E7">
        <w:rPr>
          <w:rFonts w:eastAsia="Arial"/>
        </w:rPr>
        <w:t xml:space="preserve">Each </w:t>
      </w:r>
      <w:r w:rsidR="00CD109B" w:rsidRPr="00AC13E7">
        <w:rPr>
          <w:rFonts w:eastAsia="Arial"/>
        </w:rPr>
        <w:t>copy number</w:t>
      </w:r>
      <w:r w:rsidRPr="00AC13E7">
        <w:rPr>
          <w:rFonts w:eastAsia="Arial"/>
        </w:rPr>
        <w:t xml:space="preserve"> caller uses a two-step process, first segmenting the genome into regions assumed to have constant </w:t>
      </w:r>
      <w:r w:rsidR="00CD109B" w:rsidRPr="00AC13E7">
        <w:rPr>
          <w:rFonts w:eastAsia="Arial"/>
        </w:rPr>
        <w:t>copy number</w:t>
      </w:r>
      <w:r w:rsidRPr="00AC13E7">
        <w:rPr>
          <w:rFonts w:eastAsia="Arial"/>
        </w:rPr>
        <w:t xml:space="preserve"> stat</w:t>
      </w:r>
      <w:r w:rsidR="00A739AD" w:rsidRPr="00AC13E7">
        <w:rPr>
          <w:rFonts w:eastAsia="Arial"/>
        </w:rPr>
        <w:t>e</w:t>
      </w:r>
      <w:r w:rsidRPr="00AC13E7">
        <w:rPr>
          <w:rFonts w:eastAsia="Arial"/>
        </w:rPr>
        <w:t xml:space="preserve">, then determining the clonal and subclonal </w:t>
      </w:r>
      <w:r w:rsidR="00CD109B" w:rsidRPr="00AC13E7">
        <w:rPr>
          <w:rFonts w:eastAsia="Arial"/>
        </w:rPr>
        <w:t>copy number</w:t>
      </w:r>
      <w:r w:rsidRPr="00AC13E7">
        <w:rPr>
          <w:rFonts w:eastAsia="Arial"/>
        </w:rPr>
        <w:t xml:space="preserve"> states of each segment. Disagreement amongst </w:t>
      </w:r>
      <w:r w:rsidR="00CD109B" w:rsidRPr="00AC13E7">
        <w:rPr>
          <w:rFonts w:eastAsia="Arial"/>
        </w:rPr>
        <w:t>copy number</w:t>
      </w:r>
      <w:r w:rsidRPr="00AC13E7">
        <w:rPr>
          <w:rFonts w:eastAsia="Arial"/>
        </w:rPr>
        <w:t xml:space="preserve"> callers arises primarily from two factors: differences in genome segmentation, and uncertainty concerning whether a whole-genome duplication (WGD) occurred. Thus, our consensus strategy resolved both factors for each sample, allowing us to determine a consensus </w:t>
      </w:r>
      <w:r w:rsidR="00CD109B" w:rsidRPr="00AC13E7">
        <w:rPr>
          <w:rFonts w:eastAsia="Arial"/>
        </w:rPr>
        <w:t>copy number</w:t>
      </w:r>
      <w:r w:rsidRPr="00AC13E7">
        <w:rPr>
          <w:rFonts w:eastAsia="Arial"/>
        </w:rPr>
        <w:t xml:space="preserve"> state for much of the genome across samples.</w:t>
      </w:r>
    </w:p>
    <w:p w14:paraId="6DB039C8" w14:textId="77777777" w:rsidR="00720570" w:rsidRPr="00AC13E7" w:rsidRDefault="00720570">
      <w:pPr>
        <w:rPr>
          <w:rFonts w:eastAsia="Arial"/>
          <w:b/>
        </w:rPr>
      </w:pPr>
    </w:p>
    <w:p w14:paraId="5C4854ED" w14:textId="77777777" w:rsidR="001524A1" w:rsidRPr="00AC13E7" w:rsidRDefault="001524A1">
      <w:pPr>
        <w:rPr>
          <w:rFonts w:eastAsia="Arial"/>
          <w:b/>
        </w:rPr>
      </w:pPr>
    </w:p>
    <w:p w14:paraId="523F2A27" w14:textId="27BEB81C" w:rsidR="00CE71A6" w:rsidRPr="00AC13E7" w:rsidRDefault="00DE1B58" w:rsidP="00ED7622">
      <w:pPr>
        <w:pStyle w:val="Heading3"/>
        <w:rPr>
          <w:rFonts w:ascii="Times New Roman" w:hAnsi="Times New Roman" w:cs="Times New Roman"/>
          <w:b w:val="0"/>
          <w:bCs/>
          <w:sz w:val="32"/>
          <w:szCs w:val="32"/>
          <w:lang w:val="en-GB"/>
        </w:rPr>
      </w:pPr>
      <w:bookmarkStart w:id="56" w:name="_Toc499571727"/>
      <w:bookmarkStart w:id="57" w:name="_Toc391905006"/>
      <w:r w:rsidRPr="00AC13E7">
        <w:rPr>
          <w:rFonts w:ascii="Times New Roman" w:hAnsi="Times New Roman" w:cs="Times New Roman"/>
          <w:b w:val="0"/>
          <w:bCs/>
          <w:sz w:val="32"/>
          <w:szCs w:val="32"/>
          <w:lang w:val="en-GB"/>
        </w:rPr>
        <w:t xml:space="preserve">1.3.2 </w:t>
      </w:r>
      <w:r w:rsidR="00CD109B" w:rsidRPr="00AC13E7">
        <w:rPr>
          <w:rFonts w:ascii="Times New Roman" w:hAnsi="Times New Roman" w:cs="Times New Roman"/>
          <w:b w:val="0"/>
          <w:bCs/>
          <w:sz w:val="32"/>
          <w:szCs w:val="32"/>
          <w:lang w:val="en-GB"/>
        </w:rPr>
        <w:t>Copy-number</w:t>
      </w:r>
      <w:r w:rsidR="00FE3B88" w:rsidRPr="00AC13E7">
        <w:rPr>
          <w:rFonts w:ascii="Times New Roman" w:hAnsi="Times New Roman" w:cs="Times New Roman"/>
          <w:b w:val="0"/>
          <w:bCs/>
          <w:sz w:val="32"/>
          <w:szCs w:val="32"/>
          <w:lang w:val="en-GB"/>
        </w:rPr>
        <w:t>-calling methods differ in genome segmentation</w:t>
      </w:r>
      <w:bookmarkEnd w:id="56"/>
      <w:bookmarkEnd w:id="57"/>
    </w:p>
    <w:p w14:paraId="6E1600B4" w14:textId="77777777" w:rsidR="00A05CFF" w:rsidRPr="00AC13E7" w:rsidRDefault="00A05CFF" w:rsidP="00A05CFF">
      <w:pPr>
        <w:jc w:val="both"/>
        <w:rPr>
          <w:rFonts w:eastAsia="Arial"/>
        </w:rPr>
      </w:pPr>
      <w:r w:rsidRPr="00AC13E7">
        <w:rPr>
          <w:rFonts w:eastAsia="Arial"/>
        </w:rPr>
        <w:t>Jeff Wintersinger, Quaid D. Morris</w:t>
      </w:r>
    </w:p>
    <w:p w14:paraId="63EC395F" w14:textId="77777777" w:rsidR="009C368C" w:rsidRPr="00AC13E7" w:rsidRDefault="009C368C" w:rsidP="005835BD">
      <w:pPr>
        <w:jc w:val="both"/>
        <w:rPr>
          <w:rFonts w:eastAsia="Arial"/>
        </w:rPr>
      </w:pPr>
    </w:p>
    <w:p w14:paraId="16E6F278" w14:textId="54A697C5" w:rsidR="00720570" w:rsidRPr="00AC13E7" w:rsidRDefault="00CD109B" w:rsidP="005835BD">
      <w:pPr>
        <w:jc w:val="both"/>
        <w:rPr>
          <w:rFonts w:eastAsia="Arial"/>
        </w:rPr>
      </w:pPr>
      <w:r w:rsidRPr="00AC13E7">
        <w:rPr>
          <w:rFonts w:eastAsia="Arial"/>
        </w:rPr>
        <w:t>Copy number</w:t>
      </w:r>
      <w:r w:rsidR="00FE3B88" w:rsidRPr="00AC13E7">
        <w:rPr>
          <w:rFonts w:eastAsia="Arial"/>
        </w:rPr>
        <w:t xml:space="preserve"> caller</w:t>
      </w:r>
      <w:r w:rsidR="00751265" w:rsidRPr="00AC13E7">
        <w:rPr>
          <w:rFonts w:eastAsia="Arial"/>
        </w:rPr>
        <w:t>s</w:t>
      </w:r>
      <w:r w:rsidR="00FE3B88" w:rsidRPr="00AC13E7">
        <w:rPr>
          <w:rFonts w:eastAsia="Arial"/>
        </w:rPr>
        <w:t xml:space="preserve"> segment a sample's genome into regions assumed to have constant </w:t>
      </w:r>
      <w:r w:rsidRPr="00AC13E7">
        <w:rPr>
          <w:rFonts w:eastAsia="Arial"/>
        </w:rPr>
        <w:t>copy number</w:t>
      </w:r>
      <w:r w:rsidR="00FE3B88" w:rsidRPr="00AC13E7">
        <w:rPr>
          <w:rFonts w:eastAsia="Arial"/>
        </w:rPr>
        <w:t xml:space="preserve">. To </w:t>
      </w:r>
      <w:r w:rsidR="0011057B" w:rsidRPr="00AC13E7">
        <w:rPr>
          <w:rFonts w:eastAsia="Arial"/>
        </w:rPr>
        <w:t xml:space="preserve">delineate </w:t>
      </w:r>
      <w:r w:rsidR="00FE3B88" w:rsidRPr="00AC13E7">
        <w:rPr>
          <w:rFonts w:eastAsia="Arial"/>
        </w:rPr>
        <w:t xml:space="preserve">these segments, they find breakpoints </w:t>
      </w:r>
      <w:r w:rsidR="005835BD" w:rsidRPr="00AC13E7">
        <w:rPr>
          <w:rFonts w:eastAsia="Arial"/>
        </w:rPr>
        <w:t>at which</w:t>
      </w:r>
      <w:r w:rsidR="00522101" w:rsidRPr="00AC13E7">
        <w:rPr>
          <w:rFonts w:eastAsia="Arial"/>
        </w:rPr>
        <w:t xml:space="preserve"> the</w:t>
      </w:r>
      <w:r w:rsidR="00C31A8B" w:rsidRPr="00AC13E7">
        <w:rPr>
          <w:rFonts w:eastAsia="Arial"/>
        </w:rPr>
        <w:t xml:space="preserve"> </w:t>
      </w:r>
      <w:r w:rsidR="00FE3B88" w:rsidRPr="00AC13E7">
        <w:rPr>
          <w:rFonts w:eastAsia="Arial"/>
        </w:rPr>
        <w:t xml:space="preserve">boundaries between segments where </w:t>
      </w:r>
      <w:r w:rsidRPr="00AC13E7">
        <w:rPr>
          <w:rFonts w:eastAsia="Arial"/>
        </w:rPr>
        <w:t>copy number</w:t>
      </w:r>
      <w:r w:rsidR="00FE3B88" w:rsidRPr="00AC13E7">
        <w:rPr>
          <w:rFonts w:eastAsia="Arial"/>
        </w:rPr>
        <w:t xml:space="preserve"> stat</w:t>
      </w:r>
      <w:r w:rsidR="00A739AD" w:rsidRPr="00AC13E7">
        <w:rPr>
          <w:rFonts w:eastAsia="Arial"/>
        </w:rPr>
        <w:t>e</w:t>
      </w:r>
      <w:r w:rsidR="00FE3B88" w:rsidRPr="00AC13E7">
        <w:rPr>
          <w:rFonts w:eastAsia="Arial"/>
        </w:rPr>
        <w:t xml:space="preserve"> changes. Once these breakpoints are established, callers then determine the mixture of </w:t>
      </w:r>
      <w:r w:rsidRPr="00AC13E7">
        <w:rPr>
          <w:rFonts w:eastAsia="Arial"/>
        </w:rPr>
        <w:t>copy number</w:t>
      </w:r>
      <w:r w:rsidR="00FE3B88" w:rsidRPr="00AC13E7">
        <w:rPr>
          <w:rFonts w:eastAsia="Arial"/>
        </w:rPr>
        <w:t xml:space="preserve"> states within each segment, encompassing the number of major allele</w:t>
      </w:r>
      <w:r w:rsidR="00292D28" w:rsidRPr="00AC13E7">
        <w:rPr>
          <w:rFonts w:eastAsia="Arial"/>
        </w:rPr>
        <w:t xml:space="preserve"> copies</w:t>
      </w:r>
      <w:r w:rsidR="00FE3B88" w:rsidRPr="00AC13E7">
        <w:rPr>
          <w:rFonts w:eastAsia="Arial"/>
        </w:rPr>
        <w:t xml:space="preserve">, </w:t>
      </w:r>
      <w:r w:rsidR="009022FB" w:rsidRPr="00AC13E7">
        <w:rPr>
          <w:rFonts w:eastAsia="Arial"/>
        </w:rPr>
        <w:t xml:space="preserve">the </w:t>
      </w:r>
      <w:r w:rsidR="00FE3B88" w:rsidRPr="00AC13E7">
        <w:rPr>
          <w:rFonts w:eastAsia="Arial"/>
        </w:rPr>
        <w:t>number of minor allele</w:t>
      </w:r>
      <w:r w:rsidR="00853422" w:rsidRPr="00AC13E7">
        <w:rPr>
          <w:rFonts w:eastAsia="Arial"/>
        </w:rPr>
        <w:t xml:space="preserve"> copies,</w:t>
      </w:r>
      <w:r w:rsidR="00FE3B88" w:rsidRPr="00AC13E7">
        <w:rPr>
          <w:rFonts w:eastAsia="Arial"/>
        </w:rPr>
        <w:t xml:space="preserve"> and </w:t>
      </w:r>
      <w:r w:rsidR="002F05D5" w:rsidRPr="00AC13E7">
        <w:rPr>
          <w:rFonts w:eastAsia="Arial"/>
        </w:rPr>
        <w:t xml:space="preserve">the </w:t>
      </w:r>
      <w:r w:rsidR="00FE3B88" w:rsidRPr="00AC13E7">
        <w:rPr>
          <w:rFonts w:eastAsia="Arial"/>
        </w:rPr>
        <w:t>proportion of cells with that state.</w:t>
      </w:r>
    </w:p>
    <w:p w14:paraId="1E6F536E" w14:textId="77777777" w:rsidR="00963F99" w:rsidRPr="00AC13E7" w:rsidRDefault="00963F99" w:rsidP="00033195">
      <w:pPr>
        <w:jc w:val="both"/>
        <w:rPr>
          <w:rFonts w:eastAsia="Arial"/>
        </w:rPr>
      </w:pPr>
    </w:p>
    <w:p w14:paraId="6ECCF48D" w14:textId="2561A766" w:rsidR="00720570" w:rsidRPr="00AC13E7" w:rsidRDefault="00963F99" w:rsidP="006714EB">
      <w:pPr>
        <w:jc w:val="both"/>
        <w:rPr>
          <w:rFonts w:eastAsia="Arial"/>
        </w:rPr>
      </w:pPr>
      <w:r w:rsidRPr="00AC13E7">
        <w:rPr>
          <w:rFonts w:eastAsia="Arial"/>
        </w:rPr>
        <w:t>Copy number methods differed substantially in the number of breakpoints they defined through their genome segmentations (</w:t>
      </w:r>
      <w:r w:rsidR="00622EF9" w:rsidRPr="00AC13E7">
        <w:rPr>
          <w:rFonts w:eastAsia="Arial"/>
        </w:rPr>
        <w:fldChar w:fldCharType="begin"/>
      </w:r>
      <w:r w:rsidR="00622EF9" w:rsidRPr="00AC13E7">
        <w:rPr>
          <w:rFonts w:eastAsia="Arial"/>
        </w:rPr>
        <w:instrText xml:space="preserve"> REF _Ref379536817 \h </w:instrText>
      </w:r>
      <w:r w:rsidR="00622EF9" w:rsidRPr="00AC13E7">
        <w:rPr>
          <w:rFonts w:eastAsia="Arial"/>
        </w:rPr>
      </w:r>
      <w:r w:rsidR="00622EF9" w:rsidRPr="00AC13E7">
        <w:rPr>
          <w:rFonts w:eastAsia="Arial"/>
        </w:rPr>
        <w:fldChar w:fldCharType="separate"/>
      </w:r>
      <w:r w:rsidR="00673FBD" w:rsidRPr="00AC13E7">
        <w:t xml:space="preserve">Fig. </w:t>
      </w:r>
      <w:r w:rsidR="00673FBD">
        <w:rPr>
          <w:noProof/>
        </w:rPr>
        <w:t>13</w:t>
      </w:r>
      <w:r w:rsidR="00622EF9" w:rsidRPr="00AC13E7">
        <w:rPr>
          <w:rFonts w:eastAsia="Arial"/>
        </w:rPr>
        <w:fldChar w:fldCharType="end"/>
      </w:r>
      <w:r w:rsidRPr="00AC13E7">
        <w:rPr>
          <w:rFonts w:eastAsia="Arial"/>
        </w:rPr>
        <w:t xml:space="preserve">), with some methods calling </w:t>
      </w:r>
      <w:r w:rsidR="006714EB" w:rsidRPr="00AC13E7">
        <w:rPr>
          <w:rFonts w:eastAsia="Arial"/>
        </w:rPr>
        <w:t xml:space="preserve">an order of magnitude </w:t>
      </w:r>
      <w:r w:rsidRPr="00AC13E7">
        <w:rPr>
          <w:rFonts w:eastAsia="Arial"/>
        </w:rPr>
        <w:t xml:space="preserve">more breakpoints than others. Broadly speaking, these can be broken into two classes: "liberal" methods (ACEseq and cloneHD) called, on average, a great many more breakpoints than "conservative" methods (ABSOLUTE, Battenberg, JaBbA, and Sclust). To resolve this </w:t>
      </w:r>
      <w:r w:rsidR="00FE3B88" w:rsidRPr="00AC13E7">
        <w:rPr>
          <w:rFonts w:eastAsia="Arial"/>
        </w:rPr>
        <w:t>disagreement between different algorithms concerning the proper genome segmentation, we established a set of consensus breakpoints</w:t>
      </w:r>
      <w:r w:rsidRPr="00AC13E7">
        <w:rPr>
          <w:rFonts w:eastAsia="Arial"/>
        </w:rPr>
        <w:t>, taking into account this “liberal” vs. “conservative” distinction</w:t>
      </w:r>
      <w:r w:rsidR="00FE3B88" w:rsidRPr="00AC13E7">
        <w:rPr>
          <w:rFonts w:eastAsia="Arial"/>
        </w:rPr>
        <w:t xml:space="preserve">. All methods subsequently used that consensus segmentation in determining </w:t>
      </w:r>
      <w:r w:rsidR="00CD109B" w:rsidRPr="00AC13E7">
        <w:rPr>
          <w:rFonts w:eastAsia="Arial"/>
        </w:rPr>
        <w:t>copy number</w:t>
      </w:r>
      <w:r w:rsidR="00FE3B88" w:rsidRPr="00AC13E7">
        <w:rPr>
          <w:rFonts w:eastAsia="Arial"/>
        </w:rPr>
        <w:t xml:space="preserve"> stat</w:t>
      </w:r>
      <w:r w:rsidR="00A739AD" w:rsidRPr="00AC13E7">
        <w:rPr>
          <w:rFonts w:eastAsia="Arial"/>
        </w:rPr>
        <w:t>es</w:t>
      </w:r>
      <w:r w:rsidRPr="00AC13E7">
        <w:rPr>
          <w:rFonts w:eastAsia="Arial"/>
        </w:rPr>
        <w:t>.</w:t>
      </w:r>
    </w:p>
    <w:p w14:paraId="60734F9F" w14:textId="77777777" w:rsidR="00720570" w:rsidRPr="00AC13E7" w:rsidRDefault="00720570" w:rsidP="00033195">
      <w:pPr>
        <w:jc w:val="both"/>
        <w:rPr>
          <w:rFonts w:eastAsia="Arial"/>
        </w:rPr>
      </w:pPr>
    </w:p>
    <w:p w14:paraId="5679E883" w14:textId="77777777" w:rsidR="00B10467" w:rsidRPr="00AC13E7" w:rsidRDefault="0032764D" w:rsidP="000668D6">
      <w:pPr>
        <w:keepNext/>
        <w:jc w:val="center"/>
      </w:pPr>
      <w:r w:rsidRPr="00AC13E7">
        <w:rPr>
          <w:rFonts w:eastAsia="Arial"/>
          <w:noProof/>
          <w:lang w:eastAsia="en-GB"/>
        </w:rPr>
        <w:lastRenderedPageBreak/>
        <w:drawing>
          <wp:inline distT="0" distB="0" distL="0" distR="0" wp14:anchorId="2A094F1F" wp14:editId="024CDB93">
            <wp:extent cx="4148455" cy="2963545"/>
            <wp:effectExtent l="0" t="0" r="0" b="8255"/>
            <wp:docPr id="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48455" cy="2963545"/>
                    </a:xfrm>
                    <a:prstGeom prst="rect">
                      <a:avLst/>
                    </a:prstGeom>
                    <a:noFill/>
                    <a:ln>
                      <a:noFill/>
                    </a:ln>
                  </pic:spPr>
                </pic:pic>
              </a:graphicData>
            </a:graphic>
          </wp:inline>
        </w:drawing>
      </w:r>
    </w:p>
    <w:p w14:paraId="5CB731B0" w14:textId="1E0C821F" w:rsidR="001D4828" w:rsidRPr="00AC13E7" w:rsidRDefault="00B10467" w:rsidP="004916C9">
      <w:pPr>
        <w:pStyle w:val="Caption"/>
        <w:rPr>
          <w:highlight w:val="yellow"/>
        </w:rPr>
      </w:pPr>
      <w:bookmarkStart w:id="58" w:name="_Ref379536817"/>
      <w:bookmarkStart w:id="59" w:name="_Toc384459584"/>
      <w:r w:rsidRPr="00AC13E7">
        <w:t xml:space="preserve">Fig. </w:t>
      </w:r>
      <w:r w:rsidR="001003E9">
        <w:fldChar w:fldCharType="begin"/>
      </w:r>
      <w:r w:rsidR="001003E9">
        <w:instrText xml:space="preserve"> SEQ Fig. \* ARABIC </w:instrText>
      </w:r>
      <w:r w:rsidR="001003E9">
        <w:fldChar w:fldCharType="separate"/>
      </w:r>
      <w:r w:rsidR="00673FBD">
        <w:rPr>
          <w:noProof/>
        </w:rPr>
        <w:t>13</w:t>
      </w:r>
      <w:r w:rsidR="001003E9">
        <w:rPr>
          <w:noProof/>
        </w:rPr>
        <w:fldChar w:fldCharType="end"/>
      </w:r>
      <w:bookmarkEnd w:id="58"/>
      <w:r w:rsidRPr="00AC13E7">
        <w:t xml:space="preserve"> </w:t>
      </w:r>
      <w:r w:rsidRPr="00AC13E7">
        <w:rPr>
          <w:bCs/>
        </w:rPr>
        <w:t>Cumulative distribution of the number of samples with the indicated number of breakpoints</w:t>
      </w:r>
      <w:r w:rsidRPr="00AC13E7">
        <w:rPr>
          <w:b/>
        </w:rPr>
        <w:t xml:space="preserve"> </w:t>
      </w:r>
      <w:r w:rsidRPr="00AC13E7">
        <w:t>predicted for each tumour by the six copy-number-calling methods. ACEseq and cloneHD (the “liberal” methods) often predicted an order of magnitude more breakpoints per tumour than ABSOLUTE, JaBbA, Sclust, and Battenberg (the “conservative” methods). While the four conservative methods characterized only approximately 7% of cancers as having more than 1000 breakpoints, ACEseq and cloneHD found 17% and 24%, respectively, crossing this threshold.</w:t>
      </w:r>
      <w:bookmarkEnd w:id="59"/>
    </w:p>
    <w:p w14:paraId="5DEEE408" w14:textId="77777777" w:rsidR="001524A1" w:rsidRPr="00AC13E7" w:rsidRDefault="001524A1" w:rsidP="00033195">
      <w:pPr>
        <w:jc w:val="both"/>
        <w:rPr>
          <w:rFonts w:eastAsia="Arial"/>
        </w:rPr>
      </w:pPr>
    </w:p>
    <w:p w14:paraId="67E73978" w14:textId="077EA4E5" w:rsidR="00720570" w:rsidRPr="00AC13E7" w:rsidRDefault="004D3E7A" w:rsidP="00ED7622">
      <w:pPr>
        <w:pStyle w:val="Heading3"/>
        <w:rPr>
          <w:rFonts w:ascii="Times New Roman" w:hAnsi="Times New Roman" w:cs="Times New Roman"/>
          <w:b w:val="0"/>
          <w:bCs/>
          <w:sz w:val="32"/>
          <w:szCs w:val="32"/>
          <w:lang w:val="en-GB"/>
        </w:rPr>
      </w:pPr>
      <w:bookmarkStart w:id="60" w:name="_Toc499571728"/>
      <w:bookmarkStart w:id="61" w:name="_Toc391905007"/>
      <w:r w:rsidRPr="00AC13E7">
        <w:rPr>
          <w:rFonts w:ascii="Times New Roman" w:hAnsi="Times New Roman" w:cs="Times New Roman"/>
          <w:b w:val="0"/>
          <w:bCs/>
          <w:sz w:val="32"/>
          <w:szCs w:val="32"/>
          <w:lang w:val="en-GB"/>
        </w:rPr>
        <w:t xml:space="preserve">1.3.3 </w:t>
      </w:r>
      <w:r w:rsidR="00FE3B88" w:rsidRPr="00AC13E7">
        <w:rPr>
          <w:rFonts w:ascii="Times New Roman" w:hAnsi="Times New Roman" w:cs="Times New Roman"/>
          <w:b w:val="0"/>
          <w:bCs/>
          <w:sz w:val="32"/>
          <w:szCs w:val="32"/>
          <w:lang w:val="en-GB"/>
        </w:rPr>
        <w:t>Method for determining consensus segment breakpoints</w:t>
      </w:r>
      <w:bookmarkEnd w:id="60"/>
      <w:bookmarkEnd w:id="61"/>
    </w:p>
    <w:p w14:paraId="7B658A17" w14:textId="77777777" w:rsidR="00B755FD" w:rsidRPr="00AC13E7" w:rsidRDefault="00B755FD" w:rsidP="00B755FD">
      <w:pPr>
        <w:jc w:val="both"/>
        <w:rPr>
          <w:rFonts w:eastAsia="Arial"/>
        </w:rPr>
      </w:pPr>
      <w:r w:rsidRPr="00AC13E7">
        <w:rPr>
          <w:rFonts w:eastAsia="Arial"/>
        </w:rPr>
        <w:t>Jeff Wintersinger, Quaid D. Morris</w:t>
      </w:r>
    </w:p>
    <w:p w14:paraId="6B6B5364" w14:textId="77777777" w:rsidR="00B2079E" w:rsidRPr="00AC13E7" w:rsidRDefault="00B2079E" w:rsidP="00963F99">
      <w:pPr>
        <w:jc w:val="both"/>
        <w:rPr>
          <w:rFonts w:eastAsia="Arial"/>
        </w:rPr>
      </w:pPr>
    </w:p>
    <w:p w14:paraId="2671729A" w14:textId="64B1187F" w:rsidR="00963F99" w:rsidRPr="00AC13E7" w:rsidRDefault="00FE3B88" w:rsidP="00963F99">
      <w:pPr>
        <w:jc w:val="both"/>
        <w:rPr>
          <w:rFonts w:eastAsia="Arial"/>
        </w:rPr>
      </w:pPr>
      <w:r w:rsidRPr="00AC13E7">
        <w:rPr>
          <w:rFonts w:eastAsia="Arial"/>
        </w:rPr>
        <w:t xml:space="preserve">As the six </w:t>
      </w:r>
      <w:r w:rsidR="00963F99" w:rsidRPr="00AC13E7">
        <w:rPr>
          <w:rFonts w:eastAsia="Arial"/>
        </w:rPr>
        <w:t xml:space="preserve">copy-number-calling </w:t>
      </w:r>
      <w:r w:rsidRPr="00AC13E7">
        <w:rPr>
          <w:rFonts w:eastAsia="Arial"/>
        </w:rPr>
        <w:t>methods differ</w:t>
      </w:r>
      <w:r w:rsidR="00963F99" w:rsidRPr="00AC13E7">
        <w:rPr>
          <w:rFonts w:eastAsia="Arial"/>
        </w:rPr>
        <w:t>ed</w:t>
      </w:r>
      <w:r w:rsidRPr="00AC13E7">
        <w:rPr>
          <w:rFonts w:eastAsia="Arial"/>
        </w:rPr>
        <w:t xml:space="preserve"> substantially in the segmentation they calculate</w:t>
      </w:r>
      <w:r w:rsidR="00963F99" w:rsidRPr="00AC13E7">
        <w:rPr>
          <w:rFonts w:eastAsia="Arial"/>
        </w:rPr>
        <w:t>d</w:t>
      </w:r>
      <w:r w:rsidRPr="00AC13E7">
        <w:rPr>
          <w:rFonts w:eastAsia="Arial"/>
        </w:rPr>
        <w:t>, we increase</w:t>
      </w:r>
      <w:r w:rsidR="00963F99" w:rsidRPr="00AC13E7">
        <w:rPr>
          <w:rFonts w:eastAsia="Arial"/>
        </w:rPr>
        <w:t>d</w:t>
      </w:r>
      <w:r w:rsidRPr="00AC13E7">
        <w:rPr>
          <w:rFonts w:eastAsia="Arial"/>
        </w:rPr>
        <w:t xml:space="preserve"> agreement in our consensus </w:t>
      </w:r>
      <w:r w:rsidR="00CD109B" w:rsidRPr="00AC13E7">
        <w:rPr>
          <w:rFonts w:eastAsia="Arial"/>
        </w:rPr>
        <w:t>copy number</w:t>
      </w:r>
      <w:r w:rsidRPr="00AC13E7">
        <w:rPr>
          <w:rFonts w:eastAsia="Arial"/>
        </w:rPr>
        <w:t xml:space="preserve"> calls by deciding upon a set of consensus breakpoints for each genome.</w:t>
      </w:r>
      <w:r w:rsidR="00963F99" w:rsidRPr="00AC13E7">
        <w:rPr>
          <w:rFonts w:eastAsia="Arial"/>
        </w:rPr>
        <w:t xml:space="preserve"> We developed a consensus strategy that favoured "true positive" breakpoints at the potential cost of increasing "false negatives"</w:t>
      </w:r>
      <w:r w:rsidR="00A93D50" w:rsidRPr="00AC13E7">
        <w:rPr>
          <w:rFonts w:eastAsia="Arial"/>
        </w:rPr>
        <w:t xml:space="preserve"> to create a complete set of breakpoints. Orthogonal evidence of copy number breakpoints from structural variants was used to quantify the “true positive” and “false negative” rate of our consensus approach (further detailed below). Copy number methods</w:t>
      </w:r>
      <w:r w:rsidR="00963F99" w:rsidRPr="00AC13E7">
        <w:rPr>
          <w:rFonts w:eastAsia="Arial"/>
        </w:rPr>
        <w:t xml:space="preserve"> we</w:t>
      </w:r>
      <w:r w:rsidR="00A93D50" w:rsidRPr="00AC13E7">
        <w:rPr>
          <w:rFonts w:eastAsia="Arial"/>
        </w:rPr>
        <w:t>re required to take the consensus segmentation as input</w:t>
      </w:r>
      <w:r w:rsidR="005A129E" w:rsidRPr="00AC13E7">
        <w:rPr>
          <w:rFonts w:eastAsia="Arial"/>
        </w:rPr>
        <w:t>,</w:t>
      </w:r>
      <w:r w:rsidR="00A93D50" w:rsidRPr="00AC13E7">
        <w:rPr>
          <w:rFonts w:eastAsia="Arial"/>
        </w:rPr>
        <w:t xml:space="preserve"> but were</w:t>
      </w:r>
      <w:r w:rsidR="00963F99" w:rsidRPr="00AC13E7">
        <w:rPr>
          <w:rFonts w:eastAsia="Arial"/>
        </w:rPr>
        <w:t xml:space="preserve"> permitted to merge adjacent segments they judged as having the same copy number</w:t>
      </w:r>
      <w:r w:rsidR="005A129E" w:rsidRPr="00AC13E7">
        <w:rPr>
          <w:rFonts w:eastAsia="Arial"/>
        </w:rPr>
        <w:t>.</w:t>
      </w:r>
      <w:r w:rsidR="00963F99" w:rsidRPr="00AC13E7">
        <w:rPr>
          <w:rFonts w:eastAsia="Arial"/>
        </w:rPr>
        <w:t xml:space="preserve"> </w:t>
      </w:r>
      <w:r w:rsidR="00A93D50" w:rsidRPr="00AC13E7">
        <w:rPr>
          <w:rFonts w:eastAsia="Arial"/>
        </w:rPr>
        <w:t>The</w:t>
      </w:r>
      <w:r w:rsidR="00F706B3" w:rsidRPr="00AC13E7">
        <w:rPr>
          <w:rFonts w:eastAsia="Arial"/>
        </w:rPr>
        <w:t>y</w:t>
      </w:r>
      <w:r w:rsidR="00A93D50" w:rsidRPr="00AC13E7">
        <w:rPr>
          <w:rFonts w:eastAsia="Arial"/>
        </w:rPr>
        <w:t xml:space="preserve"> were however </w:t>
      </w:r>
      <w:r w:rsidR="00963F99" w:rsidRPr="00AC13E7">
        <w:rPr>
          <w:rFonts w:eastAsia="Arial"/>
        </w:rPr>
        <w:t>not allow</w:t>
      </w:r>
      <w:r w:rsidR="00A93D50" w:rsidRPr="00AC13E7">
        <w:rPr>
          <w:rFonts w:eastAsia="Arial"/>
        </w:rPr>
        <w:t>ed</w:t>
      </w:r>
      <w:r w:rsidR="00963F99" w:rsidRPr="00AC13E7">
        <w:rPr>
          <w:rFonts w:eastAsia="Arial"/>
        </w:rPr>
        <w:t xml:space="preserve"> to introduce additional breakpoints that would create new segments</w:t>
      </w:r>
      <w:r w:rsidR="00A93D50" w:rsidRPr="00AC13E7">
        <w:rPr>
          <w:rFonts w:eastAsia="Arial"/>
        </w:rPr>
        <w:t>.</w:t>
      </w:r>
      <w:r w:rsidR="00963F99" w:rsidRPr="00AC13E7">
        <w:rPr>
          <w:rFonts w:eastAsia="Arial"/>
        </w:rPr>
        <w:t xml:space="preserve"> </w:t>
      </w:r>
      <w:r w:rsidR="00A93D50" w:rsidRPr="00AC13E7">
        <w:rPr>
          <w:rFonts w:eastAsia="Arial"/>
        </w:rPr>
        <w:t xml:space="preserve">The </w:t>
      </w:r>
      <w:r w:rsidR="00963F99" w:rsidRPr="00AC13E7">
        <w:rPr>
          <w:rFonts w:eastAsia="Arial"/>
        </w:rPr>
        <w:t>cost of introducing spurious breakpoints was</w:t>
      </w:r>
      <w:r w:rsidR="00A93D50" w:rsidRPr="00AC13E7">
        <w:rPr>
          <w:rFonts w:eastAsia="Arial"/>
        </w:rPr>
        <w:t xml:space="preserve"> therefore</w:t>
      </w:r>
      <w:r w:rsidR="00963F99" w:rsidRPr="00AC13E7">
        <w:rPr>
          <w:rFonts w:eastAsia="Arial"/>
        </w:rPr>
        <w:t xml:space="preserve"> less than that of missing breakpoints where the underlying copy number stat</w:t>
      </w:r>
      <w:r w:rsidR="005A129E" w:rsidRPr="00AC13E7">
        <w:rPr>
          <w:rFonts w:eastAsia="Arial"/>
        </w:rPr>
        <w:t>e</w:t>
      </w:r>
      <w:r w:rsidR="00963F99" w:rsidRPr="00AC13E7">
        <w:rPr>
          <w:rFonts w:eastAsia="Arial"/>
        </w:rPr>
        <w:t xml:space="preserve"> did indeed change.</w:t>
      </w:r>
    </w:p>
    <w:p w14:paraId="69463637" w14:textId="77777777" w:rsidR="00963F99" w:rsidRPr="00AC13E7" w:rsidRDefault="00963F99" w:rsidP="00963F99">
      <w:pPr>
        <w:jc w:val="both"/>
        <w:rPr>
          <w:rFonts w:eastAsia="Arial"/>
        </w:rPr>
      </w:pPr>
    </w:p>
    <w:p w14:paraId="6C622C57" w14:textId="5E917B17" w:rsidR="00720570" w:rsidRPr="00AC13E7" w:rsidRDefault="00FE3B88" w:rsidP="00033195">
      <w:pPr>
        <w:jc w:val="both"/>
        <w:rPr>
          <w:rFonts w:eastAsia="Arial"/>
        </w:rPr>
      </w:pPr>
      <w:r w:rsidRPr="00AC13E7">
        <w:rPr>
          <w:rFonts w:eastAsia="Arial"/>
        </w:rPr>
        <w:t xml:space="preserve">The algorithm we developed for determining consensus breakpoints draws on the insight that regions between adjacent segments indicate a method's uncertainty in precisely where the breakpoint delineating change in </w:t>
      </w:r>
      <w:r w:rsidR="00CD109B" w:rsidRPr="00AC13E7">
        <w:rPr>
          <w:rFonts w:eastAsia="Arial"/>
        </w:rPr>
        <w:t>copy number</w:t>
      </w:r>
      <w:r w:rsidRPr="00AC13E7">
        <w:rPr>
          <w:rFonts w:eastAsia="Arial"/>
        </w:rPr>
        <w:t xml:space="preserve"> state</w:t>
      </w:r>
      <w:r w:rsidR="006E310C" w:rsidRPr="00AC13E7">
        <w:rPr>
          <w:rFonts w:eastAsia="Arial"/>
        </w:rPr>
        <w:t xml:space="preserve"> should lie</w:t>
      </w:r>
      <w:r w:rsidRPr="00AC13E7">
        <w:rPr>
          <w:rFonts w:eastAsia="Arial"/>
        </w:rPr>
        <w:t xml:space="preserve">. The segmentation released by each method consists of a set of regions defined by the genomic loci </w:t>
      </w:r>
      <w:r w:rsidRPr="00AC13E7">
        <w:rPr>
          <w:rFonts w:eastAsia="Arial"/>
          <w:i/>
        </w:rPr>
        <w:t>S</w:t>
      </w:r>
      <w:r w:rsidR="00973BF5" w:rsidRPr="00AC13E7">
        <w:rPr>
          <w:rFonts w:eastAsia="Arial"/>
          <w:i/>
          <w:vertAlign w:val="subscript"/>
        </w:rPr>
        <w:t>i</w:t>
      </w:r>
      <w:r w:rsidRPr="00AC13E7">
        <w:rPr>
          <w:rFonts w:eastAsia="Arial"/>
        </w:rPr>
        <w:t xml:space="preserve"> and </w:t>
      </w:r>
      <w:r w:rsidRPr="00AC13E7">
        <w:rPr>
          <w:rFonts w:eastAsia="Arial"/>
          <w:i/>
        </w:rPr>
        <w:t>E</w:t>
      </w:r>
      <w:r w:rsidR="00973BF5" w:rsidRPr="00AC13E7">
        <w:rPr>
          <w:rFonts w:eastAsia="Arial"/>
          <w:i/>
          <w:vertAlign w:val="subscript"/>
        </w:rPr>
        <w:t>i</w:t>
      </w:r>
      <w:r w:rsidRPr="00AC13E7">
        <w:rPr>
          <w:rFonts w:eastAsia="Arial"/>
          <w:vertAlign w:val="subscript"/>
        </w:rPr>
        <w:t>,</w:t>
      </w:r>
      <w:r w:rsidRPr="00AC13E7">
        <w:rPr>
          <w:rFonts w:eastAsia="Arial"/>
        </w:rPr>
        <w:t xml:space="preserve"> </w:t>
      </w:r>
      <w:r w:rsidR="00963F99" w:rsidRPr="00AC13E7">
        <w:rPr>
          <w:rFonts w:eastAsia="Arial"/>
        </w:rPr>
        <w:t xml:space="preserve">indicating the start and end of each region, </w:t>
      </w:r>
      <w:r w:rsidRPr="00AC13E7">
        <w:rPr>
          <w:rFonts w:eastAsia="Arial"/>
        </w:rPr>
        <w:t>with the interval (</w:t>
      </w:r>
      <w:r w:rsidRPr="00AC13E7">
        <w:rPr>
          <w:rFonts w:eastAsia="Arial"/>
          <w:i/>
        </w:rPr>
        <w:t>S</w:t>
      </w:r>
      <w:r w:rsidR="00973BF5" w:rsidRPr="00AC13E7">
        <w:rPr>
          <w:rFonts w:eastAsia="Arial"/>
          <w:i/>
          <w:vertAlign w:val="subscript"/>
        </w:rPr>
        <w:t>i</w:t>
      </w:r>
      <w:r w:rsidR="005A129E" w:rsidRPr="00AC13E7">
        <w:rPr>
          <w:rFonts w:eastAsia="Arial"/>
        </w:rPr>
        <w:t xml:space="preserve">, </w:t>
      </w:r>
      <w:r w:rsidR="005A129E" w:rsidRPr="00AC13E7">
        <w:rPr>
          <w:rFonts w:eastAsia="Arial"/>
          <w:i/>
        </w:rPr>
        <w:t>E</w:t>
      </w:r>
      <w:r w:rsidR="00973BF5" w:rsidRPr="00AC13E7">
        <w:rPr>
          <w:rFonts w:eastAsia="Arial"/>
          <w:i/>
          <w:vertAlign w:val="subscript"/>
        </w:rPr>
        <w:t>i</w:t>
      </w:r>
      <w:r w:rsidRPr="00AC13E7">
        <w:rPr>
          <w:rFonts w:eastAsia="Arial"/>
        </w:rPr>
        <w:t xml:space="preserve">) representing a region of constant </w:t>
      </w:r>
      <w:r w:rsidR="00CD109B" w:rsidRPr="00AC13E7">
        <w:rPr>
          <w:rFonts w:eastAsia="Arial"/>
        </w:rPr>
        <w:t>copy number</w:t>
      </w:r>
      <w:r w:rsidRPr="00AC13E7">
        <w:rPr>
          <w:rFonts w:eastAsia="Arial"/>
        </w:rPr>
        <w:t xml:space="preserve">. On a given chromosome, however, we need not have </w:t>
      </w:r>
      <w:r w:rsidR="00963F99" w:rsidRPr="00AC13E7">
        <w:rPr>
          <w:rFonts w:eastAsia="Arial"/>
        </w:rPr>
        <w:t xml:space="preserve">each region immediately following its predecessor such </w:t>
      </w:r>
      <w:r w:rsidR="00963F99" w:rsidRPr="00AC13E7">
        <w:rPr>
          <w:rFonts w:eastAsia="Arial"/>
        </w:rPr>
        <w:lastRenderedPageBreak/>
        <w:t xml:space="preserve">that there is no gap, which would imply </w:t>
      </w:r>
      <w:r w:rsidRPr="00AC13E7">
        <w:rPr>
          <w:rFonts w:eastAsia="Arial"/>
          <w:i/>
        </w:rPr>
        <w:t>S</w:t>
      </w:r>
      <w:r w:rsidR="00973BF5" w:rsidRPr="00AC13E7">
        <w:rPr>
          <w:rFonts w:eastAsia="Arial"/>
          <w:i/>
          <w:vertAlign w:val="subscript"/>
        </w:rPr>
        <w:t>i</w:t>
      </w:r>
      <w:r w:rsidRPr="00AC13E7">
        <w:rPr>
          <w:rFonts w:eastAsia="Arial"/>
        </w:rPr>
        <w:t xml:space="preserve"> = </w:t>
      </w:r>
      <w:r w:rsidRPr="00AC13E7">
        <w:rPr>
          <w:rFonts w:eastAsia="Arial"/>
          <w:i/>
        </w:rPr>
        <w:t>E</w:t>
      </w:r>
      <w:r w:rsidR="00973BF5" w:rsidRPr="00AC13E7">
        <w:rPr>
          <w:rFonts w:eastAsia="Arial"/>
          <w:i/>
          <w:vertAlign w:val="subscript"/>
        </w:rPr>
        <w:t>i</w:t>
      </w:r>
      <w:r w:rsidR="00973BF5" w:rsidRPr="00AC13E7">
        <w:rPr>
          <w:rFonts w:eastAsia="Arial"/>
          <w:vertAlign w:val="subscript"/>
        </w:rPr>
        <w:t>-1</w:t>
      </w:r>
      <w:r w:rsidRPr="00AC13E7">
        <w:rPr>
          <w:rFonts w:eastAsia="Arial"/>
        </w:rPr>
        <w:t xml:space="preserve"> + 1. Instead, the region (</w:t>
      </w:r>
      <w:r w:rsidRPr="00AC13E7">
        <w:rPr>
          <w:rFonts w:eastAsia="Arial"/>
          <w:i/>
        </w:rPr>
        <w:t>E</w:t>
      </w:r>
      <w:r w:rsidR="005A129E" w:rsidRPr="00AC13E7">
        <w:rPr>
          <w:rFonts w:eastAsia="Arial"/>
          <w:i/>
          <w:vertAlign w:val="subscript"/>
        </w:rPr>
        <w:t>i</w:t>
      </w:r>
      <w:r w:rsidR="005A129E" w:rsidRPr="00AC13E7">
        <w:rPr>
          <w:rFonts w:eastAsia="Arial"/>
          <w:vertAlign w:val="subscript"/>
        </w:rPr>
        <w:t>-</w:t>
      </w:r>
      <w:r w:rsidRPr="00AC13E7">
        <w:rPr>
          <w:rFonts w:eastAsia="Arial"/>
          <w:vertAlign w:val="subscript"/>
        </w:rPr>
        <w:t>1</w:t>
      </w:r>
      <w:r w:rsidRPr="00AC13E7">
        <w:rPr>
          <w:rFonts w:eastAsia="Arial"/>
        </w:rPr>
        <w:t xml:space="preserve">, </w:t>
      </w:r>
      <w:r w:rsidRPr="00AC13E7">
        <w:rPr>
          <w:rFonts w:eastAsia="Arial"/>
          <w:i/>
        </w:rPr>
        <w:t>S</w:t>
      </w:r>
      <w:r w:rsidR="00973BF5" w:rsidRPr="00AC13E7">
        <w:rPr>
          <w:rFonts w:eastAsia="Arial"/>
          <w:i/>
          <w:vertAlign w:val="subscript"/>
        </w:rPr>
        <w:t>i</w:t>
      </w:r>
      <w:r w:rsidRPr="00AC13E7">
        <w:rPr>
          <w:rFonts w:eastAsia="Arial"/>
        </w:rPr>
        <w:t xml:space="preserve">) has undefined copy number—the segmentation method inferred that CN status changed at some point within this interval, but </w:t>
      </w:r>
      <w:r w:rsidR="00232ED0" w:rsidRPr="00AC13E7">
        <w:rPr>
          <w:rFonts w:eastAsia="Arial"/>
        </w:rPr>
        <w:t xml:space="preserve">could not </w:t>
      </w:r>
      <w:r w:rsidRPr="00AC13E7">
        <w:rPr>
          <w:rFonts w:eastAsia="Arial"/>
        </w:rPr>
        <w:t>pinpoint the location because of the noisy signal.</w:t>
      </w:r>
    </w:p>
    <w:p w14:paraId="0D4BFF4B" w14:textId="77777777" w:rsidR="00720570" w:rsidRPr="00AC13E7" w:rsidRDefault="00720570" w:rsidP="00033195">
      <w:pPr>
        <w:jc w:val="both"/>
        <w:rPr>
          <w:rFonts w:eastAsia="Arial"/>
        </w:rPr>
      </w:pPr>
    </w:p>
    <w:p w14:paraId="378D9320" w14:textId="2FC7207B" w:rsidR="00720570" w:rsidRPr="00AC13E7" w:rsidRDefault="00FE3B88" w:rsidP="00033195">
      <w:pPr>
        <w:jc w:val="both"/>
        <w:rPr>
          <w:rFonts w:eastAsia="Arial"/>
        </w:rPr>
      </w:pPr>
      <w:r w:rsidRPr="00AC13E7">
        <w:rPr>
          <w:rFonts w:eastAsia="Arial"/>
        </w:rPr>
        <w:t>Our consensus breakpoint algorithm leverage</w:t>
      </w:r>
      <w:r w:rsidR="003D49AD" w:rsidRPr="00AC13E7">
        <w:rPr>
          <w:rFonts w:eastAsia="Arial"/>
        </w:rPr>
        <w:t>s</w:t>
      </w:r>
      <w:r w:rsidRPr="00AC13E7">
        <w:rPr>
          <w:rFonts w:eastAsia="Arial"/>
        </w:rPr>
        <w:t xml:space="preserve"> this information concerning uncertainty (</w:t>
      </w:r>
      <w:r w:rsidR="00622EF9" w:rsidRPr="00AC13E7">
        <w:rPr>
          <w:rFonts w:eastAsia="Arial"/>
        </w:rPr>
        <w:fldChar w:fldCharType="begin"/>
      </w:r>
      <w:r w:rsidR="00622EF9" w:rsidRPr="00AC13E7">
        <w:rPr>
          <w:rFonts w:eastAsia="Arial"/>
        </w:rPr>
        <w:instrText xml:space="preserve"> REF _Ref379536835 \h </w:instrText>
      </w:r>
      <w:r w:rsidR="00622EF9" w:rsidRPr="00AC13E7">
        <w:rPr>
          <w:rFonts w:eastAsia="Arial"/>
        </w:rPr>
      </w:r>
      <w:r w:rsidR="00622EF9" w:rsidRPr="00AC13E7">
        <w:rPr>
          <w:rFonts w:eastAsia="Arial"/>
        </w:rPr>
        <w:fldChar w:fldCharType="separate"/>
      </w:r>
      <w:r w:rsidR="00673FBD" w:rsidRPr="00AC13E7">
        <w:t xml:space="preserve">Fig. </w:t>
      </w:r>
      <w:r w:rsidR="00673FBD">
        <w:rPr>
          <w:noProof/>
        </w:rPr>
        <w:t>14</w:t>
      </w:r>
      <w:r w:rsidR="00622EF9" w:rsidRPr="00AC13E7">
        <w:rPr>
          <w:rFonts w:eastAsia="Arial"/>
        </w:rPr>
        <w:fldChar w:fldCharType="end"/>
      </w:r>
      <w:r w:rsidRPr="00AC13E7">
        <w:rPr>
          <w:rFonts w:eastAsia="Arial"/>
        </w:rPr>
        <w:t>).</w:t>
      </w:r>
    </w:p>
    <w:p w14:paraId="4D51F2EA" w14:textId="77777777" w:rsidR="00720570" w:rsidRPr="00AC13E7" w:rsidRDefault="00720570" w:rsidP="00033195">
      <w:pPr>
        <w:jc w:val="both"/>
        <w:rPr>
          <w:rFonts w:eastAsia="Arial"/>
        </w:rPr>
      </w:pPr>
    </w:p>
    <w:p w14:paraId="5BE0CF00" w14:textId="2FCCC3AA" w:rsidR="00720570" w:rsidRPr="00AC13E7" w:rsidRDefault="00FE3B88" w:rsidP="00033195">
      <w:pPr>
        <w:numPr>
          <w:ilvl w:val="0"/>
          <w:numId w:val="1"/>
        </w:numPr>
        <w:ind w:hanging="360"/>
        <w:contextualSpacing/>
        <w:jc w:val="both"/>
        <w:rPr>
          <w:rFonts w:eastAsia="Arial"/>
        </w:rPr>
      </w:pPr>
      <w:r w:rsidRPr="00AC13E7">
        <w:rPr>
          <w:rFonts w:eastAsia="Arial"/>
        </w:rPr>
        <w:t xml:space="preserve">For each </w:t>
      </w:r>
      <w:r w:rsidR="00CD109B" w:rsidRPr="00AC13E7">
        <w:rPr>
          <w:rFonts w:eastAsia="Arial"/>
        </w:rPr>
        <w:t>copy number</w:t>
      </w:r>
      <w:r w:rsidRPr="00AC13E7">
        <w:rPr>
          <w:rFonts w:eastAsia="Arial"/>
        </w:rPr>
        <w:t xml:space="preserve"> segmentation method </w:t>
      </w:r>
      <w:r w:rsidRPr="00AC13E7">
        <w:rPr>
          <w:rFonts w:eastAsia="Arial"/>
          <w:i/>
        </w:rPr>
        <w:t>M</w:t>
      </w:r>
      <w:r w:rsidR="0088049C" w:rsidRPr="00AC13E7">
        <w:rPr>
          <w:rFonts w:eastAsia="Arial"/>
          <w:i/>
          <w:vertAlign w:val="subscript"/>
        </w:rPr>
        <w:t>s</w:t>
      </w:r>
      <w:r w:rsidR="005A129E" w:rsidRPr="00AC13E7">
        <w:rPr>
          <w:rFonts w:eastAsia="Arial"/>
        </w:rPr>
        <w:t>, t</w:t>
      </w:r>
      <w:r w:rsidRPr="00AC13E7">
        <w:rPr>
          <w:rFonts w:eastAsia="Arial"/>
        </w:rPr>
        <w:t>ake each reported segment (</w:t>
      </w:r>
      <w:r w:rsidRPr="00AC13E7">
        <w:rPr>
          <w:rFonts w:eastAsia="Arial"/>
          <w:i/>
        </w:rPr>
        <w:t>S</w:t>
      </w:r>
      <w:r w:rsidR="0088049C" w:rsidRPr="00AC13E7">
        <w:rPr>
          <w:rFonts w:eastAsia="Arial"/>
          <w:i/>
          <w:vertAlign w:val="subscript"/>
        </w:rPr>
        <w:t>i</w:t>
      </w:r>
      <w:r w:rsidRPr="00AC13E7">
        <w:rPr>
          <w:rFonts w:eastAsia="Arial"/>
          <w:vertAlign w:val="subscript"/>
        </w:rPr>
        <w:t>,</w:t>
      </w:r>
      <w:r w:rsidRPr="00AC13E7">
        <w:rPr>
          <w:rFonts w:eastAsia="Arial"/>
        </w:rPr>
        <w:t xml:space="preserve"> </w:t>
      </w:r>
      <w:r w:rsidRPr="00AC13E7">
        <w:rPr>
          <w:rFonts w:eastAsia="Arial"/>
          <w:i/>
        </w:rPr>
        <w:t>E</w:t>
      </w:r>
      <w:r w:rsidR="0088049C" w:rsidRPr="00AC13E7">
        <w:rPr>
          <w:rFonts w:eastAsia="Arial"/>
          <w:i/>
          <w:vertAlign w:val="subscript"/>
        </w:rPr>
        <w:t>i</w:t>
      </w:r>
      <w:r w:rsidR="005A129E" w:rsidRPr="00AC13E7">
        <w:rPr>
          <w:rFonts w:eastAsia="Arial"/>
        </w:rPr>
        <w:t xml:space="preserve">), </w:t>
      </w:r>
      <w:r w:rsidRPr="00AC13E7">
        <w:rPr>
          <w:rFonts w:eastAsia="Arial"/>
        </w:rPr>
        <w:t>and generate an interval spanning</w:t>
      </w:r>
      <w:r w:rsidR="0088049C" w:rsidRPr="00AC13E7">
        <w:rPr>
          <w:rFonts w:eastAsia="Arial"/>
        </w:rPr>
        <w:t xml:space="preserve"> (</w:t>
      </w:r>
      <w:r w:rsidR="0088049C" w:rsidRPr="00AC13E7">
        <w:rPr>
          <w:rFonts w:eastAsia="Arial"/>
          <w:i/>
        </w:rPr>
        <w:t>E</w:t>
      </w:r>
      <w:r w:rsidR="0088049C" w:rsidRPr="00AC13E7">
        <w:rPr>
          <w:rFonts w:eastAsia="Arial"/>
          <w:i/>
          <w:vertAlign w:val="subscript"/>
        </w:rPr>
        <w:t>i</w:t>
      </w:r>
      <w:r w:rsidR="00686B1B" w:rsidRPr="00AC13E7">
        <w:rPr>
          <w:rFonts w:eastAsia="Arial"/>
          <w:i/>
          <w:vertAlign w:val="subscript"/>
        </w:rPr>
        <w:t xml:space="preserve"> </w:t>
      </w:r>
      <w:r w:rsidRPr="00AC13E7">
        <w:rPr>
          <w:rFonts w:eastAsia="Arial"/>
        </w:rPr>
        <w:t xml:space="preserve">- </w:t>
      </w:r>
      <w:r w:rsidR="00686B1B" w:rsidRPr="00AC13E7">
        <w:rPr>
          <w:rFonts w:eastAsia="Arial"/>
          <w:i/>
        </w:rPr>
        <w:t>δ</w:t>
      </w:r>
      <w:r w:rsidRPr="00AC13E7">
        <w:rPr>
          <w:rFonts w:eastAsia="Arial"/>
        </w:rPr>
        <w:t xml:space="preserve">, </w:t>
      </w:r>
      <w:r w:rsidRPr="00AC13E7">
        <w:rPr>
          <w:rFonts w:eastAsia="Arial"/>
          <w:i/>
        </w:rPr>
        <w:t>S</w:t>
      </w:r>
      <w:r w:rsidR="005A129E" w:rsidRPr="00AC13E7">
        <w:rPr>
          <w:rFonts w:eastAsia="Arial"/>
          <w:i/>
          <w:vertAlign w:val="subscript"/>
        </w:rPr>
        <w:t>i</w:t>
      </w:r>
      <w:r w:rsidR="005A129E" w:rsidRPr="00AC13E7">
        <w:rPr>
          <w:rFonts w:eastAsia="Arial"/>
          <w:vertAlign w:val="subscript"/>
        </w:rPr>
        <w:t>+</w:t>
      </w:r>
      <w:r w:rsidRPr="00AC13E7">
        <w:rPr>
          <w:rFonts w:eastAsia="Arial"/>
          <w:vertAlign w:val="subscript"/>
        </w:rPr>
        <w:t>1</w:t>
      </w:r>
      <w:r w:rsidRPr="00AC13E7">
        <w:rPr>
          <w:rFonts w:eastAsia="Arial"/>
        </w:rPr>
        <w:t xml:space="preserve"> + </w:t>
      </w:r>
      <w:r w:rsidR="00686B1B" w:rsidRPr="00AC13E7">
        <w:rPr>
          <w:rFonts w:eastAsia="Arial"/>
          <w:i/>
        </w:rPr>
        <w:t>δ</w:t>
      </w:r>
      <w:r w:rsidRPr="00AC13E7">
        <w:rPr>
          <w:rFonts w:eastAsia="Arial"/>
        </w:rPr>
        <w:t xml:space="preserve">). This interval </w:t>
      </w:r>
      <w:r w:rsidR="00232ED0" w:rsidRPr="00AC13E7">
        <w:rPr>
          <w:rFonts w:eastAsia="Arial"/>
        </w:rPr>
        <w:t xml:space="preserve">represents a plausible region over which a breakpoint may lie according to </w:t>
      </w:r>
      <w:r w:rsidR="00232ED0" w:rsidRPr="00AC13E7">
        <w:rPr>
          <w:rFonts w:eastAsia="Arial"/>
          <w:i/>
        </w:rPr>
        <w:t>M</w:t>
      </w:r>
      <w:r w:rsidR="00232ED0" w:rsidRPr="00AC13E7">
        <w:rPr>
          <w:rFonts w:eastAsia="Arial"/>
          <w:i/>
          <w:vertAlign w:val="subscript"/>
        </w:rPr>
        <w:t>s</w:t>
      </w:r>
      <w:r w:rsidRPr="00AC13E7">
        <w:rPr>
          <w:rFonts w:eastAsia="Arial"/>
        </w:rPr>
        <w:t xml:space="preserve">, permitting the breakpoint to move </w:t>
      </w:r>
      <w:r w:rsidR="00686B1B" w:rsidRPr="00AC13E7">
        <w:rPr>
          <w:rFonts w:eastAsia="Arial"/>
          <w:i/>
        </w:rPr>
        <w:t>δ</w:t>
      </w:r>
      <w:r w:rsidRPr="00AC13E7">
        <w:rPr>
          <w:rFonts w:eastAsia="Arial"/>
        </w:rPr>
        <w:t xml:space="preserve"> bases upstream or downstream beyond the reported boundaries. Here, we set </w:t>
      </w:r>
      <w:r w:rsidR="00686B1B" w:rsidRPr="00AC13E7">
        <w:rPr>
          <w:rFonts w:eastAsia="Arial"/>
          <w:i/>
        </w:rPr>
        <w:t>δ</w:t>
      </w:r>
      <w:r w:rsidRPr="00AC13E7">
        <w:rPr>
          <w:rFonts w:eastAsia="Arial"/>
        </w:rPr>
        <w:t xml:space="preserve"> = 50 kb, which we selected after comparing the breakpoints generated by a range of </w:t>
      </w:r>
      <w:r w:rsidR="00686B1B" w:rsidRPr="00AC13E7">
        <w:rPr>
          <w:rFonts w:eastAsia="Arial"/>
          <w:i/>
        </w:rPr>
        <w:t>δ</w:t>
      </w:r>
      <w:r w:rsidRPr="00AC13E7">
        <w:rPr>
          <w:rFonts w:eastAsia="Arial"/>
        </w:rPr>
        <w:t xml:space="preserve"> values to</w:t>
      </w:r>
      <w:r w:rsidR="007409B8" w:rsidRPr="00AC13E7">
        <w:rPr>
          <w:rFonts w:eastAsia="Arial"/>
        </w:rPr>
        <w:t xml:space="preserve"> the underlying read depth and B</w:t>
      </w:r>
      <w:r w:rsidR="00686B1B" w:rsidRPr="00AC13E7">
        <w:rPr>
          <w:rFonts w:eastAsia="Arial"/>
        </w:rPr>
        <w:t xml:space="preserve"> </w:t>
      </w:r>
      <w:r w:rsidR="007409B8" w:rsidRPr="00AC13E7">
        <w:rPr>
          <w:rFonts w:eastAsia="Arial"/>
        </w:rPr>
        <w:t>allele frequency signals</w:t>
      </w:r>
      <w:r w:rsidRPr="00AC13E7">
        <w:rPr>
          <w:rFonts w:eastAsia="Arial"/>
        </w:rPr>
        <w:t xml:space="preserve"> in the data. </w:t>
      </w:r>
      <w:r w:rsidR="00686B1B" w:rsidRPr="00AC13E7">
        <w:rPr>
          <w:rFonts w:eastAsia="Arial"/>
          <w:i/>
        </w:rPr>
        <w:t>δ</w:t>
      </w:r>
      <w:r w:rsidRPr="00AC13E7">
        <w:rPr>
          <w:rFonts w:eastAsia="Arial"/>
        </w:rPr>
        <w:t xml:space="preserve"> = 50 kb achieved a reasonable balance between false-positive consensus breakpoints (when </w:t>
      </w:r>
      <w:r w:rsidR="00686B1B" w:rsidRPr="00AC13E7">
        <w:rPr>
          <w:rFonts w:eastAsia="Arial"/>
          <w:i/>
        </w:rPr>
        <w:t>δ</w:t>
      </w:r>
      <w:r w:rsidRPr="00AC13E7">
        <w:rPr>
          <w:rFonts w:eastAsia="Arial"/>
        </w:rPr>
        <w:t xml:space="preserve"> was too large) and false-negative consensus breakpoints (when </w:t>
      </w:r>
      <w:r w:rsidR="00686B1B" w:rsidRPr="00AC13E7">
        <w:rPr>
          <w:rFonts w:eastAsia="Arial"/>
          <w:i/>
        </w:rPr>
        <w:t>δ</w:t>
      </w:r>
      <w:r w:rsidRPr="00AC13E7">
        <w:rPr>
          <w:rFonts w:eastAsia="Arial"/>
        </w:rPr>
        <w:t xml:space="preserve"> was too small).</w:t>
      </w:r>
    </w:p>
    <w:p w14:paraId="5A722497" w14:textId="7CF6D7D8" w:rsidR="00720570" w:rsidRPr="00AC13E7" w:rsidRDefault="00FE3B88" w:rsidP="00033195">
      <w:pPr>
        <w:numPr>
          <w:ilvl w:val="0"/>
          <w:numId w:val="1"/>
        </w:numPr>
        <w:ind w:hanging="360"/>
        <w:contextualSpacing/>
        <w:jc w:val="both"/>
        <w:rPr>
          <w:rFonts w:eastAsia="Arial"/>
        </w:rPr>
      </w:pPr>
      <w:r w:rsidRPr="00AC13E7">
        <w:rPr>
          <w:rFonts w:eastAsia="Arial"/>
        </w:rPr>
        <w:t>Compute the intersection of intervals between each method. Scanning from the start of the chromosome, find the first intersection</w:t>
      </w:r>
      <w:r w:rsidR="00D3406C" w:rsidRPr="00AC13E7">
        <w:rPr>
          <w:rFonts w:eastAsia="Arial"/>
        </w:rPr>
        <w:t xml:space="preserve"> </w:t>
      </w:r>
      <w:r w:rsidR="00D3406C" w:rsidRPr="00AC13E7">
        <w:rPr>
          <w:rFonts w:eastAsia="Arial"/>
          <w:i/>
        </w:rPr>
        <w:t>I</w:t>
      </w:r>
      <w:r w:rsidR="00D3406C" w:rsidRPr="00AC13E7">
        <w:rPr>
          <w:rFonts w:eastAsia="Arial"/>
          <w:i/>
          <w:vertAlign w:val="subscript"/>
        </w:rPr>
        <w:t>s</w:t>
      </w:r>
      <w:r w:rsidRPr="00AC13E7">
        <w:rPr>
          <w:rFonts w:eastAsia="Arial"/>
        </w:rPr>
        <w:t xml:space="preserve"> supported by the threshold method</w:t>
      </w:r>
      <w:r w:rsidR="00232ED0" w:rsidRPr="00AC13E7">
        <w:rPr>
          <w:rFonts w:eastAsia="Arial"/>
        </w:rPr>
        <w:t xml:space="preserve"> set</w:t>
      </w:r>
      <w:r w:rsidRPr="00AC13E7">
        <w:rPr>
          <w:rFonts w:eastAsia="Arial"/>
        </w:rPr>
        <w:t xml:space="preserve"> </w:t>
      </w:r>
      <w:r w:rsidRPr="00AC13E7">
        <w:rPr>
          <w:rFonts w:eastAsia="Arial"/>
          <w:i/>
        </w:rPr>
        <w:t>T</w:t>
      </w:r>
      <w:r w:rsidRPr="00AC13E7">
        <w:rPr>
          <w:rFonts w:eastAsia="Arial"/>
        </w:rPr>
        <w:t xml:space="preserve">. Here, we defined </w:t>
      </w:r>
      <w:r w:rsidRPr="00AC13E7">
        <w:rPr>
          <w:rFonts w:eastAsia="Arial"/>
          <w:i/>
        </w:rPr>
        <w:t>T</w:t>
      </w:r>
      <w:r w:rsidRPr="00AC13E7">
        <w:rPr>
          <w:rFonts w:eastAsia="Arial"/>
        </w:rPr>
        <w:t xml:space="preserve"> to be any combination of at least three of the six </w:t>
      </w:r>
      <w:r w:rsidR="00CD109B" w:rsidRPr="00AC13E7">
        <w:rPr>
          <w:rFonts w:eastAsia="Arial"/>
        </w:rPr>
        <w:t>copy number</w:t>
      </w:r>
      <w:r w:rsidRPr="00AC13E7">
        <w:rPr>
          <w:rFonts w:eastAsia="Arial"/>
        </w:rPr>
        <w:t xml:space="preserve"> methods, or any combination of two of the "conservative" methods (i.e., ABSOLUTE, Battenberg, JaBbA, and Sclust). </w:t>
      </w:r>
      <w:r w:rsidR="00004197" w:rsidRPr="00AC13E7">
        <w:rPr>
          <w:rFonts w:eastAsia="Arial"/>
        </w:rPr>
        <w:t xml:space="preserve">We called this strategy </w:t>
      </w:r>
      <w:r w:rsidR="00004197" w:rsidRPr="00AC13E7">
        <w:rPr>
          <w:rFonts w:eastAsia="Arial"/>
          <w:i/>
        </w:rPr>
        <w:t>any3_any2_conservative</w:t>
      </w:r>
      <w:r w:rsidR="00004197" w:rsidRPr="00AC13E7">
        <w:rPr>
          <w:rFonts w:eastAsia="Arial"/>
        </w:rPr>
        <w:t xml:space="preserve">. </w:t>
      </w:r>
      <w:r w:rsidRPr="00AC13E7">
        <w:rPr>
          <w:rFonts w:eastAsia="Arial"/>
        </w:rPr>
        <w:t xml:space="preserve">This avoided calling consensus breakpoints supported by only </w:t>
      </w:r>
      <w:r w:rsidR="003D49AD" w:rsidRPr="00AC13E7">
        <w:rPr>
          <w:rFonts w:eastAsia="Arial"/>
        </w:rPr>
        <w:t xml:space="preserve">the </w:t>
      </w:r>
      <w:r w:rsidRPr="00AC13E7">
        <w:rPr>
          <w:rFonts w:eastAsia="Arial"/>
        </w:rPr>
        <w:t xml:space="preserve">two "liberal" methods (ACEseq and </w:t>
      </w:r>
      <w:r w:rsidR="00D3406C" w:rsidRPr="00AC13E7">
        <w:rPr>
          <w:rFonts w:eastAsia="Arial"/>
        </w:rPr>
        <w:t>c</w:t>
      </w:r>
      <w:r w:rsidRPr="00AC13E7">
        <w:rPr>
          <w:rFonts w:eastAsia="Arial"/>
        </w:rPr>
        <w:t>loneHD)</w:t>
      </w:r>
      <w:r w:rsidR="000B0D0E" w:rsidRPr="00AC13E7">
        <w:rPr>
          <w:rFonts w:eastAsia="Arial"/>
        </w:rPr>
        <w:t>, while correcting false-negative cases where a breakpoint was supported by only two of the input methods despite clear evidence in the underlying data</w:t>
      </w:r>
      <w:r w:rsidR="00BA7A5C" w:rsidRPr="00AC13E7">
        <w:rPr>
          <w:rFonts w:eastAsia="Arial"/>
        </w:rPr>
        <w:t xml:space="preserve">. Relative to </w:t>
      </w:r>
      <w:r w:rsidR="00BA7A5C" w:rsidRPr="00AC13E7">
        <w:rPr>
          <w:rFonts w:eastAsia="Arial"/>
          <w:i/>
        </w:rPr>
        <w:t>any3</w:t>
      </w:r>
      <w:r w:rsidR="00BA7A5C" w:rsidRPr="00AC13E7">
        <w:rPr>
          <w:rFonts w:eastAsia="Arial"/>
        </w:rPr>
        <w:t xml:space="preserve">, a stricter criterion requiring that at least three of six methods support a breakpoint, </w:t>
      </w:r>
      <w:r w:rsidR="00BA7A5C" w:rsidRPr="00AC13E7">
        <w:rPr>
          <w:rFonts w:eastAsia="Arial"/>
          <w:i/>
        </w:rPr>
        <w:t>any3_any2_conservative</w:t>
      </w:r>
      <w:r w:rsidR="00BA7A5C" w:rsidRPr="00AC13E7">
        <w:rPr>
          <w:rFonts w:eastAsia="Arial"/>
        </w:rPr>
        <w:t xml:space="preserve"> added only a small number of breakpoints</w:t>
      </w:r>
      <w:r w:rsidR="000B0D0E" w:rsidRPr="00AC13E7">
        <w:rPr>
          <w:rFonts w:eastAsia="Arial"/>
        </w:rPr>
        <w:t xml:space="preserve"> (</w:t>
      </w:r>
      <w:r w:rsidR="00622EF9" w:rsidRPr="00AC13E7">
        <w:rPr>
          <w:rFonts w:eastAsia="Arial"/>
        </w:rPr>
        <w:fldChar w:fldCharType="begin"/>
      </w:r>
      <w:r w:rsidR="00622EF9" w:rsidRPr="00AC13E7">
        <w:rPr>
          <w:rFonts w:eastAsia="Arial"/>
        </w:rPr>
        <w:instrText xml:space="preserve"> REF _Ref379536849 \h </w:instrText>
      </w:r>
      <w:r w:rsidR="00622EF9" w:rsidRPr="00AC13E7">
        <w:rPr>
          <w:rFonts w:eastAsia="Arial"/>
        </w:rPr>
      </w:r>
      <w:r w:rsidR="00622EF9" w:rsidRPr="00AC13E7">
        <w:rPr>
          <w:rFonts w:eastAsia="Arial"/>
        </w:rPr>
        <w:fldChar w:fldCharType="separate"/>
      </w:r>
      <w:r w:rsidR="00673FBD" w:rsidRPr="00AC13E7">
        <w:t xml:space="preserve">Fig. </w:t>
      </w:r>
      <w:r w:rsidR="00673FBD">
        <w:rPr>
          <w:noProof/>
        </w:rPr>
        <w:t>15</w:t>
      </w:r>
      <w:r w:rsidR="00622EF9" w:rsidRPr="00AC13E7">
        <w:rPr>
          <w:rFonts w:eastAsia="Arial"/>
        </w:rPr>
        <w:fldChar w:fldCharType="end"/>
      </w:r>
      <w:r w:rsidR="000B0D0E" w:rsidRPr="00AC13E7">
        <w:rPr>
          <w:rFonts w:eastAsia="Arial"/>
        </w:rPr>
        <w:t>).</w:t>
      </w:r>
    </w:p>
    <w:p w14:paraId="67F29CC7" w14:textId="5A011709" w:rsidR="00720570" w:rsidRPr="00AC13E7" w:rsidRDefault="00FE3B88" w:rsidP="00033195">
      <w:pPr>
        <w:numPr>
          <w:ilvl w:val="0"/>
          <w:numId w:val="1"/>
        </w:numPr>
        <w:ind w:hanging="360"/>
        <w:contextualSpacing/>
        <w:jc w:val="both"/>
        <w:rPr>
          <w:rFonts w:eastAsia="Arial"/>
        </w:rPr>
      </w:pPr>
      <w:r w:rsidRPr="00AC13E7">
        <w:rPr>
          <w:rFonts w:eastAsia="Arial"/>
        </w:rPr>
        <w:t xml:space="preserve">Select </w:t>
      </w:r>
      <w:r w:rsidR="008862ED" w:rsidRPr="00AC13E7">
        <w:rPr>
          <w:rFonts w:eastAsia="Arial"/>
        </w:rPr>
        <w:t xml:space="preserve">the </w:t>
      </w:r>
      <w:r w:rsidRPr="00AC13E7">
        <w:rPr>
          <w:rFonts w:eastAsia="Arial"/>
        </w:rPr>
        <w:t xml:space="preserve">start and end interval loci </w:t>
      </w:r>
      <w:r w:rsidR="008862ED" w:rsidRPr="00AC13E7">
        <w:rPr>
          <w:rFonts w:eastAsia="Arial"/>
        </w:rPr>
        <w:t xml:space="preserve">from each method </w:t>
      </w:r>
      <w:r w:rsidR="008862ED" w:rsidRPr="00AC13E7">
        <w:rPr>
          <w:rFonts w:eastAsia="Arial"/>
          <w:i/>
        </w:rPr>
        <w:t xml:space="preserve">m </w:t>
      </w:r>
      <w:r w:rsidRPr="00AC13E7">
        <w:rPr>
          <w:rFonts w:eastAsia="Arial"/>
        </w:rPr>
        <w:t>falling within the interval, corresponding to</w:t>
      </w:r>
      <w:r w:rsidR="005C7AAF" w:rsidRPr="00AC13E7">
        <w:rPr>
          <w:rFonts w:eastAsia="Arial"/>
          <w:vertAlign w:val="subscript"/>
        </w:rPr>
        <w:t xml:space="preserve"> </w:t>
      </w:r>
      <w:r w:rsidR="008862ED" w:rsidRPr="00AC13E7">
        <w:rPr>
          <w:rFonts w:eastAsia="Arial"/>
          <w:i/>
        </w:rPr>
        <w:t>S</w:t>
      </w:r>
      <w:r w:rsidR="008862ED" w:rsidRPr="00AC13E7">
        <w:rPr>
          <w:rFonts w:eastAsia="Arial"/>
          <w:i/>
          <w:vertAlign w:val="subscript"/>
        </w:rPr>
        <w:t>m</w:t>
      </w:r>
      <w:r w:rsidR="005C7AAF" w:rsidRPr="00AC13E7">
        <w:rPr>
          <w:rFonts w:eastAsia="Arial"/>
        </w:rPr>
        <w:t xml:space="preserve"> </w:t>
      </w:r>
      <w:r w:rsidRPr="00AC13E7">
        <w:rPr>
          <w:rFonts w:eastAsia="Arial"/>
        </w:rPr>
        <w:t xml:space="preserve">and </w:t>
      </w:r>
      <w:r w:rsidR="008862ED" w:rsidRPr="00AC13E7">
        <w:rPr>
          <w:rFonts w:eastAsia="Arial"/>
          <w:i/>
        </w:rPr>
        <w:t>E</w:t>
      </w:r>
      <w:r w:rsidR="008862ED" w:rsidRPr="00AC13E7">
        <w:rPr>
          <w:rFonts w:eastAsia="Arial"/>
          <w:i/>
          <w:vertAlign w:val="subscript"/>
        </w:rPr>
        <w:t>m</w:t>
      </w:r>
      <w:r w:rsidRPr="00AC13E7">
        <w:rPr>
          <w:rFonts w:eastAsia="Arial"/>
        </w:rPr>
        <w:t>, respectively. Score each locus according to the size of the associated gap</w:t>
      </w:r>
      <w:r w:rsidR="006946D7" w:rsidRPr="00AC13E7">
        <w:rPr>
          <w:rFonts w:eastAsia="Arial"/>
        </w:rPr>
        <w:t xml:space="preserve"> </w:t>
      </w:r>
      <w:r w:rsidR="006946D7" w:rsidRPr="00AC13E7">
        <w:rPr>
          <w:rFonts w:eastAsia="Arial"/>
          <w:i/>
        </w:rPr>
        <w:t>G</w:t>
      </w:r>
      <w:r w:rsidR="008862ED" w:rsidRPr="00AC13E7">
        <w:rPr>
          <w:rFonts w:eastAsia="Arial"/>
          <w:i/>
          <w:vertAlign w:val="subscript"/>
        </w:rPr>
        <w:t>m</w:t>
      </w:r>
      <w:r w:rsidRPr="00AC13E7">
        <w:rPr>
          <w:rFonts w:eastAsia="Arial"/>
        </w:rPr>
        <w:t xml:space="preserve"> = rank(</w:t>
      </w:r>
      <w:r w:rsidRPr="00AC13E7">
        <w:rPr>
          <w:rFonts w:eastAsia="Arial"/>
          <w:i/>
        </w:rPr>
        <w:t>S</w:t>
      </w:r>
      <w:r w:rsidR="008862ED" w:rsidRPr="00AC13E7">
        <w:rPr>
          <w:rFonts w:eastAsia="Arial"/>
          <w:i/>
          <w:vertAlign w:val="subscript"/>
        </w:rPr>
        <w:t>m</w:t>
      </w:r>
      <w:r w:rsidRPr="00AC13E7">
        <w:rPr>
          <w:rFonts w:eastAsia="Arial"/>
        </w:rPr>
        <w:t xml:space="preserve"> - </w:t>
      </w:r>
      <w:r w:rsidRPr="00AC13E7">
        <w:rPr>
          <w:rFonts w:eastAsia="Arial"/>
          <w:i/>
        </w:rPr>
        <w:t>E</w:t>
      </w:r>
      <w:r w:rsidR="008862ED" w:rsidRPr="00AC13E7">
        <w:rPr>
          <w:rFonts w:eastAsia="Arial"/>
          <w:i/>
          <w:vertAlign w:val="subscript"/>
        </w:rPr>
        <w:t>m</w:t>
      </w:r>
      <w:r w:rsidRPr="00AC13E7">
        <w:rPr>
          <w:rFonts w:eastAsia="Arial"/>
        </w:rPr>
        <w:t xml:space="preserve">), where </w:t>
      </w:r>
      <w:r w:rsidRPr="00AC13E7">
        <w:rPr>
          <w:rFonts w:eastAsia="Arial"/>
          <w:i/>
        </w:rPr>
        <w:t>G</w:t>
      </w:r>
      <w:r w:rsidR="008862ED" w:rsidRPr="00AC13E7">
        <w:rPr>
          <w:rFonts w:eastAsia="Arial"/>
          <w:i/>
          <w:vertAlign w:val="subscript"/>
        </w:rPr>
        <w:t>m</w:t>
      </w:r>
      <w:r w:rsidRPr="00AC13E7">
        <w:rPr>
          <w:rFonts w:eastAsia="Arial"/>
        </w:rPr>
        <w:t xml:space="preserve"> corresponds to the rank in the empirical cumulative distribution of all gaps generated by the given method. Thus, if a method assigns a large gap between two segments relative to the other segments it generates, its uncertainty in breakpoint placement is understood to be relatively large; conversely, a relatively small gap indicates high certainty. Select the breakpoint from within the intersection that has the smallest </w:t>
      </w:r>
      <w:r w:rsidRPr="00AC13E7">
        <w:rPr>
          <w:rFonts w:eastAsia="Arial"/>
          <w:i/>
        </w:rPr>
        <w:t>G</w:t>
      </w:r>
      <w:r w:rsidR="008862ED" w:rsidRPr="00AC13E7">
        <w:rPr>
          <w:rFonts w:eastAsia="Arial"/>
          <w:i/>
          <w:vertAlign w:val="subscript"/>
        </w:rPr>
        <w:t>m</w:t>
      </w:r>
      <w:r w:rsidRPr="00AC13E7">
        <w:rPr>
          <w:rFonts w:eastAsia="Arial"/>
        </w:rPr>
        <w:t xml:space="preserve"> value. In the case that two breakpoints in the intersection have the same </w:t>
      </w:r>
      <w:r w:rsidRPr="00AC13E7">
        <w:rPr>
          <w:rFonts w:eastAsia="Arial"/>
          <w:i/>
        </w:rPr>
        <w:t>G</w:t>
      </w:r>
      <w:r w:rsidR="008862ED" w:rsidRPr="00AC13E7">
        <w:rPr>
          <w:rFonts w:eastAsia="Arial"/>
          <w:i/>
          <w:vertAlign w:val="subscript"/>
        </w:rPr>
        <w:t>m</w:t>
      </w:r>
      <w:r w:rsidRPr="00AC13E7">
        <w:rPr>
          <w:rFonts w:eastAsia="Arial"/>
        </w:rPr>
        <w:t xml:space="preserve"> (which occurs, e.g., because both </w:t>
      </w:r>
      <w:r w:rsidRPr="00AC13E7">
        <w:rPr>
          <w:rFonts w:eastAsia="Arial"/>
          <w:i/>
        </w:rPr>
        <w:t>E</w:t>
      </w:r>
      <w:r w:rsidR="008862ED" w:rsidRPr="00AC13E7">
        <w:rPr>
          <w:rFonts w:eastAsia="Arial"/>
          <w:i/>
          <w:vertAlign w:val="subscript"/>
        </w:rPr>
        <w:t>m</w:t>
      </w:r>
      <w:r w:rsidR="006946D7" w:rsidRPr="00AC13E7">
        <w:rPr>
          <w:rFonts w:eastAsia="Arial"/>
        </w:rPr>
        <w:t xml:space="preserve"> </w:t>
      </w:r>
      <w:r w:rsidRPr="00AC13E7">
        <w:rPr>
          <w:rFonts w:eastAsia="Arial"/>
        </w:rPr>
        <w:t xml:space="preserve">and </w:t>
      </w:r>
      <w:r w:rsidRPr="00AC13E7">
        <w:rPr>
          <w:rFonts w:eastAsia="Arial"/>
          <w:i/>
        </w:rPr>
        <w:t>S</w:t>
      </w:r>
      <w:r w:rsidR="008862ED" w:rsidRPr="00AC13E7">
        <w:rPr>
          <w:rFonts w:eastAsia="Arial"/>
          <w:i/>
          <w:vertAlign w:val="subscript"/>
        </w:rPr>
        <w:t>m</w:t>
      </w:r>
      <w:r w:rsidRPr="00AC13E7">
        <w:rPr>
          <w:rFonts w:eastAsia="Arial"/>
        </w:rPr>
        <w:t xml:space="preserve"> fell in the intersection), arbitrarily prefer end loci to start loci.</w:t>
      </w:r>
      <w:r w:rsidR="006946D7" w:rsidRPr="00AC13E7">
        <w:rPr>
          <w:rFonts w:eastAsia="Arial"/>
        </w:rPr>
        <w:t xml:space="preserve"> </w:t>
      </w:r>
      <w:r w:rsidRPr="00AC13E7">
        <w:rPr>
          <w:rFonts w:eastAsia="Arial"/>
        </w:rPr>
        <w:t xml:space="preserve">Record this as the single consensus breakpoint associated with this intersection. Otherwise, in the rare case that no input start and end loci fall in the intersection, report the upstream-most end of the intersection as the consensus breakpoint. Such cases arise when only the </w:t>
      </w:r>
      <w:r w:rsidR="00686B1B" w:rsidRPr="00AC13E7">
        <w:rPr>
          <w:rFonts w:eastAsia="Arial"/>
          <w:i/>
        </w:rPr>
        <w:t>δ</w:t>
      </w:r>
      <w:r w:rsidRPr="00AC13E7">
        <w:rPr>
          <w:rFonts w:eastAsia="Arial"/>
        </w:rPr>
        <w:t xml:space="preserve"> bases padding each input segment intersect, meaning that the intersection as a whole is relatively small, and that either end of the intersection can be taken as a reasonable representation of a breakpoint's position.</w:t>
      </w:r>
    </w:p>
    <w:p w14:paraId="61757C05" w14:textId="77777777" w:rsidR="00720570" w:rsidRPr="00AC13E7" w:rsidRDefault="00FE3B88" w:rsidP="00033195">
      <w:pPr>
        <w:numPr>
          <w:ilvl w:val="0"/>
          <w:numId w:val="1"/>
        </w:numPr>
        <w:ind w:hanging="360"/>
        <w:contextualSpacing/>
        <w:jc w:val="both"/>
        <w:rPr>
          <w:rFonts w:eastAsia="Arial"/>
        </w:rPr>
      </w:pPr>
      <w:r w:rsidRPr="00AC13E7">
        <w:rPr>
          <w:rFonts w:eastAsia="Arial"/>
        </w:rPr>
        <w:t>Remove all intervals that contributed to the intersection. Return to step 2. Repeat until no intersections passing the threshold remain on the chromosome.</w:t>
      </w:r>
    </w:p>
    <w:p w14:paraId="7323C413" w14:textId="77777777" w:rsidR="00720570" w:rsidRPr="00AC13E7" w:rsidRDefault="00FE3B88" w:rsidP="00033195">
      <w:pPr>
        <w:numPr>
          <w:ilvl w:val="0"/>
          <w:numId w:val="1"/>
        </w:numPr>
        <w:ind w:hanging="360"/>
        <w:contextualSpacing/>
        <w:jc w:val="both"/>
        <w:rPr>
          <w:rFonts w:eastAsia="Arial"/>
        </w:rPr>
      </w:pPr>
      <w:r w:rsidRPr="00AC13E7">
        <w:rPr>
          <w:rFonts w:eastAsia="Arial"/>
        </w:rPr>
        <w:lastRenderedPageBreak/>
        <w:t>Add PCAWG consensus structural variants to the consensus breakpoint set. To do so, find all consensus breakpoints within 100 kb of a consensus SV. Replace the consensus BP with the consensus SV, as the SV presumably represents the same mutational event, but with greater precision concerning position. For any SVs lacking a consensus BP within 100 kb, add the SV as an additional consensus breakpoint.</w:t>
      </w:r>
    </w:p>
    <w:p w14:paraId="3E25FB32" w14:textId="01D2A716" w:rsidR="00720570" w:rsidRPr="00AC13E7" w:rsidRDefault="00FE3B88" w:rsidP="00033195">
      <w:pPr>
        <w:numPr>
          <w:ilvl w:val="0"/>
          <w:numId w:val="1"/>
        </w:numPr>
        <w:ind w:hanging="360"/>
        <w:contextualSpacing/>
        <w:jc w:val="both"/>
        <w:rPr>
          <w:rFonts w:eastAsia="Arial"/>
        </w:rPr>
      </w:pPr>
      <w:r w:rsidRPr="00AC13E7">
        <w:rPr>
          <w:rFonts w:eastAsia="Arial"/>
        </w:rPr>
        <w:t xml:space="preserve">Add breakpoints at centromeres and telomeres as necessary, as </w:t>
      </w:r>
      <w:r w:rsidR="00CD109B" w:rsidRPr="00AC13E7">
        <w:rPr>
          <w:rFonts w:eastAsia="Arial"/>
        </w:rPr>
        <w:t>copy number</w:t>
      </w:r>
      <w:r w:rsidRPr="00AC13E7">
        <w:rPr>
          <w:rFonts w:eastAsia="Arial"/>
        </w:rPr>
        <w:t xml:space="preserve"> stat</w:t>
      </w:r>
      <w:r w:rsidR="00686B1B" w:rsidRPr="00AC13E7">
        <w:rPr>
          <w:rFonts w:eastAsia="Arial"/>
        </w:rPr>
        <w:t>es</w:t>
      </w:r>
      <w:r w:rsidRPr="00AC13E7">
        <w:rPr>
          <w:rFonts w:eastAsia="Arial"/>
        </w:rPr>
        <w:t xml:space="preserve"> cannot be called across these boundaries. Use the chromosome lengths and centromere start and end locations reported in the hg19 human reference genome. If any centromere start or end lacks a consensus breakpoint within 1 Mb, add an additiona</w:t>
      </w:r>
      <w:r w:rsidR="00686B1B" w:rsidRPr="00AC13E7">
        <w:rPr>
          <w:rFonts w:eastAsia="Arial"/>
        </w:rPr>
        <w:t>l consensus BP at that location. I</w:t>
      </w:r>
      <w:r w:rsidRPr="00AC13E7">
        <w:rPr>
          <w:rFonts w:eastAsia="Arial"/>
        </w:rPr>
        <w:t>f a consensus breakpoint occurs within the centromere, move it to the start or end of the centromere, according to whichever point is closer. Likewise, if no breakpoint occurs within 1 Mb of a chromosome start or end position (representing telomere locations), add an additional breakpoint at the chromosome start or end.</w:t>
      </w:r>
    </w:p>
    <w:p w14:paraId="0960A9B9" w14:textId="77777777" w:rsidR="00686B1B" w:rsidRPr="00AC13E7" w:rsidRDefault="00686B1B" w:rsidP="00686B1B">
      <w:pPr>
        <w:ind w:left="720"/>
        <w:contextualSpacing/>
        <w:jc w:val="both"/>
        <w:rPr>
          <w:rFonts w:eastAsia="Arial"/>
        </w:rPr>
      </w:pPr>
    </w:p>
    <w:p w14:paraId="68AEEC38" w14:textId="77777777" w:rsidR="00B10467" w:rsidRPr="00AC13E7" w:rsidRDefault="0032764D" w:rsidP="00B10467">
      <w:pPr>
        <w:keepNext/>
        <w:jc w:val="both"/>
      </w:pPr>
      <w:r w:rsidRPr="00AC13E7">
        <w:rPr>
          <w:noProof/>
          <w:lang w:eastAsia="en-GB"/>
        </w:rPr>
        <w:drawing>
          <wp:inline distT="0" distB="0" distL="0" distR="0" wp14:anchorId="422D127B" wp14:editId="7700F6B2">
            <wp:extent cx="5274945" cy="5062855"/>
            <wp:effectExtent l="0" t="0" r="8255" b="0"/>
            <wp:docPr id="3" name="image5.png" descr="consensus_b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consensus_bp.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945" cy="5062855"/>
                    </a:xfrm>
                    <a:prstGeom prst="rect">
                      <a:avLst/>
                    </a:prstGeom>
                    <a:noFill/>
                    <a:ln>
                      <a:noFill/>
                    </a:ln>
                  </pic:spPr>
                </pic:pic>
              </a:graphicData>
            </a:graphic>
          </wp:inline>
        </w:drawing>
      </w:r>
    </w:p>
    <w:p w14:paraId="52229563" w14:textId="24AF822E" w:rsidR="00720570" w:rsidRPr="00AC13E7" w:rsidRDefault="00B10467" w:rsidP="004916C9">
      <w:pPr>
        <w:pStyle w:val="Caption"/>
      </w:pPr>
      <w:bookmarkStart w:id="62" w:name="_Ref379536835"/>
      <w:bookmarkStart w:id="63" w:name="_Toc384459585"/>
      <w:r w:rsidRPr="00AC13E7">
        <w:t xml:space="preserve">Fig. </w:t>
      </w:r>
      <w:r w:rsidR="001003E9">
        <w:fldChar w:fldCharType="begin"/>
      </w:r>
      <w:r w:rsidR="001003E9">
        <w:instrText xml:space="preserve"> SEQ Fig. \* ARABIC </w:instrText>
      </w:r>
      <w:r w:rsidR="001003E9">
        <w:fldChar w:fldCharType="separate"/>
      </w:r>
      <w:r w:rsidR="00673FBD">
        <w:rPr>
          <w:noProof/>
        </w:rPr>
        <w:t>14</w:t>
      </w:r>
      <w:r w:rsidR="001003E9">
        <w:rPr>
          <w:noProof/>
        </w:rPr>
        <w:fldChar w:fldCharType="end"/>
      </w:r>
      <w:bookmarkEnd w:id="62"/>
      <w:r w:rsidRPr="00AC13E7">
        <w:t xml:space="preserve"> Individual genome segmentation methods A, B, and C report segments of constant copy number. In this example, we determine the consensus segmentation Σ, requiring that all three methods A, B, and C contribute to the intersection that yields consensus breakpoints. Each segment from methods A, B, and C is composed of a start locus</w:t>
      </w:r>
      <w:r w:rsidRPr="00AC13E7">
        <w:rPr>
          <w:vertAlign w:val="subscript"/>
        </w:rPr>
        <w:t xml:space="preserve"> </w:t>
      </w:r>
      <w:r w:rsidRPr="00AC13E7">
        <w:t>S</w:t>
      </w:r>
      <w:r w:rsidRPr="00AC13E7">
        <w:rPr>
          <w:vertAlign w:val="subscript"/>
        </w:rPr>
        <w:t>i</w:t>
      </w:r>
      <w:r w:rsidRPr="00AC13E7">
        <w:t xml:space="preserve"> and end locus E</w:t>
      </w:r>
      <w:r w:rsidRPr="00AC13E7">
        <w:rPr>
          <w:vertAlign w:val="subscript"/>
        </w:rPr>
        <w:t>i</w:t>
      </w:r>
      <w:r w:rsidRPr="00AC13E7">
        <w:t>. Depicted here for each method is the end point of one segment, E</w:t>
      </w:r>
      <w:r w:rsidRPr="00AC13E7">
        <w:rPr>
          <w:vertAlign w:val="subscript"/>
        </w:rPr>
        <w:t>i</w:t>
      </w:r>
      <w:r w:rsidRPr="00AC13E7">
        <w:t>, and the start point of the next segment, S</w:t>
      </w:r>
      <w:r w:rsidRPr="00AC13E7">
        <w:rPr>
          <w:vertAlign w:val="subscript"/>
        </w:rPr>
        <w:t>i+1</w:t>
      </w:r>
      <w:r w:rsidRPr="00AC13E7">
        <w:t xml:space="preserve">. Note that the methods may differ in the copy number state they assign to </w:t>
      </w:r>
      <w:r w:rsidRPr="00AC13E7">
        <w:lastRenderedPageBreak/>
        <w:t>each segment, as the consensus breakpoint method is concerned only with where segments occur, not what the status of each segment is. By proceeding through steps one to three, the consensus breakpoint algorithm selects a single breakpoint supported by the input segments from the individual methods. In step four, the breakpoints supported by the individual segmentation methods are refined and augmented using the PCAWG consensus structural variants, as well as knowledge of where centromeres and telomeres occur on each chromosome.</w:t>
      </w:r>
      <w:bookmarkEnd w:id="63"/>
    </w:p>
    <w:p w14:paraId="21332B3A" w14:textId="77777777" w:rsidR="005E7A9C" w:rsidRPr="00AC13E7" w:rsidRDefault="005E7A9C" w:rsidP="005E7A9C">
      <w:pPr>
        <w:rPr>
          <w:rFonts w:eastAsia="Arial"/>
          <w:b/>
          <w:sz w:val="28"/>
          <w:szCs w:val="28"/>
        </w:rPr>
      </w:pPr>
    </w:p>
    <w:p w14:paraId="7F5F31ED" w14:textId="77777777" w:rsidR="00B10467" w:rsidRPr="00AC13E7" w:rsidRDefault="0032764D" w:rsidP="00B10467">
      <w:pPr>
        <w:keepNext/>
      </w:pPr>
      <w:r w:rsidRPr="00AC13E7">
        <w:rPr>
          <w:rFonts w:eastAsia="Arial"/>
          <w:b/>
          <w:noProof/>
          <w:sz w:val="28"/>
          <w:szCs w:val="28"/>
          <w:lang w:eastAsia="en-GB"/>
        </w:rPr>
        <w:drawing>
          <wp:inline distT="0" distB="0" distL="0" distR="0" wp14:anchorId="562AD7B1" wp14:editId="2ABA139D">
            <wp:extent cx="5274945" cy="3759200"/>
            <wp:effectExtent l="0" t="0" r="8255" b="0"/>
            <wp:docPr id="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945" cy="3759200"/>
                    </a:xfrm>
                    <a:prstGeom prst="rect">
                      <a:avLst/>
                    </a:prstGeom>
                    <a:noFill/>
                    <a:ln>
                      <a:noFill/>
                    </a:ln>
                  </pic:spPr>
                </pic:pic>
              </a:graphicData>
            </a:graphic>
          </wp:inline>
        </w:drawing>
      </w:r>
    </w:p>
    <w:p w14:paraId="5D304E28" w14:textId="63A4902C" w:rsidR="005E7A9C" w:rsidRPr="00AC13E7" w:rsidRDefault="00B10467" w:rsidP="004916C9">
      <w:pPr>
        <w:pStyle w:val="Caption"/>
        <w:rPr>
          <w:b/>
          <w:sz w:val="28"/>
          <w:szCs w:val="28"/>
        </w:rPr>
      </w:pPr>
      <w:bookmarkStart w:id="64" w:name="_Ref379536849"/>
      <w:bookmarkStart w:id="65" w:name="_Toc384459586"/>
      <w:r w:rsidRPr="00AC13E7">
        <w:t xml:space="preserve">Fig. </w:t>
      </w:r>
      <w:r w:rsidR="001003E9">
        <w:fldChar w:fldCharType="begin"/>
      </w:r>
      <w:r w:rsidR="001003E9">
        <w:instrText xml:space="preserve"> SEQ Fig. \* ARABIC </w:instrText>
      </w:r>
      <w:r w:rsidR="001003E9">
        <w:fldChar w:fldCharType="separate"/>
      </w:r>
      <w:r w:rsidR="00673FBD">
        <w:rPr>
          <w:noProof/>
        </w:rPr>
        <w:t>15</w:t>
      </w:r>
      <w:r w:rsidR="001003E9">
        <w:rPr>
          <w:noProof/>
        </w:rPr>
        <w:fldChar w:fldCharType="end"/>
      </w:r>
      <w:bookmarkEnd w:id="64"/>
      <w:r w:rsidRPr="00AC13E7">
        <w:t xml:space="preserve"> </w:t>
      </w:r>
      <w:r w:rsidRPr="00AC13E7">
        <w:rPr>
          <w:bCs/>
        </w:rPr>
        <w:t>Cumulative distribution of the number of samples with the indicated number of breakpoints</w:t>
      </w:r>
      <w:r w:rsidRPr="00AC13E7">
        <w:t xml:space="preserve"> produced for each cancer by different consensus strategies. Given the six copy-number-calling methods, the anyN strategies required N of six methods to agree on a breakpoint’s placement to establish a consensus breakpoint at that location. The strategy we selected, any3_any2_conservative, required agreement between any three methods, or agreement between any two of the four "conservative" methods (i.e., ABSOLUTE, Battenberg, JaBbA, and Sclust). This avoided calling consensus breakpoints supported by only the two "liberal" methods (ACEseq and cloneHD). Relative to any3, the any3_any2_conservative strategy introduced only a few extra breakpoints, but corrected false negatives where we failed to obtain support for a breakpoint from three methods despite clear evidence of its existence in the underlying data.</w:t>
      </w:r>
      <w:bookmarkEnd w:id="65"/>
    </w:p>
    <w:p w14:paraId="442AB4AB" w14:textId="77777777" w:rsidR="00720570" w:rsidRPr="00AC13E7" w:rsidRDefault="00720570">
      <w:pPr>
        <w:rPr>
          <w:rFonts w:eastAsia="Arial"/>
          <w:sz w:val="22"/>
          <w:szCs w:val="22"/>
        </w:rPr>
      </w:pPr>
    </w:p>
    <w:p w14:paraId="3561CD8D" w14:textId="7FD48D53" w:rsidR="00720570" w:rsidRPr="00AC13E7" w:rsidRDefault="00004197">
      <w:pPr>
        <w:rPr>
          <w:rFonts w:eastAsia="Arial"/>
          <w:b/>
          <w:sz w:val="28"/>
          <w:szCs w:val="28"/>
        </w:rPr>
      </w:pPr>
      <w:r w:rsidRPr="00AC13E7">
        <w:rPr>
          <w:rFonts w:eastAsia="Arial"/>
          <w:b/>
          <w:sz w:val="28"/>
          <w:szCs w:val="28"/>
        </w:rPr>
        <w:t>Most consensus breakpoints obtain support from SVs</w:t>
      </w:r>
    </w:p>
    <w:p w14:paraId="52BCE6CC" w14:textId="0EAC43CB" w:rsidR="00EA25E7" w:rsidRPr="00AC13E7" w:rsidRDefault="00004197" w:rsidP="008B6240">
      <w:pPr>
        <w:jc w:val="both"/>
        <w:rPr>
          <w:rFonts w:eastAsia="Arial"/>
        </w:rPr>
      </w:pPr>
      <w:r w:rsidRPr="00AC13E7">
        <w:rPr>
          <w:rFonts w:eastAsia="Arial"/>
        </w:rPr>
        <w:t>Every copy</w:t>
      </w:r>
      <w:r w:rsidR="00335526" w:rsidRPr="00AC13E7">
        <w:rPr>
          <w:rFonts w:eastAsia="Arial"/>
        </w:rPr>
        <w:t xml:space="preserve"> </w:t>
      </w:r>
      <w:r w:rsidRPr="00AC13E7">
        <w:rPr>
          <w:rFonts w:eastAsia="Arial"/>
        </w:rPr>
        <w:t>number event should generate associated structural variants</w:t>
      </w:r>
      <w:r w:rsidR="006C5AFC" w:rsidRPr="00AC13E7">
        <w:rPr>
          <w:rFonts w:eastAsia="Arial"/>
        </w:rPr>
        <w:t xml:space="preserve"> (barring </w:t>
      </w:r>
      <w:r w:rsidR="00521CDC" w:rsidRPr="00AC13E7">
        <w:rPr>
          <w:rFonts w:eastAsia="Arial"/>
        </w:rPr>
        <w:t xml:space="preserve">whole chromosome events or </w:t>
      </w:r>
      <w:r w:rsidR="006C5AFC" w:rsidRPr="00AC13E7">
        <w:rPr>
          <w:rFonts w:eastAsia="Arial"/>
        </w:rPr>
        <w:t xml:space="preserve">breakpoints that fall within regions </w:t>
      </w:r>
      <w:r w:rsidR="002215B0" w:rsidRPr="00AC13E7">
        <w:rPr>
          <w:rFonts w:eastAsia="Arial"/>
        </w:rPr>
        <w:t>where difficulties in the alignment of sequencing reads</w:t>
      </w:r>
      <w:r w:rsidR="0030256E" w:rsidRPr="00AC13E7">
        <w:rPr>
          <w:rFonts w:eastAsia="Arial"/>
        </w:rPr>
        <w:t xml:space="preserve"> </w:t>
      </w:r>
      <w:r w:rsidR="002215B0" w:rsidRPr="00AC13E7">
        <w:rPr>
          <w:rFonts w:eastAsia="Arial"/>
        </w:rPr>
        <w:t xml:space="preserve">hinder </w:t>
      </w:r>
      <w:r w:rsidR="00AF39D0" w:rsidRPr="00AC13E7">
        <w:rPr>
          <w:rFonts w:eastAsia="Arial"/>
        </w:rPr>
        <w:t>SV calling</w:t>
      </w:r>
      <w:r w:rsidR="006C5AFC" w:rsidRPr="00AC13E7">
        <w:rPr>
          <w:rFonts w:eastAsia="Arial"/>
        </w:rPr>
        <w:t>, like centromeres)</w:t>
      </w:r>
      <w:r w:rsidRPr="00AC13E7">
        <w:rPr>
          <w:rFonts w:eastAsia="Arial"/>
        </w:rPr>
        <w:t>. As such, each breakpoint should have associated with it a nearby structural variant. On a per-tumour basis, we compared the number of consensus breakpoints with support from the PCAWG consensus SVs, to the number of consensus breakpoints lacking such support (</w:t>
      </w:r>
      <w:r w:rsidR="008E4AAE" w:rsidRPr="00AC13E7">
        <w:rPr>
          <w:rFonts w:eastAsia="Arial"/>
        </w:rPr>
        <w:fldChar w:fldCharType="begin"/>
      </w:r>
      <w:r w:rsidR="008E4AAE" w:rsidRPr="00AC13E7">
        <w:rPr>
          <w:rFonts w:eastAsia="Arial"/>
        </w:rPr>
        <w:instrText xml:space="preserve"> REF _Ref379536870 \h </w:instrText>
      </w:r>
      <w:r w:rsidR="008E4AAE" w:rsidRPr="00AC13E7">
        <w:rPr>
          <w:rFonts w:eastAsia="Arial"/>
        </w:rPr>
      </w:r>
      <w:r w:rsidR="008E4AAE" w:rsidRPr="00AC13E7">
        <w:rPr>
          <w:rFonts w:eastAsia="Arial"/>
        </w:rPr>
        <w:fldChar w:fldCharType="separate"/>
      </w:r>
      <w:r w:rsidR="00673FBD" w:rsidRPr="00AC13E7">
        <w:t xml:space="preserve">Fig. </w:t>
      </w:r>
      <w:r w:rsidR="00673FBD">
        <w:rPr>
          <w:noProof/>
        </w:rPr>
        <w:t>16</w:t>
      </w:r>
      <w:r w:rsidR="008E4AAE" w:rsidRPr="00AC13E7">
        <w:rPr>
          <w:rFonts w:eastAsia="Arial"/>
        </w:rPr>
        <w:fldChar w:fldCharType="end"/>
      </w:r>
      <w:r w:rsidRPr="00AC13E7">
        <w:rPr>
          <w:rFonts w:eastAsia="Arial"/>
        </w:rPr>
        <w:t xml:space="preserve">). </w:t>
      </w:r>
      <w:r w:rsidR="00762056" w:rsidRPr="00AC13E7">
        <w:rPr>
          <w:rFonts w:eastAsia="Arial"/>
        </w:rPr>
        <w:t xml:space="preserve">Under the </w:t>
      </w:r>
      <w:r w:rsidR="00762056" w:rsidRPr="00AC13E7">
        <w:rPr>
          <w:rFonts w:eastAsia="Arial"/>
          <w:i/>
        </w:rPr>
        <w:t>any3_any2_conservative</w:t>
      </w:r>
      <w:r w:rsidR="00762056" w:rsidRPr="00AC13E7">
        <w:rPr>
          <w:rFonts w:eastAsia="Arial"/>
        </w:rPr>
        <w:t xml:space="preserve"> strategy, </w:t>
      </w:r>
      <w:r w:rsidR="00AF39D0" w:rsidRPr="00AC13E7">
        <w:rPr>
          <w:rFonts w:eastAsia="Arial"/>
        </w:rPr>
        <w:t>80%</w:t>
      </w:r>
      <w:r w:rsidRPr="00AC13E7">
        <w:rPr>
          <w:rFonts w:eastAsia="Arial"/>
        </w:rPr>
        <w:t xml:space="preserve"> of cancers had </w:t>
      </w:r>
      <w:r w:rsidRPr="00AC13E7">
        <w:rPr>
          <w:rFonts w:eastAsia="Arial"/>
        </w:rPr>
        <w:lastRenderedPageBreak/>
        <w:t>more SV-supported</w:t>
      </w:r>
      <w:r w:rsidR="00724A77" w:rsidRPr="00AC13E7">
        <w:rPr>
          <w:rFonts w:eastAsia="Arial"/>
        </w:rPr>
        <w:t xml:space="preserve"> </w:t>
      </w:r>
      <w:r w:rsidRPr="00AC13E7">
        <w:rPr>
          <w:rFonts w:eastAsia="Arial"/>
        </w:rPr>
        <w:t>than SV-unsupported breakpoints</w:t>
      </w:r>
      <w:r w:rsidR="00567FFE" w:rsidRPr="00AC13E7">
        <w:rPr>
          <w:rFonts w:eastAsia="Arial"/>
        </w:rPr>
        <w:t xml:space="preserve">, </w:t>
      </w:r>
      <w:r w:rsidR="00762056" w:rsidRPr="00AC13E7">
        <w:rPr>
          <w:rFonts w:eastAsia="Arial"/>
        </w:rPr>
        <w:t>which helped validate our consensus threshold</w:t>
      </w:r>
      <w:r w:rsidR="008A47A9" w:rsidRPr="00AC13E7">
        <w:rPr>
          <w:rFonts w:eastAsia="Arial"/>
        </w:rPr>
        <w:t>. In examining the proportion of breakpoints with SV support as a function of number of breakpoints, we found that the average cancer received SV support for 77% of its breakpoints (</w:t>
      </w:r>
      <w:r w:rsidR="008E4AAE" w:rsidRPr="00AC13E7">
        <w:rPr>
          <w:rFonts w:eastAsia="Arial"/>
        </w:rPr>
        <w:fldChar w:fldCharType="begin"/>
      </w:r>
      <w:r w:rsidR="008E4AAE" w:rsidRPr="00AC13E7">
        <w:rPr>
          <w:rFonts w:eastAsia="Arial"/>
        </w:rPr>
        <w:instrText xml:space="preserve"> REF _Ref379536883 \h </w:instrText>
      </w:r>
      <w:r w:rsidR="008E4AAE" w:rsidRPr="00AC13E7">
        <w:rPr>
          <w:rFonts w:eastAsia="Arial"/>
        </w:rPr>
      </w:r>
      <w:r w:rsidR="008E4AAE" w:rsidRPr="00AC13E7">
        <w:rPr>
          <w:rFonts w:eastAsia="Arial"/>
        </w:rPr>
        <w:fldChar w:fldCharType="separate"/>
      </w:r>
      <w:r w:rsidR="00673FBD" w:rsidRPr="00AC13E7">
        <w:t xml:space="preserve">Fig. </w:t>
      </w:r>
      <w:r w:rsidR="00673FBD">
        <w:rPr>
          <w:noProof/>
        </w:rPr>
        <w:t>17</w:t>
      </w:r>
      <w:r w:rsidR="008E4AAE" w:rsidRPr="00AC13E7">
        <w:rPr>
          <w:rFonts w:eastAsia="Arial"/>
        </w:rPr>
        <w:fldChar w:fldCharType="end"/>
      </w:r>
      <w:r w:rsidR="008A47A9" w:rsidRPr="00AC13E7">
        <w:rPr>
          <w:rFonts w:eastAsia="Arial"/>
        </w:rPr>
        <w:t>A), with a slight positive correlation between total number of breakpoints and the proportion finding SV support. Furthermore, in each tumour, 83% of consensus SVs supported nearby consensus breakpoints (</w:t>
      </w:r>
      <w:r w:rsidR="008E4AAE" w:rsidRPr="00AC13E7">
        <w:rPr>
          <w:rFonts w:eastAsia="Arial"/>
        </w:rPr>
        <w:fldChar w:fldCharType="begin"/>
      </w:r>
      <w:r w:rsidR="008E4AAE" w:rsidRPr="00AC13E7">
        <w:rPr>
          <w:rFonts w:eastAsia="Arial"/>
        </w:rPr>
        <w:instrText xml:space="preserve"> REF _Ref379536883 \h </w:instrText>
      </w:r>
      <w:r w:rsidR="008E4AAE" w:rsidRPr="00AC13E7">
        <w:rPr>
          <w:rFonts w:eastAsia="Arial"/>
        </w:rPr>
      </w:r>
      <w:r w:rsidR="008E4AAE" w:rsidRPr="00AC13E7">
        <w:rPr>
          <w:rFonts w:eastAsia="Arial"/>
        </w:rPr>
        <w:fldChar w:fldCharType="separate"/>
      </w:r>
      <w:r w:rsidR="00673FBD" w:rsidRPr="00AC13E7">
        <w:t xml:space="preserve">Fig. </w:t>
      </w:r>
      <w:r w:rsidR="00673FBD">
        <w:rPr>
          <w:noProof/>
        </w:rPr>
        <w:t>17</w:t>
      </w:r>
      <w:r w:rsidR="008E4AAE" w:rsidRPr="00AC13E7">
        <w:rPr>
          <w:rFonts w:eastAsia="Arial"/>
        </w:rPr>
        <w:fldChar w:fldCharType="end"/>
      </w:r>
      <w:r w:rsidR="008A47A9" w:rsidRPr="00AC13E7">
        <w:rPr>
          <w:rFonts w:eastAsia="Arial"/>
        </w:rPr>
        <w:t>B), with no correlation between number of SVs and the fraction that supported breakpoints.</w:t>
      </w:r>
    </w:p>
    <w:p w14:paraId="3C430CEE" w14:textId="7353E1CC" w:rsidR="008A47A9" w:rsidRPr="00AC13E7" w:rsidRDefault="008A47A9" w:rsidP="008B6240">
      <w:pPr>
        <w:jc w:val="both"/>
        <w:rPr>
          <w:rFonts w:eastAsia="Arial"/>
        </w:rPr>
      </w:pPr>
    </w:p>
    <w:p w14:paraId="57969941" w14:textId="382332F9" w:rsidR="001D4828" w:rsidRPr="00AC13E7" w:rsidRDefault="008E78E4" w:rsidP="002B7F3C">
      <w:pPr>
        <w:jc w:val="both"/>
        <w:rPr>
          <w:rFonts w:eastAsia="Arial"/>
        </w:rPr>
      </w:pPr>
      <w:r w:rsidRPr="00AC13E7">
        <w:rPr>
          <w:rFonts w:eastAsia="Arial"/>
        </w:rPr>
        <w:t>In theory, a</w:t>
      </w:r>
      <w:r w:rsidR="008A47A9" w:rsidRPr="00AC13E7">
        <w:rPr>
          <w:rFonts w:eastAsia="Arial"/>
        </w:rPr>
        <w:t xml:space="preserve">ll </w:t>
      </w:r>
      <w:r w:rsidRPr="00AC13E7">
        <w:rPr>
          <w:rFonts w:eastAsia="Arial"/>
        </w:rPr>
        <w:t xml:space="preserve">non-centromeric, non-telomeric </w:t>
      </w:r>
      <w:r w:rsidR="008A47A9" w:rsidRPr="00AC13E7">
        <w:rPr>
          <w:rFonts w:eastAsia="Arial"/>
        </w:rPr>
        <w:t>copy</w:t>
      </w:r>
      <w:r w:rsidR="00996E41" w:rsidRPr="00AC13E7">
        <w:rPr>
          <w:rFonts w:eastAsia="Arial"/>
        </w:rPr>
        <w:t xml:space="preserve"> </w:t>
      </w:r>
      <w:r w:rsidR="008A47A9" w:rsidRPr="00AC13E7">
        <w:rPr>
          <w:rFonts w:eastAsia="Arial"/>
        </w:rPr>
        <w:t>number events should have associated structural variants, but not all structural variants should correspond to copy</w:t>
      </w:r>
      <w:r w:rsidR="00316367" w:rsidRPr="00AC13E7">
        <w:rPr>
          <w:rFonts w:eastAsia="Arial"/>
        </w:rPr>
        <w:t xml:space="preserve"> </w:t>
      </w:r>
      <w:r w:rsidR="008A47A9" w:rsidRPr="00AC13E7">
        <w:rPr>
          <w:rFonts w:eastAsia="Arial"/>
        </w:rPr>
        <w:t xml:space="preserve">number changes (e.g., balanced translocations do not affect copy number). Consequently, finding </w:t>
      </w:r>
      <w:r w:rsidR="00762056" w:rsidRPr="00AC13E7">
        <w:rPr>
          <w:rFonts w:eastAsia="Arial"/>
        </w:rPr>
        <w:t xml:space="preserve">on average </w:t>
      </w:r>
      <w:r w:rsidR="008A47A9" w:rsidRPr="00AC13E7">
        <w:rPr>
          <w:rFonts w:eastAsia="Arial"/>
        </w:rPr>
        <w:t xml:space="preserve">SV support for 77% of our consensus breakpoints assured us that our consensus breakpoints were largely recapitulating the breakpoints found by orthogonal structural variant detection algorithms, </w:t>
      </w:r>
      <w:r w:rsidR="0045398C" w:rsidRPr="00AC13E7">
        <w:rPr>
          <w:rFonts w:eastAsia="Arial"/>
        </w:rPr>
        <w:t xml:space="preserve">increasing confidence in our results. Manual inspection of consensus breakpoints without associated consensus SVs suggested that there was sufficient evidence in the underlying </w:t>
      </w:r>
      <w:r w:rsidRPr="00AC13E7">
        <w:rPr>
          <w:rFonts w:eastAsia="Arial"/>
        </w:rPr>
        <w:t xml:space="preserve">B </w:t>
      </w:r>
      <w:r w:rsidR="0045398C" w:rsidRPr="00AC13E7">
        <w:rPr>
          <w:rFonts w:eastAsia="Arial"/>
        </w:rPr>
        <w:t>allele frequency and read depth signals to call the breakpoints, implying that simply taking the set of consensus SVs as our breakpoints would have missed legitimate copy</w:t>
      </w:r>
      <w:r w:rsidR="00F05415" w:rsidRPr="00AC13E7">
        <w:rPr>
          <w:rFonts w:eastAsia="Arial"/>
        </w:rPr>
        <w:t xml:space="preserve"> </w:t>
      </w:r>
      <w:r w:rsidR="0045398C" w:rsidRPr="00AC13E7">
        <w:rPr>
          <w:rFonts w:eastAsia="Arial"/>
        </w:rPr>
        <w:t xml:space="preserve">number events. Given our preference for false positives over false negatives, the non-SV-supported breakpoints were a worthwhile addition to our breakpoint set, even if some were false. </w:t>
      </w:r>
    </w:p>
    <w:p w14:paraId="46E6A205" w14:textId="77777777" w:rsidR="003E4874" w:rsidRPr="00AC13E7" w:rsidRDefault="003E4874" w:rsidP="008B6240">
      <w:pPr>
        <w:jc w:val="both"/>
        <w:rPr>
          <w:rFonts w:eastAsia="Arial"/>
        </w:rPr>
      </w:pPr>
    </w:p>
    <w:p w14:paraId="18E26832" w14:textId="77777777" w:rsidR="003E4874" w:rsidRPr="00AC13E7" w:rsidRDefault="003E4874" w:rsidP="008B6240">
      <w:pPr>
        <w:jc w:val="both"/>
        <w:rPr>
          <w:rFonts w:eastAsia="Arial"/>
        </w:rPr>
      </w:pPr>
    </w:p>
    <w:p w14:paraId="6A0DD4B8" w14:textId="52D448E6" w:rsidR="00B10467" w:rsidRPr="00AC13E7" w:rsidRDefault="0032764D" w:rsidP="000668D6">
      <w:pPr>
        <w:keepNext/>
        <w:jc w:val="center"/>
      </w:pPr>
      <w:r w:rsidRPr="00AC13E7">
        <w:rPr>
          <w:rFonts w:eastAsia="Arial"/>
          <w:b/>
          <w:noProof/>
          <w:sz w:val="28"/>
          <w:szCs w:val="28"/>
          <w:lang w:eastAsia="en-GB"/>
        </w:rPr>
        <w:drawing>
          <wp:inline distT="0" distB="0" distL="0" distR="0" wp14:anchorId="44A1876E" wp14:editId="69272E42">
            <wp:extent cx="4809702" cy="3057088"/>
            <wp:effectExtent l="0" t="0" r="0" b="0"/>
            <wp:docPr id="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38399" cy="3075328"/>
                    </a:xfrm>
                    <a:prstGeom prst="rect">
                      <a:avLst/>
                    </a:prstGeom>
                    <a:noFill/>
                    <a:ln>
                      <a:noFill/>
                    </a:ln>
                  </pic:spPr>
                </pic:pic>
              </a:graphicData>
            </a:graphic>
          </wp:inline>
        </w:drawing>
      </w:r>
    </w:p>
    <w:p w14:paraId="10886B6A" w14:textId="63D70462" w:rsidR="008E78E4" w:rsidRPr="00AC13E7" w:rsidRDefault="00B10467" w:rsidP="004916C9">
      <w:pPr>
        <w:pStyle w:val="Caption"/>
        <w:rPr>
          <w:b/>
          <w:sz w:val="28"/>
          <w:szCs w:val="28"/>
        </w:rPr>
      </w:pPr>
      <w:bookmarkStart w:id="66" w:name="_Ref379536870"/>
      <w:bookmarkStart w:id="67" w:name="_Toc384459587"/>
      <w:r w:rsidRPr="00AC13E7">
        <w:t xml:space="preserve">Fig. </w:t>
      </w:r>
      <w:r w:rsidR="001003E9">
        <w:fldChar w:fldCharType="begin"/>
      </w:r>
      <w:r w:rsidR="001003E9">
        <w:instrText xml:space="preserve"> SEQ Fig. \* ARABIC </w:instrText>
      </w:r>
      <w:r w:rsidR="001003E9">
        <w:fldChar w:fldCharType="separate"/>
      </w:r>
      <w:r w:rsidR="00673FBD">
        <w:rPr>
          <w:noProof/>
        </w:rPr>
        <w:t>16</w:t>
      </w:r>
      <w:r w:rsidR="001003E9">
        <w:rPr>
          <w:noProof/>
        </w:rPr>
        <w:fldChar w:fldCharType="end"/>
      </w:r>
      <w:bookmarkEnd w:id="66"/>
      <w:r w:rsidRPr="00AC13E7">
        <w:t xml:space="preserve"> </w:t>
      </w:r>
      <w:r w:rsidRPr="00AC13E7">
        <w:rPr>
          <w:bCs/>
        </w:rPr>
        <w:t>Cumulative</w:t>
      </w:r>
      <w:r w:rsidRPr="00AC13E7">
        <w:rPr>
          <w:b/>
        </w:rPr>
        <w:t xml:space="preserve"> </w:t>
      </w:r>
      <w:r w:rsidRPr="00AC13E7">
        <w:t>distribution across cancers of the log-ratio of the number of breakpoints without support from SVs, to the number of breakpoints with SV support. As virtually all copy number events should generate associated structural variants, most consensus breakpoints should be able to find a nearby supporting SV. Under the any3_any2_conservative consensus breakpoint strategy, only 20% of cancers had more unsupported breakpoints than SV-supported breakpoints (i.e., a log ratio greater than zero).</w:t>
      </w:r>
      <w:bookmarkEnd w:id="67"/>
    </w:p>
    <w:p w14:paraId="3A6EB1FA" w14:textId="77777777" w:rsidR="008E78E4" w:rsidRPr="00AC13E7" w:rsidRDefault="008E78E4" w:rsidP="008E78E4">
      <w:pPr>
        <w:rPr>
          <w:rFonts w:eastAsia="Arial"/>
          <w:b/>
          <w:sz w:val="28"/>
          <w:szCs w:val="28"/>
        </w:rPr>
      </w:pPr>
    </w:p>
    <w:p w14:paraId="25B588B1" w14:textId="77777777" w:rsidR="00B10467" w:rsidRPr="00AC13E7" w:rsidRDefault="0032764D" w:rsidP="00B10467">
      <w:pPr>
        <w:keepNext/>
        <w:jc w:val="both"/>
      </w:pPr>
      <w:r w:rsidRPr="00AC13E7">
        <w:rPr>
          <w:rFonts w:eastAsia="Arial"/>
          <w:noProof/>
          <w:lang w:eastAsia="en-GB"/>
        </w:rPr>
        <w:lastRenderedPageBreak/>
        <w:drawing>
          <wp:inline distT="0" distB="0" distL="0" distR="0" wp14:anchorId="03D5508B" wp14:editId="2510BF55">
            <wp:extent cx="5257800" cy="1871127"/>
            <wp:effectExtent l="0" t="0" r="0" b="8890"/>
            <wp:docPr id="6" name="Picture 45" descr="bp_sv_sup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p_sv_suppor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7800" cy="1871127"/>
                    </a:xfrm>
                    <a:prstGeom prst="rect">
                      <a:avLst/>
                    </a:prstGeom>
                    <a:noFill/>
                    <a:ln>
                      <a:noFill/>
                    </a:ln>
                  </pic:spPr>
                </pic:pic>
              </a:graphicData>
            </a:graphic>
          </wp:inline>
        </w:drawing>
      </w:r>
    </w:p>
    <w:p w14:paraId="240BAB39" w14:textId="5FEF14ED" w:rsidR="005D0087" w:rsidRPr="00AC13E7" w:rsidRDefault="00B10467" w:rsidP="004916C9">
      <w:pPr>
        <w:pStyle w:val="Caption"/>
      </w:pPr>
      <w:bookmarkStart w:id="68" w:name="_Ref379536883"/>
      <w:bookmarkStart w:id="69" w:name="_Toc384459588"/>
      <w:r w:rsidRPr="00AC13E7">
        <w:t xml:space="preserve">Fig. </w:t>
      </w:r>
      <w:r w:rsidR="001003E9">
        <w:fldChar w:fldCharType="begin"/>
      </w:r>
      <w:r w:rsidR="001003E9">
        <w:instrText xml:space="preserve"> SEQ Fig. \* ARABIC </w:instrText>
      </w:r>
      <w:r w:rsidR="001003E9">
        <w:fldChar w:fldCharType="separate"/>
      </w:r>
      <w:r w:rsidR="00673FBD">
        <w:rPr>
          <w:noProof/>
        </w:rPr>
        <w:t>17</w:t>
      </w:r>
      <w:r w:rsidR="001003E9">
        <w:rPr>
          <w:noProof/>
        </w:rPr>
        <w:fldChar w:fldCharType="end"/>
      </w:r>
      <w:bookmarkEnd w:id="68"/>
      <w:r w:rsidRPr="00AC13E7">
        <w:t xml:space="preserve"> </w:t>
      </w:r>
      <w:r w:rsidRPr="00AC13E7">
        <w:rPr>
          <w:b/>
        </w:rPr>
        <w:t xml:space="preserve">A) </w:t>
      </w:r>
      <w:r w:rsidRPr="00AC13E7">
        <w:t xml:space="preserve">Support of consensus breakpoints (BPs) from SVs as a function of number of BPs. Colour indicates density. As the number of BPs increased, so too did the fraction of BPs that found a nearby supporting SV. The mean fraction of BPs with SV support was 77%. </w:t>
      </w:r>
      <w:r w:rsidRPr="00AC13E7">
        <w:rPr>
          <w:b/>
        </w:rPr>
        <w:t xml:space="preserve">B) </w:t>
      </w:r>
      <w:r w:rsidRPr="00AC13E7">
        <w:t>Support of SVs from consensus BPs as a function of number of SVs. Colour indicates density. There was no correlation between the number of SVs and the fraction with support from BPs. The mean fraction of SVs with BP support was 83%.</w:t>
      </w:r>
      <w:bookmarkEnd w:id="69"/>
    </w:p>
    <w:p w14:paraId="74C73371" w14:textId="77777777" w:rsidR="00720570" w:rsidRPr="00AC13E7" w:rsidRDefault="00720570">
      <w:pPr>
        <w:rPr>
          <w:rFonts w:eastAsia="Arial"/>
          <w:sz w:val="22"/>
          <w:szCs w:val="22"/>
        </w:rPr>
      </w:pPr>
    </w:p>
    <w:p w14:paraId="4B07C96C" w14:textId="77777777" w:rsidR="00956E61" w:rsidRPr="00AC13E7" w:rsidRDefault="0012720C" w:rsidP="00ED7622">
      <w:pPr>
        <w:pStyle w:val="Heading3"/>
        <w:rPr>
          <w:rFonts w:ascii="Times New Roman" w:hAnsi="Times New Roman" w:cs="Times New Roman"/>
          <w:b w:val="0"/>
          <w:bCs/>
          <w:sz w:val="32"/>
          <w:szCs w:val="32"/>
          <w:lang w:val="en-GB"/>
        </w:rPr>
      </w:pPr>
      <w:bookmarkStart w:id="70" w:name="_Toc391905008"/>
      <w:bookmarkStart w:id="71" w:name="_Toc499571729"/>
      <w:r w:rsidRPr="00AC13E7">
        <w:rPr>
          <w:rFonts w:ascii="Times New Roman" w:hAnsi="Times New Roman" w:cs="Times New Roman"/>
          <w:b w:val="0"/>
          <w:bCs/>
          <w:sz w:val="32"/>
          <w:szCs w:val="32"/>
          <w:lang w:val="en-GB"/>
        </w:rPr>
        <w:t>1.3.4</w:t>
      </w:r>
      <w:r w:rsidR="00582810" w:rsidRPr="00AC13E7">
        <w:rPr>
          <w:rFonts w:ascii="Times New Roman" w:hAnsi="Times New Roman" w:cs="Times New Roman"/>
          <w:b w:val="0"/>
          <w:bCs/>
          <w:sz w:val="32"/>
          <w:szCs w:val="32"/>
          <w:lang w:val="en-GB"/>
        </w:rPr>
        <w:t xml:space="preserve"> </w:t>
      </w:r>
      <w:r w:rsidR="005561A0" w:rsidRPr="00AC13E7">
        <w:rPr>
          <w:rFonts w:ascii="Times New Roman" w:hAnsi="Times New Roman" w:cs="Times New Roman"/>
          <w:b w:val="0"/>
          <w:bCs/>
          <w:sz w:val="32"/>
          <w:szCs w:val="32"/>
          <w:lang w:val="en-GB"/>
        </w:rPr>
        <w:t>Resolving ploidy disagreement between copy number</w:t>
      </w:r>
      <w:bookmarkEnd w:id="70"/>
      <w:r w:rsidR="005561A0" w:rsidRPr="00AC13E7">
        <w:rPr>
          <w:rFonts w:ascii="Times New Roman" w:hAnsi="Times New Roman" w:cs="Times New Roman"/>
          <w:b w:val="0"/>
          <w:bCs/>
          <w:sz w:val="32"/>
          <w:szCs w:val="32"/>
          <w:lang w:val="en-GB"/>
        </w:rPr>
        <w:t xml:space="preserve"> </w:t>
      </w:r>
    </w:p>
    <w:p w14:paraId="7BABB593" w14:textId="04C702FD" w:rsidR="000D4E24" w:rsidRPr="00AC13E7" w:rsidRDefault="005561A0" w:rsidP="00ED7622">
      <w:pPr>
        <w:pStyle w:val="Heading3"/>
        <w:rPr>
          <w:rFonts w:ascii="Times New Roman" w:hAnsi="Times New Roman" w:cs="Times New Roman"/>
          <w:b w:val="0"/>
          <w:bCs/>
          <w:sz w:val="32"/>
          <w:szCs w:val="32"/>
          <w:lang w:val="en-GB"/>
        </w:rPr>
      </w:pPr>
      <w:bookmarkStart w:id="72" w:name="_Toc391905009"/>
      <w:r w:rsidRPr="00AC13E7">
        <w:rPr>
          <w:rFonts w:ascii="Times New Roman" w:hAnsi="Times New Roman" w:cs="Times New Roman"/>
          <w:b w:val="0"/>
          <w:bCs/>
          <w:sz w:val="32"/>
          <w:szCs w:val="32"/>
          <w:lang w:val="en-GB"/>
        </w:rPr>
        <w:t>callers</w:t>
      </w:r>
      <w:bookmarkEnd w:id="71"/>
      <w:bookmarkEnd w:id="72"/>
    </w:p>
    <w:p w14:paraId="61CA53B6" w14:textId="39B79209" w:rsidR="00956E61" w:rsidRPr="00AC13E7" w:rsidRDefault="00956E61" w:rsidP="008B6240">
      <w:pPr>
        <w:jc w:val="both"/>
        <w:rPr>
          <w:rFonts w:eastAsia="Arial"/>
          <w:bCs/>
        </w:rPr>
      </w:pPr>
      <w:r w:rsidRPr="00AC13E7">
        <w:rPr>
          <w:rFonts w:eastAsia="Arial"/>
          <w:bCs/>
        </w:rPr>
        <w:t>Jeff Wintersinger, Stefan Dentro, Ignaty Leshchiner</w:t>
      </w:r>
      <w:r w:rsidR="00D628EB" w:rsidRPr="00AC13E7">
        <w:rPr>
          <w:rFonts w:eastAsia="Arial"/>
          <w:bCs/>
        </w:rPr>
        <w:t>, Kortine Kleinheinz</w:t>
      </w:r>
    </w:p>
    <w:p w14:paraId="29FA68FA" w14:textId="77777777" w:rsidR="00956E61" w:rsidRPr="00AC13E7" w:rsidRDefault="00956E61" w:rsidP="008B6240">
      <w:pPr>
        <w:jc w:val="both"/>
        <w:rPr>
          <w:rFonts w:eastAsia="Arial"/>
          <w:bCs/>
        </w:rPr>
      </w:pPr>
    </w:p>
    <w:p w14:paraId="0449A328" w14:textId="7E74D463" w:rsidR="0012720C" w:rsidRPr="00AC13E7" w:rsidRDefault="00F706B3" w:rsidP="008B6240">
      <w:pPr>
        <w:jc w:val="both"/>
        <w:rPr>
          <w:rFonts w:eastAsia="Arial"/>
          <w:b/>
        </w:rPr>
      </w:pPr>
      <w:r w:rsidRPr="00AC13E7">
        <w:rPr>
          <w:rFonts w:eastAsia="Arial"/>
          <w:bCs/>
        </w:rPr>
        <w:t>After t</w:t>
      </w:r>
      <w:r w:rsidR="003877D7" w:rsidRPr="00AC13E7">
        <w:rPr>
          <w:rFonts w:eastAsia="Arial"/>
          <w:bCs/>
        </w:rPr>
        <w:t xml:space="preserve">he six </w:t>
      </w:r>
      <w:r w:rsidR="00986B65" w:rsidRPr="00AC13E7">
        <w:rPr>
          <w:rFonts w:eastAsia="Arial"/>
          <w:bCs/>
        </w:rPr>
        <w:t>c</w:t>
      </w:r>
      <w:r w:rsidR="003877D7" w:rsidRPr="00AC13E7">
        <w:rPr>
          <w:rFonts w:eastAsia="Arial"/>
          <w:bCs/>
        </w:rPr>
        <w:t>opy number callers produced copy number profiles on the provided consensus segmentation</w:t>
      </w:r>
      <w:r w:rsidRPr="00AC13E7">
        <w:rPr>
          <w:rFonts w:eastAsia="Arial"/>
          <w:bCs/>
        </w:rPr>
        <w:t>,</w:t>
      </w:r>
      <w:r w:rsidR="003877D7" w:rsidRPr="00AC13E7">
        <w:rPr>
          <w:rFonts w:eastAsia="Arial"/>
          <w:bCs/>
        </w:rPr>
        <w:t xml:space="preserve"> we </w:t>
      </w:r>
      <w:r w:rsidRPr="00AC13E7">
        <w:rPr>
          <w:rFonts w:eastAsia="Arial"/>
          <w:bCs/>
        </w:rPr>
        <w:t xml:space="preserve">focussed on </w:t>
      </w:r>
      <w:r w:rsidR="003877D7" w:rsidRPr="00AC13E7">
        <w:rPr>
          <w:rFonts w:eastAsia="Arial"/>
          <w:bCs/>
        </w:rPr>
        <w:t xml:space="preserve">disagreement between the callers on ploidy calls. </w:t>
      </w:r>
      <w:r w:rsidR="0027417A" w:rsidRPr="00AC13E7">
        <w:rPr>
          <w:rFonts w:eastAsia="Arial"/>
          <w:bCs/>
        </w:rPr>
        <w:t>An automated procedure was used to identify these tumours, which were subsequently</w:t>
      </w:r>
      <w:r w:rsidR="00986B65" w:rsidRPr="00AC13E7">
        <w:rPr>
          <w:rFonts w:eastAsia="Arial"/>
          <w:bCs/>
        </w:rPr>
        <w:t xml:space="preserve"> subjected to</w:t>
      </w:r>
      <w:r w:rsidR="0027417A" w:rsidRPr="00AC13E7">
        <w:rPr>
          <w:rFonts w:eastAsia="Arial"/>
          <w:bCs/>
        </w:rPr>
        <w:t xml:space="preserve"> </w:t>
      </w:r>
      <w:r w:rsidR="00986B65" w:rsidRPr="00AC13E7">
        <w:rPr>
          <w:rFonts w:eastAsia="Arial"/>
          <w:bCs/>
        </w:rPr>
        <w:t>a rigorous review</w:t>
      </w:r>
      <w:r w:rsidR="0027417A" w:rsidRPr="00AC13E7">
        <w:rPr>
          <w:rFonts w:eastAsia="Arial"/>
          <w:bCs/>
        </w:rPr>
        <w:t xml:space="preserve"> </w:t>
      </w:r>
      <w:r w:rsidR="00986B65" w:rsidRPr="00AC13E7">
        <w:rPr>
          <w:rFonts w:eastAsia="Arial"/>
          <w:bCs/>
        </w:rPr>
        <w:t>procedure</w:t>
      </w:r>
      <w:r w:rsidR="00F52DB5" w:rsidRPr="00AC13E7">
        <w:rPr>
          <w:rFonts w:eastAsia="Arial"/>
          <w:bCs/>
        </w:rPr>
        <w:t xml:space="preserve"> </w:t>
      </w:r>
      <w:r w:rsidR="00573F53" w:rsidRPr="00AC13E7">
        <w:rPr>
          <w:rFonts w:eastAsia="Arial"/>
          <w:bCs/>
        </w:rPr>
        <w:t>with the aim to resolve the discrepancy.</w:t>
      </w:r>
    </w:p>
    <w:p w14:paraId="482E6BFC" w14:textId="77777777" w:rsidR="003877D7" w:rsidRPr="00AC13E7" w:rsidRDefault="003877D7">
      <w:pPr>
        <w:rPr>
          <w:rFonts w:eastAsia="Arial"/>
          <w:b/>
          <w:sz w:val="28"/>
          <w:szCs w:val="28"/>
        </w:rPr>
      </w:pPr>
    </w:p>
    <w:p w14:paraId="4E0065EB" w14:textId="638F1583" w:rsidR="00A22150" w:rsidRPr="00AC13E7" w:rsidRDefault="0012720C">
      <w:pPr>
        <w:rPr>
          <w:rFonts w:eastAsia="Arial"/>
          <w:b/>
          <w:sz w:val="28"/>
          <w:szCs w:val="28"/>
        </w:rPr>
      </w:pPr>
      <w:r w:rsidRPr="00AC13E7">
        <w:rPr>
          <w:rFonts w:eastAsia="Arial"/>
          <w:b/>
          <w:sz w:val="28"/>
          <w:szCs w:val="28"/>
        </w:rPr>
        <w:t>Finding outlier profiles</w:t>
      </w:r>
    </w:p>
    <w:p w14:paraId="3646AF14" w14:textId="1045DF2A" w:rsidR="00A22150" w:rsidRPr="00AC13E7" w:rsidRDefault="00A22150" w:rsidP="008B6240">
      <w:pPr>
        <w:jc w:val="both"/>
        <w:rPr>
          <w:rFonts w:eastAsia="Arial"/>
        </w:rPr>
      </w:pPr>
      <w:r w:rsidRPr="00AC13E7">
        <w:rPr>
          <w:rFonts w:eastAsia="Arial"/>
        </w:rPr>
        <w:t>Jeff Wintersinger</w:t>
      </w:r>
    </w:p>
    <w:p w14:paraId="033938D5" w14:textId="77777777" w:rsidR="00A22150" w:rsidRPr="00AC13E7" w:rsidRDefault="00A22150" w:rsidP="008B6240">
      <w:pPr>
        <w:jc w:val="both"/>
        <w:rPr>
          <w:rFonts w:eastAsia="Arial"/>
        </w:rPr>
      </w:pPr>
    </w:p>
    <w:p w14:paraId="39D4939A" w14:textId="35B8DA0E" w:rsidR="00951973" w:rsidRPr="00AC13E7" w:rsidRDefault="00951973" w:rsidP="008B6240">
      <w:pPr>
        <w:jc w:val="both"/>
        <w:rPr>
          <w:rFonts w:eastAsia="Arial"/>
        </w:rPr>
      </w:pPr>
      <w:r w:rsidRPr="00AC13E7">
        <w:rPr>
          <w:rFonts w:eastAsia="Arial"/>
        </w:rPr>
        <w:t>CNA callers often disagreed on whether cancers had undergone whole-genome duplications (WGDs). To determine which cancers suffered from this disagreement, we ran all CNA callers across the full dataset, then declared each cancer “</w:t>
      </w:r>
      <w:r w:rsidR="00197793" w:rsidRPr="00AC13E7">
        <w:rPr>
          <w:rFonts w:eastAsia="Arial"/>
        </w:rPr>
        <w:t>WGD-</w:t>
      </w:r>
      <w:r w:rsidRPr="00AC13E7">
        <w:rPr>
          <w:rFonts w:eastAsia="Arial"/>
        </w:rPr>
        <w:t>certain”</w:t>
      </w:r>
      <w:r w:rsidR="00197793" w:rsidRPr="00AC13E7">
        <w:rPr>
          <w:rFonts w:eastAsia="Arial"/>
        </w:rPr>
        <w:t xml:space="preserve"> if all callers agreed on whether it was diploid or tetraploid, and “</w:t>
      </w:r>
      <w:r w:rsidR="00762056" w:rsidRPr="00AC13E7">
        <w:rPr>
          <w:rFonts w:eastAsia="Arial"/>
        </w:rPr>
        <w:t>WGD-</w:t>
      </w:r>
      <w:r w:rsidR="00197793" w:rsidRPr="00AC13E7">
        <w:rPr>
          <w:rFonts w:eastAsia="Arial"/>
        </w:rPr>
        <w:t>uncertain” otherwise. We performed this characterization as follows:</w:t>
      </w:r>
    </w:p>
    <w:p w14:paraId="0AD3E902" w14:textId="2E0C6CEA" w:rsidR="00197793" w:rsidRPr="00AC13E7" w:rsidRDefault="00197793" w:rsidP="001A6E40">
      <w:pPr>
        <w:pStyle w:val="ListParagraph"/>
        <w:numPr>
          <w:ilvl w:val="0"/>
          <w:numId w:val="8"/>
        </w:numPr>
        <w:jc w:val="both"/>
        <w:rPr>
          <w:rFonts w:ascii="Times New Roman" w:eastAsia="Arial" w:hAnsi="Times New Roman" w:cs="Times New Roman"/>
          <w:lang w:val="en-GB"/>
        </w:rPr>
      </w:pPr>
      <w:r w:rsidRPr="00AC13E7">
        <w:rPr>
          <w:rFonts w:ascii="Times New Roman" w:eastAsia="Arial" w:hAnsi="Times New Roman" w:cs="Times New Roman"/>
          <w:lang w:val="en-GB"/>
        </w:rPr>
        <w:t>For each caller, compute the proportion of the genome with a clonal diploid copy-number state of (major allele, minor allele) = (1, 1). Also compute the proportion in clonal tetraploid (2, 2). If either proportion exceeded 20% of the genome, declare the caller’s result on that cancer “diploid” or “tetraploid”</w:t>
      </w:r>
      <w:r w:rsidR="006F3388" w:rsidRPr="00AC13E7">
        <w:rPr>
          <w:rFonts w:ascii="Times New Roman" w:eastAsia="Arial" w:hAnsi="Times New Roman" w:cs="Times New Roman"/>
          <w:lang w:val="en-GB"/>
        </w:rPr>
        <w:t>, respectively</w:t>
      </w:r>
      <w:r w:rsidRPr="00AC13E7">
        <w:rPr>
          <w:rFonts w:ascii="Times New Roman" w:eastAsia="Arial" w:hAnsi="Times New Roman" w:cs="Times New Roman"/>
          <w:lang w:val="en-GB"/>
        </w:rPr>
        <w:t>. Otherwise, if neither state accounted for at least 20% of the genome, report the caller’s result as “unknown”.</w:t>
      </w:r>
    </w:p>
    <w:p w14:paraId="7269A728" w14:textId="5CA724A3" w:rsidR="00197793" w:rsidRPr="00AC13E7" w:rsidRDefault="00197793" w:rsidP="008B6240">
      <w:pPr>
        <w:pStyle w:val="ListParagraph"/>
        <w:numPr>
          <w:ilvl w:val="0"/>
          <w:numId w:val="8"/>
        </w:numPr>
        <w:jc w:val="both"/>
        <w:rPr>
          <w:rFonts w:ascii="Times New Roman" w:eastAsia="Arial" w:hAnsi="Times New Roman" w:cs="Times New Roman"/>
          <w:lang w:val="en-GB"/>
        </w:rPr>
      </w:pPr>
      <w:r w:rsidRPr="00AC13E7">
        <w:rPr>
          <w:rFonts w:ascii="Times New Roman" w:eastAsia="Arial" w:hAnsi="Times New Roman" w:cs="Times New Roman"/>
          <w:lang w:val="en-GB"/>
        </w:rPr>
        <w:t>If all callers agreed on “diploid” or “tetraploid”, declare the cancer as “WGD-certain”, meaning that the callers agree it is diploid (no WGD occurred) or tetraploid (a WGD occurred).</w:t>
      </w:r>
    </w:p>
    <w:p w14:paraId="4567E00B" w14:textId="3FEE1A6D" w:rsidR="00197793" w:rsidRPr="00AC13E7" w:rsidRDefault="00197793" w:rsidP="008B6240">
      <w:pPr>
        <w:pStyle w:val="ListParagraph"/>
        <w:numPr>
          <w:ilvl w:val="0"/>
          <w:numId w:val="8"/>
        </w:numPr>
        <w:jc w:val="both"/>
        <w:rPr>
          <w:rFonts w:ascii="Times New Roman" w:eastAsia="Arial" w:hAnsi="Times New Roman" w:cs="Times New Roman"/>
          <w:lang w:val="en-GB"/>
        </w:rPr>
      </w:pPr>
      <w:r w:rsidRPr="00AC13E7">
        <w:rPr>
          <w:rFonts w:ascii="Times New Roman" w:eastAsia="Arial" w:hAnsi="Times New Roman" w:cs="Times New Roman"/>
          <w:lang w:val="en-GB"/>
        </w:rPr>
        <w:t>Otherwise, if any callers disagree with the others on “diploid” or “tetraploid”, or if any caller reports “unknown”, declare the cancer as “</w:t>
      </w:r>
      <w:r w:rsidR="00C86214" w:rsidRPr="00AC13E7">
        <w:rPr>
          <w:rFonts w:ascii="Times New Roman" w:eastAsia="Arial" w:hAnsi="Times New Roman" w:cs="Times New Roman"/>
          <w:lang w:val="en-GB"/>
        </w:rPr>
        <w:t>WGD-</w:t>
      </w:r>
      <w:r w:rsidRPr="00AC13E7">
        <w:rPr>
          <w:rFonts w:ascii="Times New Roman" w:eastAsia="Arial" w:hAnsi="Times New Roman" w:cs="Times New Roman"/>
          <w:lang w:val="en-GB"/>
        </w:rPr>
        <w:t>uncertain”.</w:t>
      </w:r>
    </w:p>
    <w:p w14:paraId="1F274289" w14:textId="132F5A18" w:rsidR="00951973" w:rsidRPr="00AC13E7" w:rsidRDefault="00197793" w:rsidP="008B6240">
      <w:pPr>
        <w:jc w:val="both"/>
        <w:rPr>
          <w:rFonts w:eastAsia="Arial"/>
        </w:rPr>
      </w:pPr>
      <w:r w:rsidRPr="00AC13E7">
        <w:rPr>
          <w:rFonts w:eastAsia="Arial"/>
        </w:rPr>
        <w:lastRenderedPageBreak/>
        <w:t xml:space="preserve">After this procedure, </w:t>
      </w:r>
      <w:r w:rsidR="00C342D0" w:rsidRPr="00AC13E7">
        <w:rPr>
          <w:rFonts w:eastAsia="Arial"/>
        </w:rPr>
        <w:t>461</w:t>
      </w:r>
      <w:r w:rsidR="00D63444" w:rsidRPr="00AC13E7">
        <w:rPr>
          <w:rFonts w:eastAsia="Arial"/>
        </w:rPr>
        <w:t xml:space="preserve"> </w:t>
      </w:r>
      <w:r w:rsidRPr="00AC13E7">
        <w:rPr>
          <w:rFonts w:eastAsia="Arial"/>
        </w:rPr>
        <w:t xml:space="preserve">of </w:t>
      </w:r>
      <w:r w:rsidR="006968B7" w:rsidRPr="00AC13E7">
        <w:rPr>
          <w:rFonts w:eastAsia="Arial"/>
        </w:rPr>
        <w:t xml:space="preserve">2778 </w:t>
      </w:r>
      <w:r w:rsidRPr="00AC13E7">
        <w:rPr>
          <w:rFonts w:eastAsia="Arial"/>
        </w:rPr>
        <w:t>cancers were deemed WGD-uncertain.</w:t>
      </w:r>
      <w:r w:rsidR="00951973" w:rsidRPr="00AC13E7">
        <w:rPr>
          <w:rFonts w:eastAsia="Arial"/>
        </w:rPr>
        <w:t xml:space="preserve"> </w:t>
      </w:r>
    </w:p>
    <w:p w14:paraId="4D15F19D" w14:textId="77777777" w:rsidR="00780CD4" w:rsidRPr="00AC13E7" w:rsidRDefault="00780CD4" w:rsidP="008B6240">
      <w:pPr>
        <w:jc w:val="both"/>
        <w:rPr>
          <w:rFonts w:eastAsia="Arial"/>
          <w:sz w:val="22"/>
          <w:szCs w:val="22"/>
        </w:rPr>
      </w:pPr>
    </w:p>
    <w:p w14:paraId="533F6BEF" w14:textId="64CEC2DD" w:rsidR="00780CD4" w:rsidRPr="00AC13E7" w:rsidRDefault="00780CD4" w:rsidP="008B6240">
      <w:pPr>
        <w:jc w:val="both"/>
        <w:rPr>
          <w:rFonts w:eastAsia="Arial"/>
        </w:rPr>
      </w:pPr>
      <w:r w:rsidRPr="00AC13E7">
        <w:rPr>
          <w:rFonts w:eastAsia="Arial"/>
        </w:rPr>
        <w:t>A preliminary consensus copy number procedure revealed an additional 315 tumours with agreement on less than 20% of the genome between the CNA callers. These 315 cases were also reviewed.</w:t>
      </w:r>
    </w:p>
    <w:p w14:paraId="41BC8053" w14:textId="77777777" w:rsidR="0012720C" w:rsidRPr="00AC13E7" w:rsidRDefault="0012720C" w:rsidP="008B6240">
      <w:pPr>
        <w:jc w:val="both"/>
        <w:rPr>
          <w:rFonts w:eastAsia="Arial"/>
          <w:sz w:val="22"/>
          <w:szCs w:val="22"/>
        </w:rPr>
      </w:pPr>
      <w:r w:rsidRPr="00AC13E7">
        <w:rPr>
          <w:rFonts w:eastAsia="Arial"/>
          <w:sz w:val="22"/>
          <w:szCs w:val="22"/>
        </w:rPr>
        <w:t xml:space="preserve"> </w:t>
      </w:r>
    </w:p>
    <w:p w14:paraId="7260F3BA" w14:textId="77777777" w:rsidR="007A3C4F" w:rsidRPr="00AC13E7" w:rsidRDefault="007A3C4F" w:rsidP="008B6240">
      <w:pPr>
        <w:jc w:val="both"/>
        <w:rPr>
          <w:rFonts w:eastAsia="Arial"/>
          <w:sz w:val="22"/>
          <w:szCs w:val="22"/>
        </w:rPr>
      </w:pPr>
    </w:p>
    <w:p w14:paraId="7C2DD3EF" w14:textId="6304E0AF" w:rsidR="00720570" w:rsidRPr="00AC13E7" w:rsidRDefault="009E1EC1" w:rsidP="008C443D">
      <w:pPr>
        <w:rPr>
          <w:rFonts w:eastAsia="Arial"/>
          <w:sz w:val="22"/>
          <w:szCs w:val="22"/>
        </w:rPr>
      </w:pPr>
      <w:r w:rsidRPr="00AC13E7">
        <w:rPr>
          <w:rFonts w:eastAsia="Arial"/>
          <w:b/>
          <w:sz w:val="28"/>
          <w:szCs w:val="28"/>
        </w:rPr>
        <w:t xml:space="preserve">Resolving whole </w:t>
      </w:r>
      <w:r w:rsidR="0012720C" w:rsidRPr="00AC13E7">
        <w:rPr>
          <w:rFonts w:eastAsia="Arial"/>
          <w:b/>
          <w:sz w:val="28"/>
          <w:szCs w:val="28"/>
        </w:rPr>
        <w:t>genome duplication uncertainty</w:t>
      </w:r>
    </w:p>
    <w:p w14:paraId="3D13671B" w14:textId="77777777" w:rsidR="00F82368" w:rsidRPr="00AC13E7" w:rsidRDefault="00F82368" w:rsidP="00F82368">
      <w:pPr>
        <w:rPr>
          <w:rFonts w:eastAsia="Arial"/>
          <w:b/>
          <w:sz w:val="28"/>
          <w:szCs w:val="28"/>
        </w:rPr>
      </w:pPr>
      <w:r w:rsidRPr="00AC13E7">
        <w:rPr>
          <w:rFonts w:eastAsia="Arial"/>
        </w:rPr>
        <w:t>Ignaty Leshchiner, Stefan Dentro, Kortine Kleinheinz</w:t>
      </w:r>
    </w:p>
    <w:p w14:paraId="00043935" w14:textId="77777777" w:rsidR="00F82368" w:rsidRPr="00AC13E7" w:rsidRDefault="00F82368" w:rsidP="008B6240">
      <w:pPr>
        <w:jc w:val="both"/>
      </w:pPr>
    </w:p>
    <w:p w14:paraId="5DD9FBA9" w14:textId="3ECC1E68" w:rsidR="009E1EC1" w:rsidRPr="00AC13E7" w:rsidRDefault="00A31679" w:rsidP="008B6240">
      <w:pPr>
        <w:jc w:val="both"/>
      </w:pPr>
      <w:r w:rsidRPr="00AC13E7">
        <w:t xml:space="preserve">The above described copy number reconstruction methods differ in how copy number is estimated and perform different pre-processing steps. It was therefore expected that the </w:t>
      </w:r>
      <w:r w:rsidR="00E16E6A" w:rsidRPr="00AC13E7">
        <w:t xml:space="preserve">methods </w:t>
      </w:r>
      <w:r w:rsidRPr="00AC13E7">
        <w:t xml:space="preserve">could deviate on the called profiles. </w:t>
      </w:r>
      <w:r w:rsidR="009E1EC1" w:rsidRPr="00AC13E7">
        <w:t>The samples identified through the above procedure have been put through a review by a panel of experts. Initially to understand where the discrepancy lay between the profiles, and later to resolve the differences. The expert panel consisted of three core and five alternating members and sat down for four afternoons. Each member prepared a figure per sample with all possibly interesting information (raw data, SNV multiplicity states, subclonal architecture calls, etc.). A central figure</w:t>
      </w:r>
      <w:r w:rsidR="00D03C34" w:rsidRPr="00AC13E7">
        <w:t xml:space="preserve"> (see </w:t>
      </w:r>
      <w:r w:rsidR="00D03C34" w:rsidRPr="00AC13E7">
        <w:fldChar w:fldCharType="begin"/>
      </w:r>
      <w:r w:rsidR="00D03C34" w:rsidRPr="00AC13E7">
        <w:instrText xml:space="preserve"> REF _Ref379536474 \h </w:instrText>
      </w:r>
      <w:r w:rsidR="00D03C34" w:rsidRPr="00AC13E7">
        <w:fldChar w:fldCharType="separate"/>
      </w:r>
      <w:r w:rsidR="00673FBD" w:rsidRPr="00AC13E7">
        <w:t xml:space="preserve">Fig. </w:t>
      </w:r>
      <w:r w:rsidR="00673FBD">
        <w:rPr>
          <w:noProof/>
        </w:rPr>
        <w:t>18</w:t>
      </w:r>
      <w:r w:rsidR="00D03C34" w:rsidRPr="00AC13E7">
        <w:fldChar w:fldCharType="end"/>
      </w:r>
      <w:r w:rsidR="00D03C34" w:rsidRPr="00AC13E7">
        <w:t xml:space="preserve"> and </w:t>
      </w:r>
      <w:r w:rsidR="00D03C34" w:rsidRPr="00AC13E7">
        <w:fldChar w:fldCharType="begin"/>
      </w:r>
      <w:r w:rsidR="00D03C34" w:rsidRPr="00AC13E7">
        <w:instrText xml:space="preserve"> REF _Ref379536476 \h </w:instrText>
      </w:r>
      <w:r w:rsidR="00D03C34" w:rsidRPr="00AC13E7">
        <w:fldChar w:fldCharType="separate"/>
      </w:r>
      <w:r w:rsidR="00673FBD" w:rsidRPr="00AC13E7">
        <w:t xml:space="preserve">Fig. </w:t>
      </w:r>
      <w:r w:rsidR="00673FBD">
        <w:rPr>
          <w:noProof/>
        </w:rPr>
        <w:t>19</w:t>
      </w:r>
      <w:r w:rsidR="00D03C34" w:rsidRPr="00AC13E7">
        <w:fldChar w:fldCharType="end"/>
      </w:r>
      <w:r w:rsidR="00F757AE" w:rsidRPr="00AC13E7">
        <w:t xml:space="preserve"> for examples)</w:t>
      </w:r>
      <w:r w:rsidR="009E1EC1" w:rsidRPr="00AC13E7">
        <w:t xml:space="preserve"> was used to feed the discussion that contained: Copy number profiles from all me</w:t>
      </w:r>
      <w:r w:rsidR="00255E11" w:rsidRPr="00AC13E7">
        <w:t>thods and raw BAF, copy ratio (L</w:t>
      </w:r>
      <w:r w:rsidR="009E1EC1" w:rsidRPr="00AC13E7">
        <w:t xml:space="preserve">ogR) and multiplicity values from ABSOLUTE. During the review, a sample was marked as </w:t>
      </w:r>
      <w:r w:rsidR="009E1EC1" w:rsidRPr="00AC13E7">
        <w:rPr>
          <w:i/>
        </w:rPr>
        <w:t>WGD</w:t>
      </w:r>
      <w:r w:rsidR="009E1EC1" w:rsidRPr="00AC13E7">
        <w:t xml:space="preserve"> or </w:t>
      </w:r>
      <w:r w:rsidR="009E1EC1" w:rsidRPr="00AC13E7">
        <w:rPr>
          <w:i/>
        </w:rPr>
        <w:t>no_WGD</w:t>
      </w:r>
      <w:r w:rsidR="009E1EC1" w:rsidRPr="00AC13E7">
        <w:t>, and it was only marked on unanimous agreement amongst the panel.</w:t>
      </w:r>
      <w:r w:rsidR="00F91950" w:rsidRPr="00AC13E7">
        <w:t xml:space="preserve"> </w:t>
      </w:r>
      <w:r w:rsidR="000D1F30" w:rsidRPr="00AC13E7">
        <w:t xml:space="preserve">When the panel could not agree the sample was marked as </w:t>
      </w:r>
      <w:r w:rsidR="000D1F30" w:rsidRPr="00AC13E7">
        <w:rPr>
          <w:i/>
        </w:rPr>
        <w:t>unknown</w:t>
      </w:r>
      <w:r w:rsidR="000D1F30" w:rsidRPr="00AC13E7">
        <w:t>.</w:t>
      </w:r>
      <w:r w:rsidR="009E1EC1" w:rsidRPr="00AC13E7">
        <w:t xml:space="preserve"> The panel operated on the basis that sufficient evidence of a genome doubling is required to mark a tumour as </w:t>
      </w:r>
      <w:r w:rsidR="009E1EC1" w:rsidRPr="00AC13E7">
        <w:rPr>
          <w:i/>
        </w:rPr>
        <w:t>WGD</w:t>
      </w:r>
      <w:r w:rsidR="009E1EC1" w:rsidRPr="00AC13E7">
        <w:t>.</w:t>
      </w:r>
    </w:p>
    <w:p w14:paraId="0E9875F0" w14:textId="77777777" w:rsidR="009E1EC1" w:rsidRPr="00AC13E7" w:rsidRDefault="009E1EC1" w:rsidP="008B6240">
      <w:pPr>
        <w:jc w:val="both"/>
      </w:pPr>
    </w:p>
    <w:p w14:paraId="09F12F1D" w14:textId="46073190" w:rsidR="009E1EC1" w:rsidRPr="00AC13E7" w:rsidRDefault="009E1EC1" w:rsidP="009140FB">
      <w:pPr>
        <w:jc w:val="both"/>
      </w:pPr>
      <w:r w:rsidRPr="00AC13E7">
        <w:t>Key identifiers of a missed whole genome doubling that were considered: Subclonal copy number called at 0.5 CCF (these segments become clonal when doubling), a SNV cluster at 0.5 CCF (these mutations become clonal when doubling the ploidy), there should be a clonal SNV cluster at around 1.0 CCF and no superclonal clusters beyond 1.0 CCF, while very large homozygous deletions in general should not occur (whole chromosome(s), or whole chromosome arm(s)</w:t>
      </w:r>
      <w:r w:rsidR="00CD32B8" w:rsidRPr="00AC13E7">
        <w:t>, in general we worked with a threshold of 20Mb, which is often just visible on whole genome figures</w:t>
      </w:r>
      <w:r w:rsidRPr="00AC13E7">
        <w:t xml:space="preserve">). Finally, when the tumour is called </w:t>
      </w:r>
      <w:r w:rsidR="006168C9" w:rsidRPr="00AC13E7">
        <w:t xml:space="preserve">as </w:t>
      </w:r>
      <w:r w:rsidRPr="00AC13E7">
        <w:t>genome doubl</w:t>
      </w:r>
      <w:r w:rsidR="006168C9" w:rsidRPr="00AC13E7">
        <w:t>ed</w:t>
      </w:r>
      <w:r w:rsidRPr="00AC13E7">
        <w:t xml:space="preserve"> one expects some SNVs on one chromosome copy, </w:t>
      </w:r>
      <w:r w:rsidR="009140FB" w:rsidRPr="00AC13E7">
        <w:t xml:space="preserve">except </w:t>
      </w:r>
      <w:r w:rsidRPr="00AC13E7">
        <w:t>in the unlikely scenario that the whole genome duplication was the last event to occur in the tumour before resection and it became clonal without the tumour acquiring further SNVs.</w:t>
      </w:r>
    </w:p>
    <w:p w14:paraId="04A9247C" w14:textId="77777777" w:rsidR="009E1EC1" w:rsidRPr="00AC13E7" w:rsidRDefault="009E1EC1" w:rsidP="008B6240">
      <w:pPr>
        <w:jc w:val="both"/>
      </w:pPr>
    </w:p>
    <w:p w14:paraId="67E95E52" w14:textId="35567ACE" w:rsidR="009E1EC1" w:rsidRPr="00AC13E7" w:rsidRDefault="009E1EC1" w:rsidP="00F82890">
      <w:pPr>
        <w:jc w:val="both"/>
      </w:pPr>
      <w:r w:rsidRPr="00AC13E7">
        <w:t xml:space="preserve">Over time, we observed </w:t>
      </w:r>
      <w:r w:rsidR="0096790B" w:rsidRPr="00AC13E7">
        <w:t xml:space="preserve">recurrent </w:t>
      </w:r>
      <w:r w:rsidRPr="00AC13E7">
        <w:t xml:space="preserve">scenario’s, which allowed for quick identification of the outlier. For example, one method did </w:t>
      </w:r>
      <w:r w:rsidR="005C7810" w:rsidRPr="00AC13E7">
        <w:t>not allow for a purity below 0.3</w:t>
      </w:r>
      <w:r w:rsidRPr="00AC13E7">
        <w:t>. It would call a higher purity</w:t>
      </w:r>
      <w:r w:rsidR="0096790B" w:rsidRPr="00AC13E7">
        <w:t xml:space="preserve">, </w:t>
      </w:r>
      <w:r w:rsidRPr="00AC13E7">
        <w:t>push</w:t>
      </w:r>
      <w:r w:rsidR="0096790B" w:rsidRPr="00AC13E7">
        <w:t>ing</w:t>
      </w:r>
      <w:r w:rsidRPr="00AC13E7">
        <w:t xml:space="preserve"> the </w:t>
      </w:r>
      <w:r w:rsidR="0096790B" w:rsidRPr="00AC13E7">
        <w:t xml:space="preserve">copy number </w:t>
      </w:r>
      <w:r w:rsidRPr="00AC13E7">
        <w:t xml:space="preserve">profile upwards </w:t>
      </w:r>
      <w:r w:rsidR="0096790B" w:rsidRPr="00AC13E7">
        <w:t xml:space="preserve">and </w:t>
      </w:r>
      <w:r w:rsidRPr="00AC13E7">
        <w:t>leaving a purity/ploidy discrepancy that does not allow</w:t>
      </w:r>
      <w:r w:rsidR="0096790B" w:rsidRPr="00AC13E7">
        <w:t xml:space="preserve"> </w:t>
      </w:r>
      <w:r w:rsidRPr="00AC13E7">
        <w:t xml:space="preserve">clean </w:t>
      </w:r>
      <w:r w:rsidR="0096790B" w:rsidRPr="00AC13E7">
        <w:t xml:space="preserve">inference of the </w:t>
      </w:r>
      <w:r w:rsidRPr="00AC13E7">
        <w:t xml:space="preserve">subclonal architecture inference from SNV data. Another example are </w:t>
      </w:r>
      <w:r w:rsidR="0096790B" w:rsidRPr="00AC13E7">
        <w:t xml:space="preserve">samples </w:t>
      </w:r>
      <w:r w:rsidRPr="00AC13E7">
        <w:t>wi</w:t>
      </w:r>
      <w:r w:rsidR="00255E11" w:rsidRPr="00AC13E7">
        <w:t>th very heavy</w:t>
      </w:r>
      <w:r w:rsidR="0096790B" w:rsidRPr="00AC13E7">
        <w:t xml:space="preserve"> </w:t>
      </w:r>
      <w:r w:rsidR="00255E11" w:rsidRPr="00AC13E7">
        <w:t>wave arte</w:t>
      </w:r>
      <w:r w:rsidRPr="00AC13E7">
        <w:t xml:space="preserve">facts </w:t>
      </w:r>
      <w:r w:rsidR="0096790B" w:rsidRPr="00AC13E7">
        <w:t>in the coverage</w:t>
      </w:r>
      <w:r w:rsidR="00F82890" w:rsidRPr="00AC13E7">
        <w:t xml:space="preserve">. In this case, </w:t>
      </w:r>
      <w:r w:rsidRPr="00AC13E7">
        <w:t>some methods would over-segment the genome to fit the noise, leading to a discrepant ploidy that our automated approach could not resolve</w:t>
      </w:r>
      <w:r w:rsidR="00F757AE" w:rsidRPr="00AC13E7">
        <w:t xml:space="preserve"> (see </w:t>
      </w:r>
      <w:r w:rsidR="008E4AAE" w:rsidRPr="00AC13E7">
        <w:fldChar w:fldCharType="begin"/>
      </w:r>
      <w:r w:rsidR="008E4AAE" w:rsidRPr="00AC13E7">
        <w:instrText xml:space="preserve"> REF _Ref379536476 \h </w:instrText>
      </w:r>
      <w:r w:rsidR="008E4AAE" w:rsidRPr="00AC13E7">
        <w:fldChar w:fldCharType="separate"/>
      </w:r>
      <w:r w:rsidR="00673FBD" w:rsidRPr="00AC13E7">
        <w:t xml:space="preserve">Fig. </w:t>
      </w:r>
      <w:r w:rsidR="00673FBD">
        <w:rPr>
          <w:noProof/>
        </w:rPr>
        <w:t>19</w:t>
      </w:r>
      <w:r w:rsidR="008E4AAE" w:rsidRPr="00AC13E7">
        <w:fldChar w:fldCharType="end"/>
      </w:r>
      <w:r w:rsidR="00F757AE" w:rsidRPr="00AC13E7">
        <w:t>)</w:t>
      </w:r>
      <w:r w:rsidRPr="00AC13E7">
        <w:t>.</w:t>
      </w:r>
      <w:r w:rsidR="00CD32B8" w:rsidRPr="00AC13E7">
        <w:t xml:space="preserve"> Methods have been adapted since the review </w:t>
      </w:r>
      <w:r w:rsidR="00B64FA0" w:rsidRPr="00AC13E7">
        <w:t>to address the scenarios uncovered</w:t>
      </w:r>
      <w:r w:rsidR="00CD32B8" w:rsidRPr="00AC13E7">
        <w:t>.</w:t>
      </w:r>
    </w:p>
    <w:p w14:paraId="7ED44F3F" w14:textId="77777777" w:rsidR="009E1EC1" w:rsidRPr="00AC13E7" w:rsidRDefault="009E1EC1" w:rsidP="008B6240">
      <w:pPr>
        <w:jc w:val="both"/>
      </w:pPr>
    </w:p>
    <w:p w14:paraId="31F10D76" w14:textId="272BBE2E" w:rsidR="009E1EC1" w:rsidRPr="00AC13E7" w:rsidRDefault="009E1EC1" w:rsidP="008B6240">
      <w:pPr>
        <w:jc w:val="both"/>
      </w:pPr>
      <w:r w:rsidRPr="00AC13E7">
        <w:lastRenderedPageBreak/>
        <w:t>The panel did not agree on the WGD status of 38 cases</w:t>
      </w:r>
      <w:r w:rsidR="006555B8" w:rsidRPr="00AC13E7">
        <w:t>, due to the high complexity of their copy number profiles</w:t>
      </w:r>
      <w:r w:rsidRPr="00AC13E7">
        <w:t xml:space="preserve">. All segments of these genomes have been marked with level </w:t>
      </w:r>
      <w:r w:rsidRPr="00AC13E7">
        <w:rPr>
          <w:i/>
        </w:rPr>
        <w:t>i</w:t>
      </w:r>
      <w:r w:rsidRPr="00AC13E7">
        <w:t xml:space="preserve"> accordingly</w:t>
      </w:r>
      <w:r w:rsidR="00255E11" w:rsidRPr="00AC13E7">
        <w:t xml:space="preserve"> (see further)</w:t>
      </w:r>
      <w:r w:rsidRPr="00AC13E7">
        <w:t>.</w:t>
      </w:r>
    </w:p>
    <w:p w14:paraId="7C65D06D" w14:textId="77777777" w:rsidR="005649E4" w:rsidRPr="00AC13E7" w:rsidRDefault="005649E4" w:rsidP="009E1EC1"/>
    <w:p w14:paraId="6B0449B0" w14:textId="77777777" w:rsidR="0030138E" w:rsidRPr="00AC13E7" w:rsidRDefault="0032764D" w:rsidP="0030138E">
      <w:pPr>
        <w:keepNext/>
      </w:pPr>
      <w:r w:rsidRPr="00AC13E7">
        <w:rPr>
          <w:noProof/>
          <w:lang w:eastAsia="en-GB"/>
        </w:rPr>
        <w:drawing>
          <wp:inline distT="0" distB="0" distL="0" distR="0" wp14:anchorId="297FA636" wp14:editId="48577D4A">
            <wp:extent cx="5289338" cy="4914900"/>
            <wp:effectExtent l="0" t="0" r="0" b="0"/>
            <wp:docPr id="7" name="Picture 3" descr="copynumber_review_07_86cbb7ad-b22b-414f-a122-77d38c7720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pynumber_review_07_86cbb7ad-b22b-414f-a122-77d38c77207d.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9338" cy="4914900"/>
                    </a:xfrm>
                    <a:prstGeom prst="rect">
                      <a:avLst/>
                    </a:prstGeom>
                    <a:noFill/>
                    <a:ln>
                      <a:noFill/>
                    </a:ln>
                  </pic:spPr>
                </pic:pic>
              </a:graphicData>
            </a:graphic>
          </wp:inline>
        </w:drawing>
      </w:r>
    </w:p>
    <w:p w14:paraId="7DFB7373" w14:textId="6C25EA5A" w:rsidR="005649E4" w:rsidRPr="00AC13E7" w:rsidRDefault="0030138E" w:rsidP="004916C9">
      <w:pPr>
        <w:pStyle w:val="Caption"/>
      </w:pPr>
      <w:bookmarkStart w:id="73" w:name="_Ref379536474"/>
      <w:bookmarkStart w:id="74" w:name="_Toc384459589"/>
      <w:r w:rsidRPr="00AC13E7">
        <w:t xml:space="preserve">Fig. </w:t>
      </w:r>
      <w:r w:rsidR="001003E9">
        <w:fldChar w:fldCharType="begin"/>
      </w:r>
      <w:r w:rsidR="001003E9">
        <w:instrText xml:space="preserve"> SEQ Fig. \* ARABIC </w:instrText>
      </w:r>
      <w:r w:rsidR="001003E9">
        <w:fldChar w:fldCharType="separate"/>
      </w:r>
      <w:r w:rsidR="00673FBD">
        <w:rPr>
          <w:noProof/>
        </w:rPr>
        <w:t>18</w:t>
      </w:r>
      <w:r w:rsidR="001003E9">
        <w:rPr>
          <w:noProof/>
        </w:rPr>
        <w:fldChar w:fldCharType="end"/>
      </w:r>
      <w:bookmarkEnd w:id="73"/>
      <w:r w:rsidRPr="00AC13E7">
        <w:t xml:space="preserve"> Copy number review figure for sample SA414133. The figure contains copy number profiles for five methods (top), raw allele ratio’s for SNPs and multiplicity values (second row left and right respectively), raw B allele frequencies and copy ratio’s for SNPs (third row left and right) and normalised allele ratios (bottom). In this case the raw data shows there are no copy number alterations of note. Battenberg however (red copy number profile) calls a whole genome duplication. Adding the duplication does not allow for an increase in the proportion of the genome called with clonal copy number. In this scenario Battenberg was considered the outlier and the profile is flagged as no_WGD. This figure shows copy number profiles on the methods’ own segmentation.</w:t>
      </w:r>
      <w:bookmarkEnd w:id="74"/>
    </w:p>
    <w:p w14:paraId="2FF38783" w14:textId="79703829" w:rsidR="005649E4" w:rsidRPr="00AC13E7" w:rsidRDefault="005649E4">
      <w:pPr>
        <w:pStyle w:val="Caption"/>
      </w:pPr>
    </w:p>
    <w:p w14:paraId="7C69FAB4" w14:textId="77777777" w:rsidR="00E535B9" w:rsidRPr="00AC13E7" w:rsidRDefault="00E535B9"/>
    <w:p w14:paraId="08C3D5A3" w14:textId="77777777" w:rsidR="00E535B9" w:rsidRPr="00AC13E7" w:rsidRDefault="00E535B9"/>
    <w:p w14:paraId="5BE786A2" w14:textId="77777777" w:rsidR="00E535B9" w:rsidRPr="00AC13E7" w:rsidRDefault="00E535B9"/>
    <w:p w14:paraId="5C24EC70" w14:textId="77777777" w:rsidR="00E535B9" w:rsidRPr="00AC13E7" w:rsidRDefault="00E535B9"/>
    <w:p w14:paraId="0F8F5AA2" w14:textId="77777777" w:rsidR="00E535B9" w:rsidRPr="00AC13E7" w:rsidRDefault="00E535B9"/>
    <w:p w14:paraId="0994B972" w14:textId="77777777" w:rsidR="00E535B9" w:rsidRPr="00AC13E7" w:rsidRDefault="00E535B9"/>
    <w:p w14:paraId="36854DF3" w14:textId="77777777" w:rsidR="0030138E" w:rsidRPr="00AC13E7" w:rsidRDefault="0032764D" w:rsidP="0030138E">
      <w:pPr>
        <w:keepNext/>
      </w:pPr>
      <w:r w:rsidRPr="00AC13E7">
        <w:rPr>
          <w:noProof/>
          <w:lang w:eastAsia="en-GB"/>
        </w:rPr>
        <w:lastRenderedPageBreak/>
        <w:drawing>
          <wp:inline distT="0" distB="0" distL="0" distR="0" wp14:anchorId="2118248F" wp14:editId="316A7ACB">
            <wp:extent cx="5286143" cy="4914900"/>
            <wp:effectExtent l="0" t="0" r="0" b="0"/>
            <wp:docPr id="8" name="Picture 43" descr="copynumber_review_12_1c10ab52-01a3-11e4-8395-af1f6b7ba8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pynumber_review_12_1c10ab52-01a3-11e4-8395-af1f6b7ba88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86143" cy="4914900"/>
                    </a:xfrm>
                    <a:prstGeom prst="rect">
                      <a:avLst/>
                    </a:prstGeom>
                    <a:noFill/>
                    <a:ln>
                      <a:noFill/>
                    </a:ln>
                  </pic:spPr>
                </pic:pic>
              </a:graphicData>
            </a:graphic>
          </wp:inline>
        </w:drawing>
      </w:r>
    </w:p>
    <w:p w14:paraId="0F561894" w14:textId="0D371AF5" w:rsidR="00DD73B0" w:rsidRPr="00AC13E7" w:rsidRDefault="0030138E" w:rsidP="004916C9">
      <w:pPr>
        <w:pStyle w:val="Caption"/>
      </w:pPr>
      <w:bookmarkStart w:id="75" w:name="_Ref379536476"/>
      <w:bookmarkStart w:id="76" w:name="_Toc384459590"/>
      <w:r w:rsidRPr="00AC13E7">
        <w:t xml:space="preserve">Fig. </w:t>
      </w:r>
      <w:r w:rsidR="001003E9">
        <w:fldChar w:fldCharType="begin"/>
      </w:r>
      <w:r w:rsidR="001003E9">
        <w:instrText xml:space="preserve"> SEQ Fig. \* ARABIC </w:instrText>
      </w:r>
      <w:r w:rsidR="001003E9">
        <w:fldChar w:fldCharType="separate"/>
      </w:r>
      <w:r w:rsidR="00673FBD">
        <w:rPr>
          <w:noProof/>
        </w:rPr>
        <w:t>19</w:t>
      </w:r>
      <w:r w:rsidR="001003E9">
        <w:rPr>
          <w:noProof/>
        </w:rPr>
        <w:fldChar w:fldCharType="end"/>
      </w:r>
      <w:bookmarkEnd w:id="75"/>
      <w:r w:rsidRPr="00AC13E7">
        <w:t xml:space="preserve"> Example of copy number profile where noise affects the fit and causes disagreement on the ploidy. The copy number profiles called by cloneHD (green), Sclust (purple) and ACEseq (yellow) contain large numbers of small segments, compared to ABSOLUTE (blue) and Battenberg (red). The methods affected by the noise interpret it as signal, which cause it to fit the segments with a higher or lower copy number state, resulting in a ploidy discrepancy. This figure shows copy number profiles on the methods’ own segmentation. The call for this sample (SA529805) is no_WGD.</w:t>
      </w:r>
      <w:bookmarkEnd w:id="76"/>
    </w:p>
    <w:p w14:paraId="48EBE0CC" w14:textId="77777777" w:rsidR="00F757AE" w:rsidRPr="00AC13E7" w:rsidRDefault="00F757AE"/>
    <w:p w14:paraId="1C1BBFAA" w14:textId="77777777" w:rsidR="00F757AE" w:rsidRPr="00AC13E7" w:rsidRDefault="00F757AE"/>
    <w:p w14:paraId="46CDE6FA" w14:textId="4E84B7D3" w:rsidR="00B30A09" w:rsidRPr="00AC13E7" w:rsidRDefault="00582810" w:rsidP="00ED7622">
      <w:pPr>
        <w:pStyle w:val="Heading3"/>
        <w:rPr>
          <w:rFonts w:ascii="Times New Roman" w:hAnsi="Times New Roman" w:cs="Times New Roman"/>
          <w:b w:val="0"/>
          <w:bCs/>
          <w:sz w:val="32"/>
          <w:szCs w:val="32"/>
          <w:lang w:val="en-GB"/>
        </w:rPr>
      </w:pPr>
      <w:bookmarkStart w:id="77" w:name="_Toc499571730"/>
      <w:bookmarkStart w:id="78" w:name="_Toc391905010"/>
      <w:r w:rsidRPr="00AC13E7">
        <w:rPr>
          <w:rFonts w:ascii="Times New Roman" w:hAnsi="Times New Roman" w:cs="Times New Roman"/>
          <w:b w:val="0"/>
          <w:bCs/>
          <w:sz w:val="32"/>
          <w:szCs w:val="32"/>
          <w:lang w:val="en-GB"/>
        </w:rPr>
        <w:t>1.3</w:t>
      </w:r>
      <w:r w:rsidR="00675F55" w:rsidRPr="00AC13E7">
        <w:rPr>
          <w:rFonts w:ascii="Times New Roman" w:hAnsi="Times New Roman" w:cs="Times New Roman"/>
          <w:b w:val="0"/>
          <w:bCs/>
          <w:sz w:val="32"/>
          <w:szCs w:val="32"/>
          <w:lang w:val="en-GB"/>
        </w:rPr>
        <w:t>.</w:t>
      </w:r>
      <w:r w:rsidR="004F557C" w:rsidRPr="00AC13E7">
        <w:rPr>
          <w:rFonts w:ascii="Times New Roman" w:hAnsi="Times New Roman" w:cs="Times New Roman"/>
          <w:b w:val="0"/>
          <w:bCs/>
          <w:sz w:val="32"/>
          <w:szCs w:val="32"/>
          <w:lang w:val="en-GB"/>
        </w:rPr>
        <w:t>5</w:t>
      </w:r>
      <w:r w:rsidRPr="00AC13E7">
        <w:rPr>
          <w:rFonts w:ascii="Times New Roman" w:hAnsi="Times New Roman" w:cs="Times New Roman"/>
          <w:b w:val="0"/>
          <w:bCs/>
          <w:sz w:val="32"/>
          <w:szCs w:val="32"/>
          <w:lang w:val="en-GB"/>
        </w:rPr>
        <w:t xml:space="preserve"> </w:t>
      </w:r>
      <w:r w:rsidR="00FE3B88" w:rsidRPr="00AC13E7">
        <w:rPr>
          <w:rFonts w:ascii="Times New Roman" w:hAnsi="Times New Roman" w:cs="Times New Roman"/>
          <w:b w:val="0"/>
          <w:bCs/>
          <w:sz w:val="32"/>
          <w:szCs w:val="32"/>
          <w:lang w:val="en-GB"/>
        </w:rPr>
        <w:t>Consensus copy number</w:t>
      </w:r>
      <w:bookmarkEnd w:id="77"/>
      <w:bookmarkEnd w:id="78"/>
    </w:p>
    <w:p w14:paraId="0F114073" w14:textId="77777777" w:rsidR="00394F50" w:rsidRPr="00966AB6" w:rsidRDefault="00394F50" w:rsidP="00394F50">
      <w:pPr>
        <w:jc w:val="both"/>
        <w:rPr>
          <w:rFonts w:eastAsia="Arial"/>
          <w:bCs/>
          <w:lang w:val="nl-NL"/>
        </w:rPr>
      </w:pPr>
      <w:r w:rsidRPr="00966AB6">
        <w:rPr>
          <w:rFonts w:eastAsia="Arial"/>
          <w:bCs/>
          <w:lang w:val="nl-NL"/>
        </w:rPr>
        <w:t>Stefan Dentro, David Wedge, Peter Van Loo</w:t>
      </w:r>
    </w:p>
    <w:p w14:paraId="37AA814E" w14:textId="77777777" w:rsidR="00BD6EB3" w:rsidRPr="00966AB6" w:rsidRDefault="00BD6EB3" w:rsidP="0057679D">
      <w:pPr>
        <w:jc w:val="both"/>
        <w:rPr>
          <w:rFonts w:eastAsia="Arial"/>
          <w:lang w:val="nl-NL"/>
        </w:rPr>
      </w:pPr>
    </w:p>
    <w:p w14:paraId="31734DE8" w14:textId="548CF1C4" w:rsidR="00720570" w:rsidRPr="00AC13E7" w:rsidRDefault="00AC5693" w:rsidP="00406398">
      <w:pPr>
        <w:jc w:val="both"/>
        <w:rPr>
          <w:rFonts w:eastAsia="Arial"/>
        </w:rPr>
      </w:pPr>
      <w:r w:rsidRPr="00AC13E7">
        <w:rPr>
          <w:rFonts w:eastAsia="Arial"/>
        </w:rPr>
        <w:t xml:space="preserve">With a consensus segmentation established and whole genome duplication uncertainty resolved we </w:t>
      </w:r>
      <w:r w:rsidR="00406398" w:rsidRPr="00AC13E7">
        <w:rPr>
          <w:rFonts w:eastAsia="Arial"/>
        </w:rPr>
        <w:t xml:space="preserve">could </w:t>
      </w:r>
      <w:r w:rsidRPr="00AC13E7">
        <w:rPr>
          <w:rFonts w:eastAsia="Arial"/>
        </w:rPr>
        <w:t>build the consensus copy number profiles. We aimed for every</w:t>
      </w:r>
      <w:r w:rsidR="00FE3B88" w:rsidRPr="00AC13E7">
        <w:rPr>
          <w:rFonts w:eastAsia="Arial"/>
        </w:rPr>
        <w:t xml:space="preserve"> profile </w:t>
      </w:r>
      <w:r w:rsidRPr="00AC13E7">
        <w:rPr>
          <w:rFonts w:eastAsia="Arial"/>
        </w:rPr>
        <w:t xml:space="preserve">to </w:t>
      </w:r>
      <w:r w:rsidR="00FE3B88" w:rsidRPr="00AC13E7">
        <w:rPr>
          <w:rFonts w:eastAsia="Arial"/>
        </w:rPr>
        <w:t>contain a call for every segment where there are reliable calls. To do so we first identified 6 ways of extracting agreement between the CNA callers:</w:t>
      </w:r>
    </w:p>
    <w:p w14:paraId="2F808956" w14:textId="11822CD0" w:rsidR="00720570" w:rsidRPr="00AC13E7" w:rsidRDefault="00FE3B88" w:rsidP="00DB1386">
      <w:pPr>
        <w:pStyle w:val="ListParagraph"/>
        <w:numPr>
          <w:ilvl w:val="0"/>
          <w:numId w:val="9"/>
        </w:numPr>
        <w:jc w:val="both"/>
        <w:rPr>
          <w:rFonts w:ascii="Times New Roman" w:eastAsia="Arial" w:hAnsi="Times New Roman" w:cs="Times New Roman"/>
          <w:lang w:val="en-GB"/>
        </w:rPr>
      </w:pPr>
      <w:r w:rsidRPr="00AC13E7">
        <w:rPr>
          <w:rFonts w:ascii="Times New Roman" w:eastAsia="Arial" w:hAnsi="Times New Roman" w:cs="Times New Roman"/>
          <w:lang w:val="en-GB"/>
        </w:rPr>
        <w:t>All methods agree on a clonal copy number call (both major and minor alleles).</w:t>
      </w:r>
    </w:p>
    <w:p w14:paraId="0FC9E7D0" w14:textId="77777777" w:rsidR="00DB1386" w:rsidRPr="00AC13E7" w:rsidRDefault="00DB1386" w:rsidP="00DB1386">
      <w:pPr>
        <w:pStyle w:val="ListParagraph"/>
        <w:numPr>
          <w:ilvl w:val="0"/>
          <w:numId w:val="9"/>
        </w:numPr>
        <w:jc w:val="both"/>
        <w:rPr>
          <w:rFonts w:ascii="Times New Roman" w:eastAsia="Arial" w:hAnsi="Times New Roman" w:cs="Times New Roman"/>
          <w:lang w:val="en-GB"/>
        </w:rPr>
      </w:pPr>
      <w:r w:rsidRPr="00AC13E7">
        <w:rPr>
          <w:rFonts w:ascii="Times New Roman" w:eastAsia="Arial" w:hAnsi="Times New Roman" w:cs="Times New Roman"/>
          <w:lang w:val="en-GB"/>
        </w:rPr>
        <w:t>A single method disagrees on the copy number state of a single segment, leaving the call out creates agreement.</w:t>
      </w:r>
    </w:p>
    <w:p w14:paraId="178BE92D" w14:textId="77C03CB0" w:rsidR="00DB1386" w:rsidRPr="00AC13E7" w:rsidRDefault="00DB1386" w:rsidP="00DB1386">
      <w:pPr>
        <w:pStyle w:val="ListParagraph"/>
        <w:numPr>
          <w:ilvl w:val="0"/>
          <w:numId w:val="9"/>
        </w:numPr>
        <w:jc w:val="both"/>
        <w:rPr>
          <w:rFonts w:ascii="Times New Roman" w:eastAsia="Arial" w:hAnsi="Times New Roman" w:cs="Times New Roman"/>
          <w:lang w:val="en-GB"/>
        </w:rPr>
      </w:pPr>
      <w:r w:rsidRPr="00AC13E7">
        <w:rPr>
          <w:rFonts w:ascii="Times New Roman" w:eastAsia="Arial" w:hAnsi="Times New Roman" w:cs="Times New Roman"/>
          <w:lang w:val="en-GB"/>
        </w:rPr>
        <w:lastRenderedPageBreak/>
        <w:t>A single method disagrees on the ploidy of a sample, leaving the profile out creates agreement.</w:t>
      </w:r>
    </w:p>
    <w:p w14:paraId="24E516B6" w14:textId="064B88D6" w:rsidR="00DB1386" w:rsidRPr="00AC13E7" w:rsidRDefault="00DB1386" w:rsidP="00DB1386">
      <w:pPr>
        <w:pStyle w:val="ListParagraph"/>
        <w:numPr>
          <w:ilvl w:val="0"/>
          <w:numId w:val="9"/>
        </w:numPr>
        <w:jc w:val="both"/>
        <w:rPr>
          <w:rFonts w:ascii="Times New Roman" w:eastAsia="Arial" w:hAnsi="Times New Roman" w:cs="Times New Roman"/>
          <w:lang w:val="en-GB"/>
        </w:rPr>
      </w:pPr>
      <w:r w:rsidRPr="00AC13E7">
        <w:rPr>
          <w:rFonts w:ascii="Times New Roman" w:eastAsia="Arial" w:hAnsi="Times New Roman" w:cs="Times New Roman"/>
          <w:lang w:val="en-GB"/>
        </w:rPr>
        <w:t>The majority of available methods agree on clonal copy number.</w:t>
      </w:r>
    </w:p>
    <w:p w14:paraId="1ACD3A55" w14:textId="3FE14DBF" w:rsidR="00DB1386" w:rsidRPr="00AC13E7" w:rsidRDefault="00DB1386" w:rsidP="00DB1386">
      <w:pPr>
        <w:pStyle w:val="ListParagraph"/>
        <w:numPr>
          <w:ilvl w:val="0"/>
          <w:numId w:val="9"/>
        </w:numPr>
        <w:jc w:val="both"/>
        <w:rPr>
          <w:rFonts w:ascii="Times New Roman" w:eastAsia="Arial" w:hAnsi="Times New Roman" w:cs="Times New Roman"/>
          <w:lang w:val="en-GB"/>
        </w:rPr>
      </w:pPr>
      <w:r w:rsidRPr="00AC13E7">
        <w:rPr>
          <w:rFonts w:ascii="Times New Roman" w:eastAsia="Arial" w:hAnsi="Times New Roman" w:cs="Times New Roman"/>
          <w:lang w:val="en-GB"/>
        </w:rPr>
        <w:t>Complete or leave-one-out agreement may be achieved by rounding subclonal copy number.</w:t>
      </w:r>
    </w:p>
    <w:p w14:paraId="4170608B" w14:textId="09CD536E" w:rsidR="00DB1386" w:rsidRPr="00AC13E7" w:rsidRDefault="00DB1386" w:rsidP="00DB1386">
      <w:pPr>
        <w:pStyle w:val="ListParagraph"/>
        <w:numPr>
          <w:ilvl w:val="0"/>
          <w:numId w:val="9"/>
        </w:numPr>
        <w:jc w:val="both"/>
        <w:rPr>
          <w:rFonts w:ascii="Times New Roman" w:eastAsia="Arial" w:hAnsi="Times New Roman" w:cs="Times New Roman"/>
          <w:lang w:val="en-GB"/>
        </w:rPr>
      </w:pPr>
      <w:r w:rsidRPr="00AC13E7">
        <w:rPr>
          <w:rFonts w:ascii="Times New Roman" w:eastAsia="Arial" w:hAnsi="Times New Roman" w:cs="Times New Roman"/>
          <w:lang w:val="en-GB"/>
        </w:rPr>
        <w:t>Majority vote may be achieved after rounding subclonal copy numbers.</w:t>
      </w:r>
    </w:p>
    <w:p w14:paraId="0FA1F37D" w14:textId="77777777" w:rsidR="00DB1386" w:rsidRPr="00AC13E7" w:rsidRDefault="00DB1386" w:rsidP="00DB1386">
      <w:pPr>
        <w:jc w:val="both"/>
        <w:rPr>
          <w:rFonts w:eastAsia="Arial"/>
        </w:rPr>
      </w:pPr>
    </w:p>
    <w:p w14:paraId="42C3D525" w14:textId="77777777" w:rsidR="00DB1386" w:rsidRPr="00AC13E7" w:rsidRDefault="00DB1386" w:rsidP="00DB1386">
      <w:pPr>
        <w:jc w:val="both"/>
        <w:rPr>
          <w:rFonts w:eastAsia="Arial"/>
        </w:rPr>
      </w:pPr>
      <w:r w:rsidRPr="00AC13E7">
        <w:rPr>
          <w:rFonts w:eastAsia="Arial"/>
        </w:rPr>
        <w:t xml:space="preserve">For each sample, every segment goes through the list starting at </w:t>
      </w:r>
      <w:r w:rsidRPr="00AC13E7">
        <w:rPr>
          <w:rFonts w:eastAsia="Arial"/>
          <w:i/>
        </w:rPr>
        <w:t>a</w:t>
      </w:r>
      <w:r w:rsidRPr="00AC13E7">
        <w:rPr>
          <w:rFonts w:eastAsia="Arial"/>
        </w:rPr>
        <w:t xml:space="preserve">, until agreement is reached. On average, we obtain consensus on 93% (median 95%) of the genome after reaching level </w:t>
      </w:r>
      <w:r w:rsidRPr="00AC13E7">
        <w:rPr>
          <w:rFonts w:eastAsia="Arial"/>
          <w:i/>
          <w:iCs/>
        </w:rPr>
        <w:t>f</w:t>
      </w:r>
      <w:r w:rsidRPr="00AC13E7">
        <w:rPr>
          <w:rFonts w:eastAsia="Arial"/>
        </w:rPr>
        <w:t>. The segments that remain without a consensus call go through a second approach that is designed to find a call from a single method.</w:t>
      </w:r>
    </w:p>
    <w:p w14:paraId="6E65FA13" w14:textId="1879964D" w:rsidR="00DB1386" w:rsidRPr="00AC13E7" w:rsidRDefault="00DB1386" w:rsidP="00DB1386">
      <w:pPr>
        <w:jc w:val="both"/>
        <w:rPr>
          <w:rFonts w:eastAsia="Arial"/>
        </w:rPr>
      </w:pPr>
      <w:r w:rsidRPr="00AC13E7">
        <w:rPr>
          <w:rFonts w:eastAsia="Arial"/>
        </w:rPr>
        <w:t xml:space="preserve">We first calculate, for every CNA method, what proportion of the consensus profile it agrees with after reaching level </w:t>
      </w:r>
      <w:r w:rsidRPr="00AC13E7">
        <w:rPr>
          <w:rFonts w:eastAsia="Arial"/>
          <w:i/>
        </w:rPr>
        <w:t>f</w:t>
      </w:r>
      <w:r w:rsidRPr="00AC13E7">
        <w:rPr>
          <w:rFonts w:eastAsia="Arial"/>
        </w:rPr>
        <w:t>. This allows ranking of the methods, where an overruled profile due to ploidy is not included (see filtering below). We then devised the following additional levels:</w:t>
      </w:r>
    </w:p>
    <w:p w14:paraId="59378A5C" w14:textId="77777777" w:rsidR="00DB1386" w:rsidRPr="00AC13E7" w:rsidRDefault="00DB1386" w:rsidP="00DB1386">
      <w:pPr>
        <w:ind w:left="360"/>
        <w:jc w:val="both"/>
        <w:rPr>
          <w:rFonts w:eastAsia="Arial"/>
        </w:rPr>
      </w:pPr>
    </w:p>
    <w:p w14:paraId="6E2B7DCB" w14:textId="2D7FEA07" w:rsidR="00DB1386" w:rsidRPr="00AC13E7" w:rsidRDefault="00DB1386" w:rsidP="00DB1386">
      <w:pPr>
        <w:pStyle w:val="ListParagraph"/>
        <w:numPr>
          <w:ilvl w:val="0"/>
          <w:numId w:val="9"/>
        </w:numPr>
        <w:jc w:val="both"/>
        <w:rPr>
          <w:rFonts w:ascii="Times New Roman" w:eastAsia="Arial" w:hAnsi="Times New Roman" w:cs="Times New Roman"/>
          <w:lang w:val="en-GB"/>
        </w:rPr>
      </w:pPr>
      <w:r w:rsidRPr="00AC13E7">
        <w:rPr>
          <w:rFonts w:ascii="Times New Roman" w:eastAsia="Arial" w:hAnsi="Times New Roman" w:cs="Times New Roman"/>
          <w:lang w:val="en-GB"/>
        </w:rPr>
        <w:t>Take the call from the best method. If there is consensus for the copy number state of one of the alleles we require the best method to agree with it (see rounding below).</w:t>
      </w:r>
    </w:p>
    <w:p w14:paraId="1F41DB46" w14:textId="39C25ACF" w:rsidR="00DB1386" w:rsidRPr="00AC13E7" w:rsidRDefault="00DB1386" w:rsidP="00DB1386">
      <w:pPr>
        <w:pStyle w:val="ListParagraph"/>
        <w:numPr>
          <w:ilvl w:val="0"/>
          <w:numId w:val="9"/>
        </w:numPr>
        <w:jc w:val="both"/>
        <w:rPr>
          <w:rFonts w:ascii="Times New Roman" w:eastAsia="Arial" w:hAnsi="Times New Roman" w:cs="Times New Roman"/>
          <w:lang w:val="en-GB"/>
        </w:rPr>
      </w:pPr>
      <w:r w:rsidRPr="00AC13E7">
        <w:rPr>
          <w:rFonts w:ascii="Times New Roman" w:eastAsia="Arial" w:hAnsi="Times New Roman" w:cs="Times New Roman"/>
          <w:lang w:val="en-GB"/>
        </w:rPr>
        <w:t>Take the call from another method, iterating from the best to the worst performing method.</w:t>
      </w:r>
    </w:p>
    <w:p w14:paraId="4D052FC0" w14:textId="395BE53F" w:rsidR="00720570" w:rsidRPr="00AC13E7" w:rsidRDefault="00720570" w:rsidP="0057679D">
      <w:pPr>
        <w:jc w:val="both"/>
        <w:rPr>
          <w:rFonts w:eastAsia="Arial"/>
        </w:rPr>
      </w:pPr>
    </w:p>
    <w:p w14:paraId="5B05A8FF" w14:textId="01B3CD5A" w:rsidR="00720570" w:rsidRPr="00AC13E7" w:rsidRDefault="00FE3B88" w:rsidP="0057679D">
      <w:pPr>
        <w:jc w:val="both"/>
        <w:rPr>
          <w:rFonts w:eastAsia="Arial"/>
        </w:rPr>
      </w:pPr>
      <w:r w:rsidRPr="00AC13E7">
        <w:rPr>
          <w:rFonts w:eastAsia="Arial"/>
        </w:rPr>
        <w:t xml:space="preserve">A special level was added to distinguish samples where the expert panel did not reach consensus on the ploidy of a sample. </w:t>
      </w:r>
      <w:r w:rsidR="00925F9C" w:rsidRPr="00AC13E7">
        <w:rPr>
          <w:rFonts w:eastAsia="Arial"/>
        </w:rPr>
        <w:t>T</w:t>
      </w:r>
      <w:r w:rsidRPr="00AC13E7">
        <w:rPr>
          <w:rFonts w:eastAsia="Arial"/>
        </w:rPr>
        <w:t xml:space="preserve">hese cases </w:t>
      </w:r>
      <w:r w:rsidR="00EE0912" w:rsidRPr="00AC13E7">
        <w:rPr>
          <w:rFonts w:eastAsia="Arial"/>
        </w:rPr>
        <w:t xml:space="preserve">went through the full </w:t>
      </w:r>
      <w:r w:rsidR="00132604" w:rsidRPr="00AC13E7">
        <w:rPr>
          <w:rFonts w:eastAsia="Arial"/>
        </w:rPr>
        <w:t xml:space="preserve">consensus </w:t>
      </w:r>
      <w:r w:rsidR="00EE0912" w:rsidRPr="00AC13E7">
        <w:rPr>
          <w:rFonts w:eastAsia="Arial"/>
        </w:rPr>
        <w:t xml:space="preserve">procedure, but afterwards all their segments </w:t>
      </w:r>
      <w:r w:rsidRPr="00AC13E7">
        <w:rPr>
          <w:rFonts w:eastAsia="Arial"/>
        </w:rPr>
        <w:t xml:space="preserve">were </w:t>
      </w:r>
      <w:r w:rsidR="00EE0912" w:rsidRPr="00AC13E7">
        <w:rPr>
          <w:rFonts w:eastAsia="Arial"/>
        </w:rPr>
        <w:t>re-</w:t>
      </w:r>
      <w:r w:rsidRPr="00AC13E7">
        <w:rPr>
          <w:rFonts w:eastAsia="Arial"/>
        </w:rPr>
        <w:t xml:space="preserve">marked as level </w:t>
      </w:r>
      <w:r w:rsidRPr="00AC13E7">
        <w:rPr>
          <w:rFonts w:eastAsia="Arial"/>
          <w:i/>
        </w:rPr>
        <w:t>i</w:t>
      </w:r>
      <w:r w:rsidRPr="00AC13E7">
        <w:rPr>
          <w:rFonts w:eastAsia="Arial"/>
        </w:rPr>
        <w:t>.</w:t>
      </w:r>
    </w:p>
    <w:p w14:paraId="03312D16" w14:textId="00F23D53" w:rsidR="00720570" w:rsidRPr="00AC13E7" w:rsidRDefault="00FE3B88" w:rsidP="0069338A">
      <w:pPr>
        <w:jc w:val="both"/>
        <w:rPr>
          <w:rFonts w:eastAsia="Arial"/>
        </w:rPr>
      </w:pPr>
      <w:r w:rsidRPr="00AC13E7">
        <w:rPr>
          <w:rFonts w:eastAsia="Arial"/>
        </w:rPr>
        <w:t xml:space="preserve">We then devised a star rating system that denotes the amount of confidence in each of the calls. Levels </w:t>
      </w:r>
      <w:r w:rsidRPr="00AC13E7">
        <w:rPr>
          <w:rFonts w:eastAsia="Arial"/>
          <w:i/>
        </w:rPr>
        <w:t>a</w:t>
      </w:r>
      <w:r w:rsidRPr="00AC13E7">
        <w:rPr>
          <w:rFonts w:eastAsia="Arial"/>
        </w:rPr>
        <w:t xml:space="preserve">, </w:t>
      </w:r>
      <w:r w:rsidRPr="00AC13E7">
        <w:rPr>
          <w:rFonts w:eastAsia="Arial"/>
          <w:i/>
        </w:rPr>
        <w:t>b</w:t>
      </w:r>
      <w:r w:rsidRPr="00AC13E7">
        <w:rPr>
          <w:rFonts w:eastAsia="Arial"/>
        </w:rPr>
        <w:t xml:space="preserve"> and </w:t>
      </w:r>
      <w:r w:rsidRPr="00AC13E7">
        <w:rPr>
          <w:rFonts w:eastAsia="Arial"/>
          <w:i/>
        </w:rPr>
        <w:t>c</w:t>
      </w:r>
      <w:r w:rsidRPr="00AC13E7">
        <w:rPr>
          <w:rFonts w:eastAsia="Arial"/>
        </w:rPr>
        <w:t xml:space="preserve"> are the </w:t>
      </w:r>
      <w:r w:rsidR="00E57BA4" w:rsidRPr="00AC13E7">
        <w:rPr>
          <w:rFonts w:eastAsia="Arial"/>
        </w:rPr>
        <w:t xml:space="preserve">strictest </w:t>
      </w:r>
      <w:r w:rsidRPr="00AC13E7">
        <w:rPr>
          <w:rFonts w:eastAsia="Arial"/>
        </w:rPr>
        <w:t>and require all</w:t>
      </w:r>
      <w:r w:rsidR="0069338A" w:rsidRPr="00AC13E7">
        <w:rPr>
          <w:rFonts w:eastAsia="Arial"/>
        </w:rPr>
        <w:t xml:space="preserve"> </w:t>
      </w:r>
      <w:r w:rsidRPr="00AC13E7">
        <w:rPr>
          <w:rFonts w:eastAsia="Arial"/>
        </w:rPr>
        <w:t xml:space="preserve">methods </w:t>
      </w:r>
      <w:r w:rsidR="0069338A" w:rsidRPr="00AC13E7">
        <w:rPr>
          <w:rFonts w:eastAsia="Arial"/>
        </w:rPr>
        <w:t xml:space="preserve">but one </w:t>
      </w:r>
      <w:r w:rsidRPr="00AC13E7">
        <w:rPr>
          <w:rFonts w:eastAsia="Arial"/>
        </w:rPr>
        <w:t>to agree</w:t>
      </w:r>
      <w:r w:rsidR="003C25C4" w:rsidRPr="00AC13E7">
        <w:rPr>
          <w:rFonts w:eastAsia="Arial"/>
        </w:rPr>
        <w:t>,</w:t>
      </w:r>
      <w:r w:rsidRPr="00AC13E7">
        <w:rPr>
          <w:rFonts w:eastAsia="Arial"/>
        </w:rPr>
        <w:t xml:space="preserve"> at the least. These segments are therefore assigned 3 stars. Segments for which a majority of the methods agree on either clonal or rounded clonal copy number are assigned 2 stars (levels </w:t>
      </w:r>
      <w:r w:rsidRPr="00AC13E7">
        <w:rPr>
          <w:rFonts w:eastAsia="Arial"/>
          <w:i/>
        </w:rPr>
        <w:t>d</w:t>
      </w:r>
      <w:r w:rsidRPr="00AC13E7">
        <w:rPr>
          <w:rFonts w:eastAsia="Arial"/>
        </w:rPr>
        <w:t xml:space="preserve">, </w:t>
      </w:r>
      <w:r w:rsidRPr="00AC13E7">
        <w:rPr>
          <w:rFonts w:eastAsia="Arial"/>
          <w:i/>
        </w:rPr>
        <w:t>e</w:t>
      </w:r>
      <w:r w:rsidRPr="00AC13E7">
        <w:rPr>
          <w:rFonts w:eastAsia="Arial"/>
        </w:rPr>
        <w:t xml:space="preserve">, </w:t>
      </w:r>
      <w:r w:rsidRPr="00AC13E7">
        <w:rPr>
          <w:rFonts w:eastAsia="Arial"/>
          <w:i/>
        </w:rPr>
        <w:t>f</w:t>
      </w:r>
      <w:r w:rsidRPr="00AC13E7">
        <w:rPr>
          <w:rFonts w:eastAsia="Arial"/>
        </w:rPr>
        <w:t>). The remaining levels (</w:t>
      </w:r>
      <w:r w:rsidRPr="00AC13E7">
        <w:rPr>
          <w:rFonts w:eastAsia="Arial"/>
          <w:i/>
        </w:rPr>
        <w:t>g</w:t>
      </w:r>
      <w:r w:rsidRPr="00AC13E7">
        <w:rPr>
          <w:rFonts w:eastAsia="Arial"/>
        </w:rPr>
        <w:t xml:space="preserve">, </w:t>
      </w:r>
      <w:r w:rsidRPr="00AC13E7">
        <w:rPr>
          <w:rFonts w:eastAsia="Arial"/>
          <w:i/>
        </w:rPr>
        <w:t>h</w:t>
      </w:r>
      <w:r w:rsidRPr="00AC13E7">
        <w:rPr>
          <w:rFonts w:eastAsia="Arial"/>
        </w:rPr>
        <w:t xml:space="preserve">, </w:t>
      </w:r>
      <w:r w:rsidRPr="00AC13E7">
        <w:rPr>
          <w:rFonts w:eastAsia="Arial"/>
          <w:i/>
        </w:rPr>
        <w:t>i</w:t>
      </w:r>
      <w:r w:rsidRPr="00AC13E7">
        <w:rPr>
          <w:rFonts w:eastAsia="Arial"/>
        </w:rPr>
        <w:t>) receive 1 star to denote the lowest confidence.</w:t>
      </w:r>
    </w:p>
    <w:p w14:paraId="109B4E6E" w14:textId="77777777" w:rsidR="00720570" w:rsidRPr="00AC13E7" w:rsidRDefault="00FE3B88" w:rsidP="0057679D">
      <w:pPr>
        <w:jc w:val="both"/>
        <w:rPr>
          <w:rFonts w:eastAsia="Arial"/>
        </w:rPr>
      </w:pPr>
      <w:r w:rsidRPr="00AC13E7">
        <w:rPr>
          <w:rFonts w:eastAsia="Arial"/>
        </w:rPr>
        <w:t xml:space="preserve"> </w:t>
      </w:r>
    </w:p>
    <w:p w14:paraId="4262AE69" w14:textId="77777777" w:rsidR="00561BDA" w:rsidRPr="00AC13E7" w:rsidRDefault="00561BDA" w:rsidP="0057679D">
      <w:pPr>
        <w:jc w:val="both"/>
        <w:rPr>
          <w:rFonts w:eastAsia="Arial"/>
        </w:rPr>
      </w:pPr>
    </w:p>
    <w:p w14:paraId="311C9699" w14:textId="77777777" w:rsidR="00720570" w:rsidRPr="00AC13E7" w:rsidRDefault="00FE3B88" w:rsidP="0057679D">
      <w:pPr>
        <w:jc w:val="both"/>
        <w:rPr>
          <w:rFonts w:eastAsia="Arial"/>
          <w:b/>
          <w:sz w:val="28"/>
          <w:szCs w:val="28"/>
        </w:rPr>
      </w:pPr>
      <w:r w:rsidRPr="00AC13E7">
        <w:rPr>
          <w:rFonts w:eastAsia="Arial"/>
          <w:b/>
          <w:sz w:val="28"/>
          <w:szCs w:val="28"/>
        </w:rPr>
        <w:t>Rounding subclonal copy number</w:t>
      </w:r>
    </w:p>
    <w:p w14:paraId="30CA44BF" w14:textId="296A447F" w:rsidR="00720570" w:rsidRPr="00AC13E7" w:rsidRDefault="00FE3B88" w:rsidP="0057679D">
      <w:pPr>
        <w:jc w:val="both"/>
        <w:rPr>
          <w:rFonts w:eastAsia="Arial"/>
        </w:rPr>
      </w:pPr>
      <w:r w:rsidRPr="00AC13E7">
        <w:rPr>
          <w:rFonts w:eastAsia="Arial"/>
        </w:rPr>
        <w:t>Subclonal copy number is reported in three different ways across the 6 methods. ABSOLUTE reports up to 3 different copy number states</w:t>
      </w:r>
      <w:r w:rsidR="004549D4" w:rsidRPr="00AC13E7">
        <w:rPr>
          <w:rFonts w:eastAsia="Arial"/>
        </w:rPr>
        <w:t xml:space="preserve"> (a combination of a major and a minor allele)</w:t>
      </w:r>
      <w:r w:rsidRPr="00AC13E7">
        <w:rPr>
          <w:rFonts w:eastAsia="Arial"/>
        </w:rPr>
        <w:t xml:space="preserve"> per segment, of which 1 is termed the ancestral state. Battenberg and Sclust report subclonal copy number as a mixture of two states, while ACEseq returns a single non-integer state (i.e. a mixture). Both </w:t>
      </w:r>
      <w:r w:rsidR="00D24F6E" w:rsidRPr="00AC13E7">
        <w:rPr>
          <w:rFonts w:eastAsia="Arial"/>
        </w:rPr>
        <w:t>c</w:t>
      </w:r>
      <w:r w:rsidRPr="00AC13E7">
        <w:rPr>
          <w:rFonts w:eastAsia="Arial"/>
        </w:rPr>
        <w:t>loneHD and JaBbA provided clonal calls only.</w:t>
      </w:r>
    </w:p>
    <w:p w14:paraId="4C7A0C92" w14:textId="77777777" w:rsidR="00E63595" w:rsidRPr="00AC13E7" w:rsidRDefault="00E63595" w:rsidP="0057679D">
      <w:pPr>
        <w:jc w:val="both"/>
        <w:rPr>
          <w:rFonts w:eastAsia="Arial"/>
        </w:rPr>
      </w:pPr>
    </w:p>
    <w:p w14:paraId="23693B5F" w14:textId="3B5A70B9" w:rsidR="00720570" w:rsidRPr="00AC13E7" w:rsidRDefault="004255C7" w:rsidP="009B5124">
      <w:pPr>
        <w:jc w:val="both"/>
        <w:rPr>
          <w:rFonts w:eastAsia="Arial"/>
        </w:rPr>
      </w:pPr>
      <w:r w:rsidRPr="00AC13E7">
        <w:rPr>
          <w:rFonts w:eastAsia="Arial"/>
        </w:rPr>
        <w:t>When subclonal copy number is reported as individual states found in proportions of cells (ABSOLUTE, Battenberg and Sclust)</w:t>
      </w:r>
      <w:r w:rsidR="00793440" w:rsidRPr="00AC13E7">
        <w:rPr>
          <w:rFonts w:eastAsia="Arial"/>
        </w:rPr>
        <w:t>,</w:t>
      </w:r>
      <w:r w:rsidRPr="00AC13E7">
        <w:rPr>
          <w:rFonts w:eastAsia="Arial"/>
        </w:rPr>
        <w:t xml:space="preserve"> we selected the reported states individually. For </w:t>
      </w:r>
      <w:r w:rsidR="00FE3B88" w:rsidRPr="00AC13E7">
        <w:rPr>
          <w:rFonts w:eastAsia="Arial"/>
        </w:rPr>
        <w:t>ABSOLUTE</w:t>
      </w:r>
      <w:r w:rsidRPr="00AC13E7">
        <w:rPr>
          <w:rFonts w:eastAsia="Arial"/>
        </w:rPr>
        <w:t xml:space="preserve"> that corresponds to</w:t>
      </w:r>
      <w:r w:rsidR="00FE3B88" w:rsidRPr="00AC13E7">
        <w:rPr>
          <w:rFonts w:eastAsia="Arial"/>
        </w:rPr>
        <w:t xml:space="preserve"> </w:t>
      </w:r>
      <w:r w:rsidRPr="00AC13E7">
        <w:rPr>
          <w:rFonts w:eastAsia="Arial"/>
        </w:rPr>
        <w:t>s</w:t>
      </w:r>
      <w:r w:rsidR="00590C8C" w:rsidRPr="00AC13E7">
        <w:rPr>
          <w:rFonts w:eastAsia="Arial"/>
        </w:rPr>
        <w:t>election of the copy number states</w:t>
      </w:r>
      <w:r w:rsidR="00FE3B88" w:rsidRPr="00AC13E7">
        <w:rPr>
          <w:rFonts w:eastAsia="Arial"/>
        </w:rPr>
        <w:t xml:space="preserve"> corresponding to the ancestral state, the highest CCF state and the lowest CCF state</w:t>
      </w:r>
      <w:r w:rsidRPr="00AC13E7">
        <w:rPr>
          <w:rFonts w:eastAsia="Arial"/>
        </w:rPr>
        <w:t xml:space="preserve"> separately</w:t>
      </w:r>
      <w:r w:rsidR="00FE3B88" w:rsidRPr="00AC13E7">
        <w:rPr>
          <w:rFonts w:eastAsia="Arial"/>
        </w:rPr>
        <w:t>.</w:t>
      </w:r>
      <w:r w:rsidRPr="00AC13E7">
        <w:rPr>
          <w:rFonts w:eastAsia="Arial"/>
        </w:rPr>
        <w:t xml:space="preserve"> For Battenberg and Sclust that meant s</w:t>
      </w:r>
      <w:r w:rsidR="00590C8C" w:rsidRPr="00AC13E7">
        <w:rPr>
          <w:rFonts w:eastAsia="Arial"/>
        </w:rPr>
        <w:t xml:space="preserve">electing the states from </w:t>
      </w:r>
      <w:r w:rsidR="00FE3B88" w:rsidRPr="00AC13E7">
        <w:rPr>
          <w:rFonts w:eastAsia="Arial"/>
        </w:rPr>
        <w:t>the highest CCF and</w:t>
      </w:r>
      <w:r w:rsidR="0071651F" w:rsidRPr="00AC13E7">
        <w:rPr>
          <w:rFonts w:eastAsia="Arial"/>
        </w:rPr>
        <w:t xml:space="preserve"> </w:t>
      </w:r>
      <w:r w:rsidR="00FE3B88" w:rsidRPr="00AC13E7">
        <w:rPr>
          <w:rFonts w:eastAsia="Arial"/>
        </w:rPr>
        <w:t xml:space="preserve">lowest CCF </w:t>
      </w:r>
      <w:r w:rsidR="00590C8C" w:rsidRPr="00AC13E7">
        <w:rPr>
          <w:rFonts w:eastAsia="Arial"/>
        </w:rPr>
        <w:t>calls</w:t>
      </w:r>
      <w:r w:rsidRPr="00AC13E7">
        <w:rPr>
          <w:rFonts w:eastAsia="Arial"/>
        </w:rPr>
        <w:t xml:space="preserve"> separately</w:t>
      </w:r>
      <w:r w:rsidR="00FE3B88" w:rsidRPr="00AC13E7">
        <w:rPr>
          <w:rFonts w:eastAsia="Arial"/>
        </w:rPr>
        <w:t>.</w:t>
      </w:r>
      <w:r w:rsidRPr="00AC13E7">
        <w:rPr>
          <w:rFonts w:eastAsia="Arial"/>
        </w:rPr>
        <w:t xml:space="preserve"> </w:t>
      </w:r>
      <w:r w:rsidR="009B5124" w:rsidRPr="00AC13E7">
        <w:rPr>
          <w:rFonts w:eastAsia="Arial"/>
        </w:rPr>
        <w:t xml:space="preserve">As </w:t>
      </w:r>
      <w:r w:rsidRPr="00AC13E7">
        <w:rPr>
          <w:rFonts w:eastAsia="Arial"/>
        </w:rPr>
        <w:t xml:space="preserve">ACEseq </w:t>
      </w:r>
      <w:r w:rsidR="009B5124" w:rsidRPr="00AC13E7">
        <w:rPr>
          <w:rFonts w:eastAsia="Arial"/>
        </w:rPr>
        <w:t>reports two non-integer states we opted for r</w:t>
      </w:r>
      <w:r w:rsidR="00FE3B88" w:rsidRPr="00AC13E7">
        <w:rPr>
          <w:rFonts w:eastAsia="Arial"/>
        </w:rPr>
        <w:t>ounding both alleles up and down.</w:t>
      </w:r>
    </w:p>
    <w:p w14:paraId="17177A7D" w14:textId="77777777" w:rsidR="00720570" w:rsidRPr="00AC13E7" w:rsidRDefault="00720570" w:rsidP="0057679D">
      <w:pPr>
        <w:ind w:hanging="360"/>
        <w:jc w:val="both"/>
        <w:rPr>
          <w:rFonts w:eastAsia="Arial"/>
        </w:rPr>
      </w:pPr>
    </w:p>
    <w:p w14:paraId="7AC2D21E" w14:textId="6E4A09C7" w:rsidR="00720570" w:rsidRPr="00AC13E7" w:rsidRDefault="00FE3B88" w:rsidP="0057679D">
      <w:pPr>
        <w:jc w:val="both"/>
        <w:rPr>
          <w:rFonts w:eastAsia="Arial"/>
        </w:rPr>
      </w:pPr>
      <w:r w:rsidRPr="00AC13E7">
        <w:rPr>
          <w:rFonts w:eastAsia="Arial"/>
        </w:rPr>
        <w:lastRenderedPageBreak/>
        <w:t>To create a consensus call</w:t>
      </w:r>
      <w:r w:rsidR="00793440" w:rsidRPr="00AC13E7">
        <w:rPr>
          <w:rFonts w:eastAsia="Arial"/>
        </w:rPr>
        <w:t>,</w:t>
      </w:r>
      <w:r w:rsidRPr="00AC13E7">
        <w:rPr>
          <w:rFonts w:eastAsia="Arial"/>
        </w:rPr>
        <w:t xml:space="preserve"> we first obtain an inventory of the available copy number states across all </w:t>
      </w:r>
      <w:r w:rsidR="00CB6F0D" w:rsidRPr="00AC13E7">
        <w:rPr>
          <w:rFonts w:eastAsia="Arial"/>
        </w:rPr>
        <w:t>possible</w:t>
      </w:r>
      <w:r w:rsidRPr="00AC13E7">
        <w:rPr>
          <w:rFonts w:eastAsia="Arial"/>
        </w:rPr>
        <w:t xml:space="preserve"> round</w:t>
      </w:r>
      <w:r w:rsidR="00CB6F0D" w:rsidRPr="00AC13E7">
        <w:rPr>
          <w:rFonts w:eastAsia="Arial"/>
        </w:rPr>
        <w:t>ed states</w:t>
      </w:r>
      <w:r w:rsidR="00793440" w:rsidRPr="00AC13E7">
        <w:rPr>
          <w:rFonts w:eastAsia="Arial"/>
        </w:rPr>
        <w:t>,</w:t>
      </w:r>
      <w:r w:rsidRPr="00AC13E7">
        <w:rPr>
          <w:rFonts w:eastAsia="Arial"/>
        </w:rPr>
        <w:t xml:space="preserve"> including the clonal calls from </w:t>
      </w:r>
      <w:r w:rsidR="004133B7" w:rsidRPr="00AC13E7">
        <w:rPr>
          <w:rFonts w:eastAsia="Arial"/>
        </w:rPr>
        <w:t>c</w:t>
      </w:r>
      <w:r w:rsidRPr="00AC13E7">
        <w:rPr>
          <w:rFonts w:eastAsia="Arial"/>
        </w:rPr>
        <w:t>loneHD and JaBbA. If there is a major/minor allele combination that satisfies the minimum number of methods criterion (either leave-one-out or majority vote) we select that state as the consensus.</w:t>
      </w:r>
    </w:p>
    <w:p w14:paraId="1F03B865" w14:textId="77777777" w:rsidR="00720570" w:rsidRPr="00AC13E7" w:rsidRDefault="00FE3B88" w:rsidP="0057679D">
      <w:pPr>
        <w:jc w:val="both"/>
        <w:rPr>
          <w:rFonts w:eastAsia="Arial"/>
        </w:rPr>
      </w:pPr>
      <w:r w:rsidRPr="00AC13E7">
        <w:rPr>
          <w:rFonts w:eastAsia="Arial"/>
        </w:rPr>
        <w:t xml:space="preserve"> </w:t>
      </w:r>
    </w:p>
    <w:p w14:paraId="6CC5B8F4" w14:textId="77777777" w:rsidR="00720570" w:rsidRPr="00AC13E7" w:rsidRDefault="00FE3B88" w:rsidP="0057679D">
      <w:pPr>
        <w:jc w:val="both"/>
        <w:rPr>
          <w:rFonts w:eastAsia="Arial"/>
        </w:rPr>
      </w:pPr>
      <w:r w:rsidRPr="00AC13E7">
        <w:rPr>
          <w:rFonts w:eastAsia="Arial"/>
        </w:rPr>
        <w:t xml:space="preserve">If no agreement is reached we attempt to establish consensus by voting for the major and minor allele separately. An allele is accepted if it passes the minimum number of methods threshold. In some cases this leads to consensus on one of the alleles. The state of that allele is saved and fed into levels </w:t>
      </w:r>
      <w:r w:rsidRPr="00AC13E7">
        <w:rPr>
          <w:rFonts w:eastAsia="Arial"/>
          <w:i/>
        </w:rPr>
        <w:t>g</w:t>
      </w:r>
      <w:r w:rsidRPr="00AC13E7">
        <w:rPr>
          <w:rFonts w:eastAsia="Arial"/>
        </w:rPr>
        <w:t xml:space="preserve"> and </w:t>
      </w:r>
      <w:r w:rsidRPr="00AC13E7">
        <w:rPr>
          <w:rFonts w:eastAsia="Arial"/>
          <w:i/>
        </w:rPr>
        <w:t>h</w:t>
      </w:r>
      <w:r w:rsidRPr="00AC13E7">
        <w:rPr>
          <w:rFonts w:eastAsia="Arial"/>
        </w:rPr>
        <w:t>, where a call is selected where one of the alleles agrees with the established consensus allele.</w:t>
      </w:r>
    </w:p>
    <w:p w14:paraId="785566AB" w14:textId="77777777" w:rsidR="00720570" w:rsidRPr="00AC13E7" w:rsidRDefault="00FE3B88" w:rsidP="0057679D">
      <w:pPr>
        <w:jc w:val="both"/>
        <w:rPr>
          <w:rFonts w:eastAsia="Arial"/>
        </w:rPr>
      </w:pPr>
      <w:r w:rsidRPr="00AC13E7">
        <w:rPr>
          <w:rFonts w:eastAsia="Arial"/>
        </w:rPr>
        <w:t xml:space="preserve"> </w:t>
      </w:r>
    </w:p>
    <w:p w14:paraId="7F509C0A" w14:textId="77777777" w:rsidR="00720570" w:rsidRPr="00AC13E7" w:rsidRDefault="00FE3B88" w:rsidP="0057679D">
      <w:pPr>
        <w:jc w:val="both"/>
        <w:rPr>
          <w:rFonts w:eastAsia="Arial"/>
          <w:b/>
          <w:sz w:val="28"/>
          <w:szCs w:val="28"/>
        </w:rPr>
      </w:pPr>
      <w:r w:rsidRPr="00AC13E7">
        <w:rPr>
          <w:rFonts w:eastAsia="Arial"/>
          <w:b/>
          <w:sz w:val="28"/>
          <w:szCs w:val="28"/>
        </w:rPr>
        <w:t>Chromosomes X and Y</w:t>
      </w:r>
    </w:p>
    <w:p w14:paraId="527F1774" w14:textId="77777777" w:rsidR="00720570" w:rsidRPr="00AC13E7" w:rsidRDefault="00FE3B88" w:rsidP="0057679D">
      <w:pPr>
        <w:jc w:val="both"/>
        <w:rPr>
          <w:rFonts w:eastAsia="Arial"/>
        </w:rPr>
      </w:pPr>
      <w:r w:rsidRPr="00AC13E7">
        <w:rPr>
          <w:rFonts w:eastAsia="Arial"/>
        </w:rPr>
        <w:t>Fewer methods report on X and Y chromosomes:</w:t>
      </w:r>
    </w:p>
    <w:p w14:paraId="70B3A5AA" w14:textId="34989041" w:rsidR="00720570" w:rsidRPr="00AC13E7" w:rsidRDefault="00FE3B88" w:rsidP="0057679D">
      <w:pPr>
        <w:ind w:hanging="360"/>
        <w:jc w:val="both"/>
        <w:rPr>
          <w:rFonts w:eastAsia="Arial"/>
        </w:rPr>
      </w:pPr>
      <w:r w:rsidRPr="00AC13E7">
        <w:rPr>
          <w:rFonts w:eastAsia="Arial"/>
        </w:rPr>
        <w:t xml:space="preserve">·      X: ABSOLUTE, Battenberg (females), ACEseq, </w:t>
      </w:r>
      <w:r w:rsidR="004133B7" w:rsidRPr="00AC13E7">
        <w:rPr>
          <w:rFonts w:eastAsia="Arial"/>
        </w:rPr>
        <w:t>c</w:t>
      </w:r>
      <w:r w:rsidRPr="00AC13E7">
        <w:rPr>
          <w:rFonts w:eastAsia="Arial"/>
        </w:rPr>
        <w:t>loneHD and JaBbA</w:t>
      </w:r>
    </w:p>
    <w:p w14:paraId="36E75382" w14:textId="77777777" w:rsidR="00720570" w:rsidRPr="00AC13E7" w:rsidRDefault="00FE3B88" w:rsidP="0057679D">
      <w:pPr>
        <w:ind w:hanging="360"/>
        <w:jc w:val="both"/>
        <w:rPr>
          <w:rFonts w:eastAsia="Arial"/>
        </w:rPr>
      </w:pPr>
      <w:r w:rsidRPr="00AC13E7">
        <w:rPr>
          <w:rFonts w:eastAsia="Arial"/>
        </w:rPr>
        <w:t>·      Y: ABSOLUTE, ACEseq and JaBbA</w:t>
      </w:r>
    </w:p>
    <w:p w14:paraId="637B79AB" w14:textId="43AB7114" w:rsidR="00720570" w:rsidRPr="00AC13E7" w:rsidRDefault="00FE3B88" w:rsidP="000E176C">
      <w:pPr>
        <w:jc w:val="both"/>
        <w:rPr>
          <w:rFonts w:eastAsia="Arial"/>
        </w:rPr>
      </w:pPr>
      <w:r w:rsidRPr="00AC13E7">
        <w:rPr>
          <w:rFonts w:eastAsia="Arial"/>
        </w:rPr>
        <w:t>The</w:t>
      </w:r>
      <w:r w:rsidR="000E176C" w:rsidRPr="00AC13E7">
        <w:rPr>
          <w:rFonts w:eastAsia="Arial"/>
        </w:rPr>
        <w:t xml:space="preserve"> </w:t>
      </w:r>
      <w:r w:rsidRPr="00AC13E7">
        <w:rPr>
          <w:rFonts w:eastAsia="Arial"/>
        </w:rPr>
        <w:t xml:space="preserve">number of methods </w:t>
      </w:r>
      <w:r w:rsidR="00275FE9" w:rsidRPr="00AC13E7">
        <w:rPr>
          <w:rFonts w:eastAsia="Arial"/>
        </w:rPr>
        <w:t xml:space="preserve">required </w:t>
      </w:r>
      <w:r w:rsidRPr="00AC13E7">
        <w:rPr>
          <w:rFonts w:eastAsia="Arial"/>
        </w:rPr>
        <w:t xml:space="preserve">to agree for the separate levels </w:t>
      </w:r>
      <w:r w:rsidR="0018752B" w:rsidRPr="00AC13E7">
        <w:rPr>
          <w:rFonts w:eastAsia="Arial"/>
        </w:rPr>
        <w:t xml:space="preserve">is </w:t>
      </w:r>
      <w:r w:rsidRPr="00AC13E7">
        <w:rPr>
          <w:rFonts w:eastAsia="Arial"/>
        </w:rPr>
        <w:t>adjusted accordingly.</w:t>
      </w:r>
    </w:p>
    <w:p w14:paraId="12F76DFD" w14:textId="77777777" w:rsidR="00720570" w:rsidRPr="00AC13E7" w:rsidRDefault="00FE3B88" w:rsidP="0057679D">
      <w:pPr>
        <w:jc w:val="both"/>
        <w:rPr>
          <w:rFonts w:eastAsia="Arial"/>
        </w:rPr>
      </w:pPr>
      <w:r w:rsidRPr="00AC13E7">
        <w:rPr>
          <w:rFonts w:eastAsia="Arial"/>
        </w:rPr>
        <w:t xml:space="preserve"> </w:t>
      </w:r>
    </w:p>
    <w:p w14:paraId="394346B9" w14:textId="77777777" w:rsidR="00720570" w:rsidRPr="00AC13E7" w:rsidRDefault="00FE3B88" w:rsidP="0057679D">
      <w:pPr>
        <w:jc w:val="both"/>
        <w:rPr>
          <w:rFonts w:eastAsia="Arial"/>
          <w:b/>
          <w:sz w:val="28"/>
          <w:szCs w:val="28"/>
        </w:rPr>
      </w:pPr>
      <w:r w:rsidRPr="00AC13E7">
        <w:rPr>
          <w:rFonts w:eastAsia="Arial"/>
          <w:b/>
          <w:sz w:val="28"/>
          <w:szCs w:val="28"/>
        </w:rPr>
        <w:t>Consensus purity</w:t>
      </w:r>
    </w:p>
    <w:p w14:paraId="64FCE971" w14:textId="231DF145" w:rsidR="00720570" w:rsidRPr="00AC13E7" w:rsidRDefault="00FE3B88" w:rsidP="0057679D">
      <w:pPr>
        <w:jc w:val="both"/>
        <w:rPr>
          <w:rFonts w:eastAsia="Arial"/>
        </w:rPr>
      </w:pPr>
      <w:r w:rsidRPr="00AC13E7">
        <w:rPr>
          <w:rFonts w:eastAsia="Arial"/>
        </w:rPr>
        <w:t>For consensus purity</w:t>
      </w:r>
      <w:r w:rsidR="00793440" w:rsidRPr="00AC13E7">
        <w:rPr>
          <w:rFonts w:eastAsia="Arial"/>
        </w:rPr>
        <w:t>,</w:t>
      </w:r>
      <w:r w:rsidRPr="00AC13E7">
        <w:rPr>
          <w:rFonts w:eastAsia="Arial"/>
        </w:rPr>
        <w:t xml:space="preserve"> we have calls from the 6 CNA methods and a number of SNV</w:t>
      </w:r>
      <w:r w:rsidR="009B7743" w:rsidRPr="00AC13E7">
        <w:rPr>
          <w:rFonts w:eastAsia="Arial"/>
        </w:rPr>
        <w:t>-</w:t>
      </w:r>
      <w:r w:rsidRPr="00AC13E7">
        <w:rPr>
          <w:rFonts w:eastAsia="Arial"/>
        </w:rPr>
        <w:t xml:space="preserve">based methods: CliP, CTPsingle, PhyloWGS, </w:t>
      </w:r>
      <w:r w:rsidR="00130F40" w:rsidRPr="00AC13E7">
        <w:rPr>
          <w:rFonts w:eastAsia="Arial"/>
        </w:rPr>
        <w:t>c</w:t>
      </w:r>
      <w:r w:rsidRPr="00AC13E7">
        <w:rPr>
          <w:rFonts w:eastAsia="Arial"/>
        </w:rPr>
        <w:t>loneHD (on SNVs) and Ccube</w:t>
      </w:r>
      <w:r w:rsidR="00793440" w:rsidRPr="00AC13E7">
        <w:rPr>
          <w:rFonts w:eastAsia="Arial"/>
        </w:rPr>
        <w:t xml:space="preserve"> (discussed further)</w:t>
      </w:r>
      <w:r w:rsidRPr="00AC13E7">
        <w:rPr>
          <w:rFonts w:eastAsia="Arial"/>
        </w:rPr>
        <w:t>. Outlier calls are first removed for CNA and SNV methods separately (see filtering below). For each sample</w:t>
      </w:r>
      <w:r w:rsidR="00793440" w:rsidRPr="00AC13E7">
        <w:rPr>
          <w:rFonts w:eastAsia="Arial"/>
        </w:rPr>
        <w:t>,</w:t>
      </w:r>
      <w:r w:rsidRPr="00AC13E7">
        <w:rPr>
          <w:rFonts w:eastAsia="Arial"/>
        </w:rPr>
        <w:t xml:space="preserve"> we establish a density over the combined data. Analogous to taking the mode</w:t>
      </w:r>
      <w:r w:rsidR="00793440" w:rsidRPr="00AC13E7">
        <w:rPr>
          <w:rFonts w:eastAsia="Arial"/>
        </w:rPr>
        <w:t>,</w:t>
      </w:r>
      <w:r w:rsidRPr="00AC13E7">
        <w:rPr>
          <w:rFonts w:eastAsia="Arial"/>
        </w:rPr>
        <w:t xml:space="preserve"> we select the call that is closest to the highest peak in the density as the consensus.</w:t>
      </w:r>
    </w:p>
    <w:p w14:paraId="559483C5" w14:textId="77777777" w:rsidR="00720570" w:rsidRPr="00AC13E7" w:rsidRDefault="00FE3B88" w:rsidP="0057679D">
      <w:pPr>
        <w:jc w:val="both"/>
        <w:rPr>
          <w:rFonts w:eastAsia="Arial"/>
        </w:rPr>
      </w:pPr>
      <w:r w:rsidRPr="00AC13E7">
        <w:rPr>
          <w:rFonts w:eastAsia="Arial"/>
        </w:rPr>
        <w:t xml:space="preserve"> </w:t>
      </w:r>
    </w:p>
    <w:p w14:paraId="3D8FEFBD" w14:textId="39338057" w:rsidR="00720570" w:rsidRPr="00AC13E7" w:rsidRDefault="00FE3B88" w:rsidP="005F3D9C">
      <w:pPr>
        <w:jc w:val="both"/>
        <w:rPr>
          <w:rFonts w:eastAsia="Arial"/>
        </w:rPr>
      </w:pPr>
      <w:r w:rsidRPr="00AC13E7">
        <w:rPr>
          <w:rFonts w:eastAsia="Arial"/>
        </w:rPr>
        <w:t xml:space="preserve">There is a larger discrepancy in purity calls from CNA methods on samples with few copy number alterations. </w:t>
      </w:r>
      <w:r w:rsidR="00443477" w:rsidRPr="00AC13E7">
        <w:rPr>
          <w:rFonts w:eastAsia="Arial"/>
        </w:rPr>
        <w:t xml:space="preserve">For tumours where less than 8% of the genome is altered, we </w:t>
      </w:r>
      <w:r w:rsidRPr="00AC13E7">
        <w:rPr>
          <w:rFonts w:eastAsia="Arial"/>
        </w:rPr>
        <w:t>therefore calculate the density over the calls from SNV based methods onl</w:t>
      </w:r>
      <w:r w:rsidR="00BF762F" w:rsidRPr="00AC13E7">
        <w:rPr>
          <w:rFonts w:eastAsia="Arial"/>
        </w:rPr>
        <w:t>y</w:t>
      </w:r>
      <w:r w:rsidRPr="00AC13E7">
        <w:rPr>
          <w:rFonts w:eastAsia="Arial"/>
        </w:rPr>
        <w:t>.</w:t>
      </w:r>
    </w:p>
    <w:p w14:paraId="55ECF0F6" w14:textId="77777777" w:rsidR="00720570" w:rsidRPr="00AC13E7" w:rsidRDefault="00FE3B88" w:rsidP="0057679D">
      <w:pPr>
        <w:jc w:val="both"/>
        <w:rPr>
          <w:rFonts w:eastAsia="Arial"/>
        </w:rPr>
      </w:pPr>
      <w:r w:rsidRPr="00AC13E7">
        <w:rPr>
          <w:rFonts w:eastAsia="Arial"/>
        </w:rPr>
        <w:t xml:space="preserve"> </w:t>
      </w:r>
    </w:p>
    <w:p w14:paraId="7DE4FC42" w14:textId="77777777" w:rsidR="00720570" w:rsidRPr="00AC13E7" w:rsidRDefault="00FE3B88" w:rsidP="0057679D">
      <w:pPr>
        <w:jc w:val="both"/>
        <w:rPr>
          <w:rFonts w:eastAsia="Arial"/>
        </w:rPr>
      </w:pPr>
      <w:r w:rsidRPr="00AC13E7">
        <w:rPr>
          <w:rFonts w:eastAsia="Arial"/>
        </w:rPr>
        <w:t>Finally, the median absolute deviation is calculated to capture the amount of agreement between the calls and is used as a measure of confidence.</w:t>
      </w:r>
    </w:p>
    <w:p w14:paraId="54AE6996" w14:textId="77777777" w:rsidR="00720570" w:rsidRPr="00AC13E7" w:rsidRDefault="00FE3B88" w:rsidP="0057679D">
      <w:pPr>
        <w:jc w:val="both"/>
        <w:rPr>
          <w:rFonts w:eastAsia="Arial"/>
        </w:rPr>
      </w:pPr>
      <w:r w:rsidRPr="00AC13E7">
        <w:rPr>
          <w:rFonts w:eastAsia="Arial"/>
        </w:rPr>
        <w:t xml:space="preserve"> </w:t>
      </w:r>
    </w:p>
    <w:p w14:paraId="421571D7" w14:textId="77777777" w:rsidR="00720570" w:rsidRPr="00AC13E7" w:rsidRDefault="00FE3B88" w:rsidP="0057679D">
      <w:pPr>
        <w:jc w:val="both"/>
        <w:rPr>
          <w:rFonts w:eastAsia="Arial"/>
          <w:b/>
          <w:sz w:val="28"/>
          <w:szCs w:val="28"/>
        </w:rPr>
      </w:pPr>
      <w:r w:rsidRPr="00AC13E7">
        <w:rPr>
          <w:rFonts w:eastAsia="Arial"/>
          <w:b/>
          <w:sz w:val="28"/>
          <w:szCs w:val="28"/>
        </w:rPr>
        <w:t>Filtering</w:t>
      </w:r>
    </w:p>
    <w:p w14:paraId="4BBD107C" w14:textId="17CF47E6" w:rsidR="00720570" w:rsidRPr="00AC13E7" w:rsidRDefault="00FE3B88" w:rsidP="000428D6">
      <w:pPr>
        <w:jc w:val="both"/>
        <w:rPr>
          <w:rFonts w:eastAsia="Arial"/>
        </w:rPr>
      </w:pPr>
      <w:r w:rsidRPr="00AC13E7">
        <w:rPr>
          <w:rFonts w:eastAsia="Arial"/>
        </w:rPr>
        <w:t>After the expert panel review of ploidy</w:t>
      </w:r>
      <w:r w:rsidR="0081136C" w:rsidRPr="00AC13E7">
        <w:rPr>
          <w:rFonts w:eastAsia="Arial"/>
        </w:rPr>
        <w:t>-</w:t>
      </w:r>
      <w:r w:rsidRPr="00AC13E7">
        <w:rPr>
          <w:rFonts w:eastAsia="Arial"/>
        </w:rPr>
        <w:t>uncertain cases</w:t>
      </w:r>
      <w:r w:rsidR="0081136C" w:rsidRPr="00AC13E7">
        <w:rPr>
          <w:rFonts w:eastAsia="Arial"/>
        </w:rPr>
        <w:t>,</w:t>
      </w:r>
      <w:r w:rsidRPr="00AC13E7">
        <w:rPr>
          <w:rFonts w:eastAsia="Arial"/>
        </w:rPr>
        <w:t xml:space="preserve"> a</w:t>
      </w:r>
      <w:r w:rsidR="00603EF7" w:rsidRPr="00AC13E7">
        <w:rPr>
          <w:rFonts w:eastAsia="Arial"/>
        </w:rPr>
        <w:t xml:space="preserve"> </w:t>
      </w:r>
      <w:r w:rsidRPr="00AC13E7">
        <w:rPr>
          <w:rFonts w:eastAsia="Arial"/>
        </w:rPr>
        <w:t>reference ploidy can be obtained</w:t>
      </w:r>
      <w:r w:rsidR="0081136C" w:rsidRPr="00AC13E7">
        <w:rPr>
          <w:rFonts w:eastAsia="Arial"/>
        </w:rPr>
        <w:t xml:space="preserve"> for almost all samples</w:t>
      </w:r>
      <w:r w:rsidRPr="00AC13E7">
        <w:rPr>
          <w:rFonts w:eastAsia="Arial"/>
        </w:rPr>
        <w:t>. The methods either all agreed on large portions of the genome or certain ploid</w:t>
      </w:r>
      <w:r w:rsidR="00454625" w:rsidRPr="00AC13E7">
        <w:rPr>
          <w:rFonts w:eastAsia="Arial"/>
        </w:rPr>
        <w:t>y estimates</w:t>
      </w:r>
      <w:r w:rsidRPr="00AC13E7">
        <w:rPr>
          <w:rFonts w:eastAsia="Arial"/>
        </w:rPr>
        <w:t xml:space="preserve"> were overruled by the expert panel. We therefore calculated a</w:t>
      </w:r>
      <w:r w:rsidR="000428D6" w:rsidRPr="00AC13E7">
        <w:rPr>
          <w:rFonts w:eastAsia="Arial"/>
        </w:rPr>
        <w:t xml:space="preserve"> </w:t>
      </w:r>
      <w:r w:rsidRPr="00AC13E7">
        <w:rPr>
          <w:rFonts w:eastAsia="Arial"/>
        </w:rPr>
        <w:t>reference ploidy that serves to overrule calls from individual CNA callers. To allow for larger variations on high ploidy profiles we set the threshold at 0.25 times the reference ploidy. If a profile differed by more</w:t>
      </w:r>
      <w:r w:rsidR="0081136C" w:rsidRPr="00AC13E7">
        <w:rPr>
          <w:rFonts w:eastAsia="Arial"/>
        </w:rPr>
        <w:t xml:space="preserve"> than this threshold,</w:t>
      </w:r>
      <w:r w:rsidRPr="00AC13E7">
        <w:rPr>
          <w:rFonts w:eastAsia="Arial"/>
        </w:rPr>
        <w:t xml:space="preserve"> it </w:t>
      </w:r>
      <w:r w:rsidR="0081136C" w:rsidRPr="00AC13E7">
        <w:rPr>
          <w:rFonts w:eastAsia="Arial"/>
        </w:rPr>
        <w:t>wa</w:t>
      </w:r>
      <w:r w:rsidRPr="00AC13E7">
        <w:rPr>
          <w:rFonts w:eastAsia="Arial"/>
        </w:rPr>
        <w:t>s automatically overruled and excluded from the procedure for both copy number and purity.</w:t>
      </w:r>
    </w:p>
    <w:p w14:paraId="2F2E348C" w14:textId="77777777" w:rsidR="00720570" w:rsidRPr="00AC13E7" w:rsidRDefault="00FE3B88" w:rsidP="0057679D">
      <w:pPr>
        <w:jc w:val="both"/>
        <w:rPr>
          <w:rFonts w:eastAsia="Arial"/>
        </w:rPr>
      </w:pPr>
      <w:r w:rsidRPr="00AC13E7">
        <w:rPr>
          <w:rFonts w:eastAsia="Arial"/>
        </w:rPr>
        <w:t xml:space="preserve"> </w:t>
      </w:r>
    </w:p>
    <w:p w14:paraId="1AA2ADFC" w14:textId="205925B4" w:rsidR="00720570" w:rsidRPr="00AC13E7" w:rsidRDefault="00FE3B88" w:rsidP="0057679D">
      <w:pPr>
        <w:jc w:val="both"/>
        <w:rPr>
          <w:rFonts w:eastAsia="Arial"/>
        </w:rPr>
      </w:pPr>
      <w:r w:rsidRPr="00AC13E7">
        <w:rPr>
          <w:rFonts w:eastAsia="Arial"/>
        </w:rPr>
        <w:t xml:space="preserve">Further filtering on the purity calls was performed to remove outliers. A purity call </w:t>
      </w:r>
      <w:r w:rsidR="00A22328" w:rsidRPr="00AC13E7">
        <w:rPr>
          <w:rFonts w:eastAsia="Arial"/>
        </w:rPr>
        <w:t>wa</w:t>
      </w:r>
      <w:r w:rsidRPr="00AC13E7">
        <w:rPr>
          <w:rFonts w:eastAsia="Arial"/>
        </w:rPr>
        <w:t xml:space="preserve">s filtered out if </w:t>
      </w:r>
      <w:r w:rsidR="00A22328" w:rsidRPr="00AC13E7">
        <w:rPr>
          <w:rFonts w:eastAsia="Arial"/>
        </w:rPr>
        <w:t>it differed from</w:t>
      </w:r>
      <w:r w:rsidRPr="00AC13E7">
        <w:rPr>
          <w:rFonts w:eastAsia="Arial"/>
        </w:rPr>
        <w:t xml:space="preserve"> all other non-ploidy-overruled purity calls </w:t>
      </w:r>
      <w:r w:rsidR="00A22328" w:rsidRPr="00AC13E7">
        <w:rPr>
          <w:rFonts w:eastAsia="Arial"/>
        </w:rPr>
        <w:t>by more</w:t>
      </w:r>
      <w:r w:rsidRPr="00AC13E7">
        <w:rPr>
          <w:rFonts w:eastAsia="Arial"/>
        </w:rPr>
        <w:t xml:space="preserve"> than 0.2. This </w:t>
      </w:r>
      <w:r w:rsidR="00A22328" w:rsidRPr="00AC13E7">
        <w:rPr>
          <w:rFonts w:eastAsia="Arial"/>
        </w:rPr>
        <w:t>method wa</w:t>
      </w:r>
      <w:r w:rsidRPr="00AC13E7">
        <w:rPr>
          <w:rFonts w:eastAsia="Arial"/>
        </w:rPr>
        <w:t xml:space="preserve">s </w:t>
      </w:r>
      <w:r w:rsidR="00A22328" w:rsidRPr="00AC13E7">
        <w:rPr>
          <w:rFonts w:eastAsia="Arial"/>
        </w:rPr>
        <w:t xml:space="preserve">applied </w:t>
      </w:r>
      <w:r w:rsidRPr="00AC13E7">
        <w:rPr>
          <w:rFonts w:eastAsia="Arial"/>
        </w:rPr>
        <w:t xml:space="preserve">separately </w:t>
      </w:r>
      <w:r w:rsidR="00A22328" w:rsidRPr="00AC13E7">
        <w:rPr>
          <w:rFonts w:eastAsia="Arial"/>
        </w:rPr>
        <w:t>to</w:t>
      </w:r>
      <w:r w:rsidR="00793440" w:rsidRPr="00AC13E7">
        <w:rPr>
          <w:rFonts w:eastAsia="Arial"/>
        </w:rPr>
        <w:t xml:space="preserve"> SNV-</w:t>
      </w:r>
      <w:r w:rsidRPr="00AC13E7">
        <w:rPr>
          <w:rFonts w:eastAsia="Arial"/>
        </w:rPr>
        <w:t>based purity values.</w:t>
      </w:r>
    </w:p>
    <w:p w14:paraId="6DF96F31" w14:textId="77777777" w:rsidR="00720570" w:rsidRPr="00AC13E7" w:rsidRDefault="00FE3B88" w:rsidP="0057679D">
      <w:pPr>
        <w:jc w:val="both"/>
        <w:rPr>
          <w:rFonts w:eastAsia="Arial"/>
        </w:rPr>
      </w:pPr>
      <w:r w:rsidRPr="00AC13E7">
        <w:rPr>
          <w:rFonts w:eastAsia="Arial"/>
        </w:rPr>
        <w:t xml:space="preserve"> </w:t>
      </w:r>
    </w:p>
    <w:p w14:paraId="438EE240" w14:textId="2770426A" w:rsidR="00720570" w:rsidRPr="00AC13E7" w:rsidRDefault="00FE3B88" w:rsidP="00CA354B">
      <w:pPr>
        <w:jc w:val="both"/>
        <w:rPr>
          <w:rFonts w:eastAsia="Arial"/>
          <w:sz w:val="22"/>
          <w:szCs w:val="22"/>
        </w:rPr>
      </w:pPr>
      <w:r w:rsidRPr="00AC13E7">
        <w:rPr>
          <w:rFonts w:eastAsia="Arial"/>
        </w:rPr>
        <w:t>We also excluded calls on complex regions</w:t>
      </w:r>
      <w:r w:rsidR="007909F2" w:rsidRPr="00AC13E7">
        <w:rPr>
          <w:rFonts w:eastAsia="Arial"/>
        </w:rPr>
        <w:t xml:space="preserve"> by removing segments</w:t>
      </w:r>
      <w:r w:rsidRPr="00AC13E7">
        <w:rPr>
          <w:rFonts w:eastAsia="Arial"/>
        </w:rPr>
        <w:t xml:space="preserve"> </w:t>
      </w:r>
      <w:r w:rsidR="0009281A" w:rsidRPr="00AC13E7">
        <w:rPr>
          <w:rFonts w:eastAsia="Arial"/>
        </w:rPr>
        <w:t xml:space="preserve">that start at the first base of </w:t>
      </w:r>
      <w:r w:rsidR="00BA2516" w:rsidRPr="00AC13E7">
        <w:rPr>
          <w:rFonts w:eastAsia="Arial"/>
        </w:rPr>
        <w:t xml:space="preserve">the acrocentric </w:t>
      </w:r>
      <w:r w:rsidR="0009281A" w:rsidRPr="00AC13E7">
        <w:rPr>
          <w:rFonts w:eastAsia="Arial"/>
        </w:rPr>
        <w:t>chromosomes 13, 14, 15 and 21</w:t>
      </w:r>
      <w:r w:rsidR="00CA354B" w:rsidRPr="00AC13E7">
        <w:rPr>
          <w:rFonts w:eastAsia="Arial"/>
        </w:rPr>
        <w:t>.</w:t>
      </w:r>
    </w:p>
    <w:p w14:paraId="5B8A8FCF" w14:textId="77777777" w:rsidR="00720570" w:rsidRPr="00AC13E7" w:rsidRDefault="00720570">
      <w:pPr>
        <w:rPr>
          <w:rFonts w:eastAsia="Arial"/>
          <w:color w:val="666666"/>
          <w:sz w:val="28"/>
          <w:szCs w:val="28"/>
        </w:rPr>
      </w:pPr>
    </w:p>
    <w:p w14:paraId="7765407D" w14:textId="5585EB0A" w:rsidR="00A32158" w:rsidRPr="00AC13E7" w:rsidRDefault="00AF20C6" w:rsidP="00ED7622">
      <w:pPr>
        <w:pStyle w:val="Heading3"/>
        <w:rPr>
          <w:rFonts w:ascii="Times New Roman" w:hAnsi="Times New Roman" w:cs="Times New Roman"/>
          <w:b w:val="0"/>
          <w:bCs/>
          <w:sz w:val="32"/>
          <w:szCs w:val="32"/>
          <w:lang w:val="en-GB"/>
        </w:rPr>
      </w:pPr>
      <w:bookmarkStart w:id="79" w:name="_Toc391905011"/>
      <w:r w:rsidRPr="00AC13E7">
        <w:rPr>
          <w:rFonts w:ascii="Times New Roman" w:hAnsi="Times New Roman" w:cs="Times New Roman"/>
          <w:b w:val="0"/>
          <w:bCs/>
          <w:sz w:val="32"/>
          <w:szCs w:val="32"/>
          <w:lang w:val="en-GB"/>
        </w:rPr>
        <w:t>1.3.6 Subclonal copy number consensus</w:t>
      </w:r>
      <w:bookmarkEnd w:id="79"/>
    </w:p>
    <w:p w14:paraId="0D96CB48" w14:textId="251F73CD" w:rsidR="00A32158" w:rsidRPr="00AC13E7" w:rsidRDefault="00A32158" w:rsidP="002E3119">
      <w:pPr>
        <w:jc w:val="both"/>
        <w:rPr>
          <w:rFonts w:asciiTheme="majorBidi" w:eastAsia="Times New Roman" w:hAnsiTheme="majorBidi" w:cstheme="majorBidi"/>
          <w:color w:val="000000"/>
        </w:rPr>
      </w:pPr>
      <w:r w:rsidRPr="00AC13E7">
        <w:rPr>
          <w:rFonts w:asciiTheme="majorBidi" w:eastAsia="Times New Roman" w:hAnsiTheme="majorBidi" w:cstheme="majorBidi"/>
          <w:color w:val="000000"/>
        </w:rPr>
        <w:t>Ignaty Leshchiner</w:t>
      </w:r>
      <w:r w:rsidR="0084009D" w:rsidRPr="00AC13E7">
        <w:rPr>
          <w:rFonts w:asciiTheme="majorBidi" w:eastAsia="Times New Roman" w:hAnsiTheme="majorBidi" w:cstheme="majorBidi"/>
          <w:color w:val="000000"/>
        </w:rPr>
        <w:t>, Daniel Rosebrock</w:t>
      </w:r>
    </w:p>
    <w:p w14:paraId="6D014B2A" w14:textId="77777777" w:rsidR="00A32158" w:rsidRPr="00AC13E7" w:rsidRDefault="00A32158" w:rsidP="002E3119">
      <w:pPr>
        <w:jc w:val="both"/>
        <w:rPr>
          <w:rFonts w:asciiTheme="majorBidi" w:eastAsia="Times New Roman" w:hAnsiTheme="majorBidi" w:cstheme="majorBidi"/>
          <w:color w:val="000000"/>
        </w:rPr>
      </w:pPr>
    </w:p>
    <w:p w14:paraId="309F2EB7" w14:textId="21EB625C" w:rsidR="008C2D0B" w:rsidRPr="00AC13E7" w:rsidRDefault="008C2D0B" w:rsidP="002E3119">
      <w:pPr>
        <w:jc w:val="both"/>
        <w:rPr>
          <w:rFonts w:asciiTheme="majorBidi" w:eastAsia="Times New Roman" w:hAnsiTheme="majorBidi" w:cstheme="majorBidi"/>
        </w:rPr>
      </w:pPr>
      <w:r w:rsidRPr="00AC13E7">
        <w:rPr>
          <w:rFonts w:asciiTheme="majorBidi" w:eastAsia="Times New Roman" w:hAnsiTheme="majorBidi" w:cstheme="majorBidi"/>
          <w:color w:val="000000"/>
        </w:rPr>
        <w:t>To produce subclonal consensus copy number</w:t>
      </w:r>
      <w:r w:rsidR="00663781" w:rsidRPr="00AC13E7">
        <w:rPr>
          <w:rFonts w:asciiTheme="majorBidi" w:eastAsia="Times New Roman" w:hAnsiTheme="majorBidi" w:cstheme="majorBidi"/>
          <w:color w:val="000000"/>
        </w:rPr>
        <w:t>,</w:t>
      </w:r>
      <w:r w:rsidRPr="00AC13E7">
        <w:rPr>
          <w:rFonts w:asciiTheme="majorBidi" w:eastAsia="Times New Roman" w:hAnsiTheme="majorBidi" w:cstheme="majorBidi"/>
          <w:color w:val="000000"/>
        </w:rPr>
        <w:t xml:space="preserve"> three callers that had the highest concordance in the subclonal segments were chosen: ABSOLUTE,</w:t>
      </w:r>
      <w:r w:rsidR="009C6DE6" w:rsidRPr="00AC13E7">
        <w:rPr>
          <w:rFonts w:asciiTheme="majorBidi" w:eastAsia="Times New Roman" w:hAnsiTheme="majorBidi" w:cstheme="majorBidi"/>
          <w:color w:val="000000"/>
        </w:rPr>
        <w:t xml:space="preserve"> Battenberg, and Sclust. </w:t>
      </w:r>
      <w:r w:rsidR="00345B9B" w:rsidRPr="00AC13E7">
        <w:rPr>
          <w:rFonts w:asciiTheme="majorBidi" w:eastAsia="Times New Roman" w:hAnsiTheme="majorBidi" w:cstheme="majorBidi"/>
          <w:color w:val="000000"/>
        </w:rPr>
        <w:t>For 3-</w:t>
      </w:r>
      <w:r w:rsidRPr="00AC13E7">
        <w:rPr>
          <w:rFonts w:asciiTheme="majorBidi" w:eastAsia="Times New Roman" w:hAnsiTheme="majorBidi" w:cstheme="majorBidi"/>
          <w:color w:val="000000"/>
        </w:rPr>
        <w:t>star segments, c</w:t>
      </w:r>
      <w:r w:rsidR="009C6DE6" w:rsidRPr="00AC13E7">
        <w:rPr>
          <w:rFonts w:asciiTheme="majorBidi" w:eastAsia="Times New Roman" w:hAnsiTheme="majorBidi" w:cstheme="majorBidi"/>
          <w:color w:val="000000"/>
        </w:rPr>
        <w:t>onsensus copy number was kept. </w:t>
      </w:r>
      <w:r w:rsidRPr="00AC13E7">
        <w:rPr>
          <w:rFonts w:asciiTheme="majorBidi" w:eastAsia="Times New Roman" w:hAnsiTheme="majorBidi" w:cstheme="majorBidi"/>
          <w:color w:val="000000"/>
        </w:rPr>
        <w:t>For 1</w:t>
      </w:r>
      <w:r w:rsidR="002D0542" w:rsidRPr="00AC13E7">
        <w:rPr>
          <w:rFonts w:asciiTheme="majorBidi" w:eastAsia="Times New Roman" w:hAnsiTheme="majorBidi" w:cstheme="majorBidi"/>
          <w:color w:val="000000"/>
        </w:rPr>
        <w:t>- and 2-</w:t>
      </w:r>
      <w:r w:rsidRPr="00AC13E7">
        <w:rPr>
          <w:rFonts w:asciiTheme="majorBidi" w:eastAsia="Times New Roman" w:hAnsiTheme="majorBidi" w:cstheme="majorBidi"/>
          <w:color w:val="000000"/>
        </w:rPr>
        <w:t>star segments, if 2 out of 3 callers agreed on the allelic copy number state, t</w:t>
      </w:r>
      <w:r w:rsidR="009C6DE6" w:rsidRPr="00AC13E7">
        <w:rPr>
          <w:rFonts w:asciiTheme="majorBidi" w:eastAsia="Times New Roman" w:hAnsiTheme="majorBidi" w:cstheme="majorBidi"/>
          <w:color w:val="000000"/>
        </w:rPr>
        <w:t>hen this copy number was used. </w:t>
      </w:r>
      <w:r w:rsidRPr="00AC13E7">
        <w:rPr>
          <w:rFonts w:asciiTheme="majorBidi" w:eastAsia="Times New Roman" w:hAnsiTheme="majorBidi" w:cstheme="majorBidi"/>
          <w:color w:val="000000"/>
        </w:rPr>
        <w:t>If at least 2 callers were in agreement of subclonality of on</w:t>
      </w:r>
      <w:r w:rsidR="00BE7817" w:rsidRPr="00AC13E7">
        <w:rPr>
          <w:rFonts w:asciiTheme="majorBidi" w:eastAsia="Times New Roman" w:hAnsiTheme="majorBidi" w:cstheme="majorBidi"/>
          <w:color w:val="000000"/>
        </w:rPr>
        <w:t>e</w:t>
      </w:r>
      <w:r w:rsidR="00EC2FDA" w:rsidRPr="00AC13E7">
        <w:rPr>
          <w:rFonts w:asciiTheme="majorBidi" w:eastAsia="Times New Roman" w:hAnsiTheme="majorBidi" w:cstheme="majorBidi"/>
          <w:color w:val="000000"/>
        </w:rPr>
        <w:t xml:space="preserve"> allele’</w:t>
      </w:r>
      <w:r w:rsidRPr="00AC13E7">
        <w:rPr>
          <w:rFonts w:asciiTheme="majorBidi" w:eastAsia="Times New Roman" w:hAnsiTheme="majorBidi" w:cstheme="majorBidi"/>
          <w:color w:val="000000"/>
        </w:rPr>
        <w:t>s copy number state, then the se</w:t>
      </w:r>
      <w:r w:rsidR="009C6DE6" w:rsidRPr="00AC13E7">
        <w:rPr>
          <w:rFonts w:asciiTheme="majorBidi" w:eastAsia="Times New Roman" w:hAnsiTheme="majorBidi" w:cstheme="majorBidi"/>
          <w:color w:val="000000"/>
        </w:rPr>
        <w:t>gment was called as subclonal. </w:t>
      </w:r>
      <w:r w:rsidRPr="00AC13E7">
        <w:rPr>
          <w:rFonts w:asciiTheme="majorBidi" w:eastAsia="Times New Roman" w:hAnsiTheme="majorBidi" w:cstheme="majorBidi"/>
          <w:color w:val="000000"/>
        </w:rPr>
        <w:t xml:space="preserve">If ABSOLUTE produced one of the subclonal calls, then the consensus copy number value reported by ABSOLUTE was used (due to its internal Dirichlet Process clustering of states) if downstream merging of copy number segments was required (e.g. </w:t>
      </w:r>
      <w:r w:rsidR="009C6DE6" w:rsidRPr="00AC13E7">
        <w:rPr>
          <w:rFonts w:asciiTheme="majorBidi" w:eastAsia="Times New Roman" w:hAnsiTheme="majorBidi" w:cstheme="majorBidi"/>
          <w:color w:val="000000"/>
        </w:rPr>
        <w:t>for calling arm level events). </w:t>
      </w:r>
      <w:r w:rsidRPr="00AC13E7">
        <w:rPr>
          <w:rFonts w:asciiTheme="majorBidi" w:eastAsia="Times New Roman" w:hAnsiTheme="majorBidi" w:cstheme="majorBidi"/>
          <w:color w:val="000000"/>
        </w:rPr>
        <w:t>Segments for which all callers disagreed on copy number state were called as NA.</w:t>
      </w:r>
    </w:p>
    <w:p w14:paraId="1B4AD488" w14:textId="77777777" w:rsidR="00AF20C6" w:rsidRPr="00AC13E7" w:rsidRDefault="00AF20C6">
      <w:pPr>
        <w:rPr>
          <w:rFonts w:eastAsia="Arial"/>
          <w:color w:val="666666"/>
          <w:sz w:val="28"/>
          <w:szCs w:val="28"/>
        </w:rPr>
      </w:pPr>
    </w:p>
    <w:p w14:paraId="5E29382A" w14:textId="77777777" w:rsidR="009C6DE6" w:rsidRPr="00AC13E7" w:rsidRDefault="009C6DE6">
      <w:pPr>
        <w:rPr>
          <w:rFonts w:eastAsia="Arial"/>
          <w:color w:val="666666"/>
          <w:sz w:val="28"/>
          <w:szCs w:val="28"/>
        </w:rPr>
      </w:pPr>
    </w:p>
    <w:p w14:paraId="6DBBDAE1" w14:textId="50CDAFC0" w:rsidR="00720570" w:rsidRPr="00AC13E7" w:rsidRDefault="00FE3B88">
      <w:pPr>
        <w:pStyle w:val="Heading2"/>
        <w:rPr>
          <w:rFonts w:ascii="Times New Roman" w:hAnsi="Times New Roman" w:cs="Times New Roman"/>
          <w:lang w:val="en-GB"/>
        </w:rPr>
      </w:pPr>
      <w:bookmarkStart w:id="80" w:name="_sm6e07q6mu45" w:colFirst="0" w:colLast="0"/>
      <w:bookmarkStart w:id="81" w:name="_Toc499569270"/>
      <w:bookmarkStart w:id="82" w:name="_Toc499571731"/>
      <w:bookmarkStart w:id="83" w:name="_Toc391905012"/>
      <w:bookmarkEnd w:id="80"/>
      <w:r w:rsidRPr="00AC13E7">
        <w:rPr>
          <w:rFonts w:ascii="Times New Roman" w:hAnsi="Times New Roman" w:cs="Times New Roman"/>
          <w:lang w:val="en-GB"/>
        </w:rPr>
        <w:t>1.4 Validation</w:t>
      </w:r>
      <w:bookmarkEnd w:id="81"/>
      <w:bookmarkEnd w:id="82"/>
      <w:bookmarkEnd w:id="83"/>
    </w:p>
    <w:p w14:paraId="7957534D" w14:textId="434FAF2E" w:rsidR="00F20D05" w:rsidRPr="00AC13E7" w:rsidRDefault="00D7492F" w:rsidP="00ED7622">
      <w:pPr>
        <w:pStyle w:val="Heading3"/>
        <w:rPr>
          <w:rFonts w:ascii="Times New Roman" w:hAnsi="Times New Roman" w:cs="Times New Roman"/>
          <w:b w:val="0"/>
          <w:bCs/>
          <w:sz w:val="32"/>
          <w:szCs w:val="32"/>
          <w:lang w:val="en-GB"/>
        </w:rPr>
      </w:pPr>
      <w:bookmarkStart w:id="84" w:name="_Toc499571732"/>
      <w:bookmarkStart w:id="85" w:name="_Toc391905013"/>
      <w:r w:rsidRPr="00AC13E7">
        <w:rPr>
          <w:rFonts w:ascii="Times New Roman" w:hAnsi="Times New Roman" w:cs="Times New Roman"/>
          <w:b w:val="0"/>
          <w:bCs/>
          <w:sz w:val="32"/>
          <w:szCs w:val="32"/>
          <w:lang w:val="en-GB"/>
        </w:rPr>
        <w:t>1.4.1 Comparison of purity against TCGA</w:t>
      </w:r>
      <w:bookmarkEnd w:id="84"/>
      <w:bookmarkEnd w:id="85"/>
      <w:r w:rsidRPr="00AC13E7">
        <w:rPr>
          <w:rFonts w:ascii="Times New Roman" w:hAnsi="Times New Roman" w:cs="Times New Roman"/>
          <w:b w:val="0"/>
          <w:bCs/>
          <w:sz w:val="32"/>
          <w:szCs w:val="32"/>
          <w:lang w:val="en-GB"/>
        </w:rPr>
        <w:t xml:space="preserve"> </w:t>
      </w:r>
    </w:p>
    <w:p w14:paraId="12A372FE" w14:textId="63B151E6" w:rsidR="00EC4541" w:rsidRPr="00AC13E7" w:rsidRDefault="00EC4541" w:rsidP="00CD3FC7">
      <w:pPr>
        <w:jc w:val="both"/>
        <w:rPr>
          <w:rFonts w:eastAsia="Arial"/>
        </w:rPr>
      </w:pPr>
      <w:r w:rsidRPr="00AC13E7">
        <w:rPr>
          <w:rFonts w:eastAsia="Arial"/>
        </w:rPr>
        <w:t>Kerstin Haase</w:t>
      </w:r>
    </w:p>
    <w:p w14:paraId="237F3F6F" w14:textId="77777777" w:rsidR="00EC4541" w:rsidRPr="00AC13E7" w:rsidRDefault="00EC4541" w:rsidP="00CD3FC7">
      <w:pPr>
        <w:jc w:val="both"/>
        <w:rPr>
          <w:rFonts w:eastAsia="Arial"/>
        </w:rPr>
      </w:pPr>
    </w:p>
    <w:p w14:paraId="0D1C75EE" w14:textId="4DD167BC" w:rsidR="00D05EAE" w:rsidRPr="00AC13E7" w:rsidRDefault="00D05EAE" w:rsidP="00D86E26">
      <w:pPr>
        <w:jc w:val="both"/>
        <w:rPr>
          <w:rFonts w:eastAsia="Arial"/>
        </w:rPr>
      </w:pPr>
      <w:r w:rsidRPr="00AC13E7">
        <w:rPr>
          <w:rFonts w:eastAsia="Arial"/>
        </w:rPr>
        <w:t>As a means to validate our consensus inferred purity values, we compared them to the published purities from Aran et al. (2015)</w:t>
      </w:r>
      <w:r w:rsidRPr="00AC13E7">
        <w:rPr>
          <w:rFonts w:eastAsia="Arial"/>
        </w:rPr>
        <w:fldChar w:fldCharType="begin"/>
      </w:r>
      <w:r w:rsidR="00D86E26">
        <w:rPr>
          <w:rFonts w:eastAsia="Arial"/>
        </w:rPr>
        <w:instrText xml:space="preserve"> ADDIN EN.CITE &lt;EndNote&gt;&lt;Cite&gt;&lt;Author&gt;Aran&lt;/Author&gt;&lt;Year&gt;2015&lt;/Year&gt;&lt;RecNum&gt;46&lt;/RecNum&gt;&lt;DisplayText&gt;&lt;style face="superscript"&gt;21&lt;/style&gt;&lt;/DisplayText&gt;&lt;record&gt;&lt;rec-number&gt;46&lt;/rec-number&gt;&lt;foreign-keys&gt;&lt;key app="EN" db-id="swsz0f55g50w9yex0aqvtfdxarrpzt5z00pd" timestamp="1511279355"&gt;46&lt;/key&gt;&lt;/foreign-keys&gt;&lt;ref-type name="Journal Article"&gt;17&lt;/ref-type&gt;&lt;contributors&gt;&lt;authors&gt;&lt;author&gt;Aran, D.&lt;/author&gt;&lt;author&gt;Sirota, M.&lt;/author&gt;&lt;author&gt;Butte, A. J.&lt;/author&gt;&lt;/authors&gt;&lt;/contributors&gt;&lt;auth-address&gt;Institute for Computational Health Sciences, University of California, San Francisco, California 94158, USA.&amp;#xD;Division of System Medicine, Department of Pediatrics, Stanford University, Stanford, California 94305, USA.&lt;/auth-address&gt;&lt;titles&gt;&lt;title&gt;Systematic pan-cancer analysis of tumour purity&lt;/title&gt;&lt;secondary-title&gt;Nat Commun&lt;/secondary-title&gt;&lt;/titles&gt;&lt;periodical&gt;&lt;full-title&gt;Nat Commun&lt;/full-title&gt;&lt;/periodical&gt;&lt;pages&gt;8971&lt;/pages&gt;&lt;volume&gt;6&lt;/volume&gt;&lt;keywords&gt;&lt;keyword&gt;Gene Expression Profiling&lt;/keyword&gt;&lt;keyword&gt;Humans&lt;/keyword&gt;&lt;keyword&gt;Neoplasms/genetics/metabolism/*physiopathology&lt;/keyword&gt;&lt;keyword&gt;*Tumor Microenvironment&lt;/keyword&gt;&lt;/keywords&gt;&lt;dates&gt;&lt;year&gt;2015&lt;/year&gt;&lt;pub-dates&gt;&lt;date&gt;Dec 04&lt;/date&gt;&lt;/pub-dates&gt;&lt;/dates&gt;&lt;isbn&gt;2041-1723 (Electronic)&amp;#xD;2041-1723 (Linking)&lt;/isbn&gt;&lt;accession-num&gt;26634437&lt;/accession-num&gt;&lt;urls&gt;&lt;related-urls&gt;&lt;url&gt;https://www.ncbi.nlm.nih.gov/pubmed/26634437&lt;/url&gt;&lt;/related-urls&gt;&lt;/urls&gt;&lt;custom2&gt;PMC4671203&lt;/custom2&gt;&lt;electronic-resource-num&gt;10.1038/ncomms9971&lt;/electronic-resource-num&gt;&lt;/record&gt;&lt;/Cite&gt;&lt;/EndNote&gt;</w:instrText>
      </w:r>
      <w:r w:rsidRPr="00AC13E7">
        <w:rPr>
          <w:rFonts w:eastAsia="Arial"/>
        </w:rPr>
        <w:fldChar w:fldCharType="separate"/>
      </w:r>
      <w:r w:rsidR="00D86E26" w:rsidRPr="00D86E26">
        <w:rPr>
          <w:rFonts w:eastAsia="Arial"/>
          <w:noProof/>
          <w:vertAlign w:val="superscript"/>
        </w:rPr>
        <w:t>21</w:t>
      </w:r>
      <w:r w:rsidRPr="00AC13E7">
        <w:rPr>
          <w:rFonts w:eastAsia="Arial"/>
        </w:rPr>
        <w:fldChar w:fldCharType="end"/>
      </w:r>
      <w:r w:rsidRPr="00AC13E7">
        <w:rPr>
          <w:rFonts w:eastAsia="Arial"/>
        </w:rPr>
        <w:t xml:space="preserve">. The authors provide consensus purities for 9,364 samples across 21 cancer types from the TCGA cohort. They analysed the samples with four orthogonal methods and have integrated them into a consensus. The different utilised approaches </w:t>
      </w:r>
      <w:r w:rsidR="00247A3C" w:rsidRPr="00AC13E7">
        <w:rPr>
          <w:rFonts w:eastAsia="Arial"/>
        </w:rPr>
        <w:t>include expression profiles of a panel of immune and stromal genes</w:t>
      </w:r>
      <w:r w:rsidR="00A40378" w:rsidRPr="00AC13E7">
        <w:rPr>
          <w:rFonts w:eastAsia="Arial"/>
        </w:rPr>
        <w:t xml:space="preserve"> (ESTIMATE)</w:t>
      </w:r>
      <w:r w:rsidR="00247A3C" w:rsidRPr="00AC13E7">
        <w:rPr>
          <w:rFonts w:eastAsia="Arial"/>
        </w:rPr>
        <w:t xml:space="preserve">, somatic copy number data </w:t>
      </w:r>
      <w:r w:rsidR="00A40378" w:rsidRPr="00AC13E7">
        <w:rPr>
          <w:rFonts w:eastAsia="Arial"/>
        </w:rPr>
        <w:t>(ABSOLUTE)</w:t>
      </w:r>
      <w:r w:rsidR="00247A3C" w:rsidRPr="00AC13E7">
        <w:rPr>
          <w:rFonts w:eastAsia="Arial"/>
        </w:rPr>
        <w:t xml:space="preserve">, leukocyte unmethylation </w:t>
      </w:r>
      <w:r w:rsidR="00A40378" w:rsidRPr="00AC13E7">
        <w:rPr>
          <w:rFonts w:eastAsia="Arial"/>
        </w:rPr>
        <w:t xml:space="preserve">(LUMP) </w:t>
      </w:r>
      <w:r w:rsidR="00247A3C" w:rsidRPr="00AC13E7">
        <w:rPr>
          <w:rFonts w:eastAsia="Arial"/>
        </w:rPr>
        <w:t>and image analysis by heaematoxylin and eosin staining</w:t>
      </w:r>
      <w:r w:rsidR="00A40378" w:rsidRPr="00AC13E7">
        <w:rPr>
          <w:rFonts w:eastAsia="Arial"/>
        </w:rPr>
        <w:t xml:space="preserve"> (</w:t>
      </w:r>
      <w:r w:rsidR="00633E9B" w:rsidRPr="00AC13E7">
        <w:rPr>
          <w:rFonts w:eastAsia="Arial"/>
        </w:rPr>
        <w:t>H&amp;E staining</w:t>
      </w:r>
      <w:r w:rsidR="00A40378" w:rsidRPr="00AC13E7">
        <w:rPr>
          <w:rFonts w:eastAsia="Arial"/>
        </w:rPr>
        <w:t>)</w:t>
      </w:r>
      <w:r w:rsidR="00247A3C" w:rsidRPr="00AC13E7">
        <w:rPr>
          <w:rFonts w:eastAsia="Arial"/>
        </w:rPr>
        <w:t>.</w:t>
      </w:r>
      <w:r w:rsidR="00A40378" w:rsidRPr="00AC13E7">
        <w:rPr>
          <w:rFonts w:eastAsia="Arial"/>
        </w:rPr>
        <w:t xml:space="preserve"> Consensus purity is determined by normalising all methods to give them equal means and standard deviations (CPE).</w:t>
      </w:r>
    </w:p>
    <w:p w14:paraId="6EA1569B" w14:textId="0AF8C765" w:rsidR="00BF0993" w:rsidRPr="00AC13E7" w:rsidRDefault="00BF0993" w:rsidP="008B6240">
      <w:pPr>
        <w:jc w:val="both"/>
        <w:rPr>
          <w:rFonts w:eastAsia="Arial"/>
        </w:rPr>
      </w:pPr>
      <w:r w:rsidRPr="00AC13E7">
        <w:rPr>
          <w:rFonts w:eastAsia="Arial"/>
        </w:rPr>
        <w:t>Even though the methods applied by Aran et al. are quite different to our consensus approach using WGS, our consensus has a high correlation with the one reported by them (R=0.76) (</w:t>
      </w:r>
      <w:r w:rsidRPr="00AC13E7">
        <w:rPr>
          <w:rFonts w:eastAsia="Arial"/>
          <w:b/>
        </w:rPr>
        <w:t>Supp. Fig. 1</w:t>
      </w:r>
      <w:r w:rsidRPr="00AC13E7">
        <w:rPr>
          <w:rFonts w:eastAsia="Arial"/>
        </w:rPr>
        <w:t>).</w:t>
      </w:r>
    </w:p>
    <w:p w14:paraId="151C88B7" w14:textId="77777777" w:rsidR="00247A3C" w:rsidRPr="00AC13E7" w:rsidRDefault="00247A3C" w:rsidP="00D05EAE">
      <w:pPr>
        <w:rPr>
          <w:rFonts w:eastAsia="Arial"/>
        </w:rPr>
      </w:pPr>
    </w:p>
    <w:p w14:paraId="09AAE843" w14:textId="77777777" w:rsidR="00D7492F" w:rsidRPr="00AC13E7" w:rsidRDefault="00D7492F">
      <w:pPr>
        <w:rPr>
          <w:rFonts w:eastAsia="Arial"/>
        </w:rPr>
      </w:pPr>
    </w:p>
    <w:p w14:paraId="13725E7F" w14:textId="77777777" w:rsidR="000A1014" w:rsidRPr="00AC13E7" w:rsidRDefault="000A1014" w:rsidP="008C443D">
      <w:pPr>
        <w:rPr>
          <w:rFonts w:eastAsia="Times"/>
          <w:b/>
          <w:color w:val="000000"/>
          <w:sz w:val="48"/>
          <w:szCs w:val="48"/>
        </w:rPr>
      </w:pPr>
      <w:bookmarkStart w:id="86" w:name="_6ph8f1puvm77" w:colFirst="0" w:colLast="0"/>
      <w:bookmarkEnd w:id="86"/>
    </w:p>
    <w:p w14:paraId="3FF59DD1" w14:textId="77777777" w:rsidR="00247514" w:rsidRDefault="00247514">
      <w:pPr>
        <w:rPr>
          <w:rFonts w:eastAsia="Times"/>
          <w:b/>
          <w:color w:val="000000"/>
          <w:sz w:val="48"/>
          <w:szCs w:val="48"/>
        </w:rPr>
      </w:pPr>
      <w:bookmarkStart w:id="87" w:name="_Toc499569271"/>
      <w:bookmarkStart w:id="88" w:name="_Toc499571734"/>
      <w:r>
        <w:br w:type="page"/>
      </w:r>
    </w:p>
    <w:p w14:paraId="50953D73" w14:textId="4D3D33B6" w:rsidR="00720570" w:rsidRPr="00AC13E7" w:rsidRDefault="00FE3B88" w:rsidP="00EF2AF9">
      <w:pPr>
        <w:pStyle w:val="Heading1"/>
        <w:spacing w:before="360" w:after="120" w:line="276" w:lineRule="auto"/>
        <w:rPr>
          <w:rFonts w:ascii="Times New Roman" w:hAnsi="Times New Roman" w:cs="Times New Roman"/>
          <w:lang w:val="en-GB"/>
        </w:rPr>
      </w:pPr>
      <w:bookmarkStart w:id="89" w:name="_Toc391905014"/>
      <w:r w:rsidRPr="00AC13E7">
        <w:rPr>
          <w:rFonts w:ascii="Times New Roman" w:hAnsi="Times New Roman" w:cs="Times New Roman"/>
          <w:lang w:val="en-GB"/>
        </w:rPr>
        <w:lastRenderedPageBreak/>
        <w:t>2. Subclonal architecture methods</w:t>
      </w:r>
      <w:bookmarkEnd w:id="87"/>
      <w:bookmarkEnd w:id="88"/>
      <w:bookmarkEnd w:id="89"/>
    </w:p>
    <w:p w14:paraId="08633328" w14:textId="2750604F" w:rsidR="00720570" w:rsidRPr="00AC13E7" w:rsidRDefault="00FE3B88">
      <w:pPr>
        <w:pStyle w:val="Heading2"/>
        <w:rPr>
          <w:rFonts w:ascii="Times New Roman" w:hAnsi="Times New Roman" w:cs="Times New Roman"/>
          <w:lang w:val="en-GB"/>
        </w:rPr>
      </w:pPr>
      <w:bookmarkStart w:id="90" w:name="_2podypgdhlie" w:colFirst="0" w:colLast="0"/>
      <w:bookmarkStart w:id="91" w:name="_Toc499569272"/>
      <w:bookmarkStart w:id="92" w:name="_Toc499571735"/>
      <w:bookmarkStart w:id="93" w:name="_Ref379456249"/>
      <w:bookmarkStart w:id="94" w:name="_Ref386728393"/>
      <w:bookmarkStart w:id="95" w:name="_Ref386728421"/>
      <w:bookmarkStart w:id="96" w:name="_Toc391905015"/>
      <w:bookmarkEnd w:id="90"/>
      <w:r w:rsidRPr="00AC13E7">
        <w:rPr>
          <w:rFonts w:ascii="Times New Roman" w:hAnsi="Times New Roman" w:cs="Times New Roman"/>
          <w:lang w:val="en-GB"/>
        </w:rPr>
        <w:t>2.1 Description of reconstruction methods</w:t>
      </w:r>
      <w:bookmarkEnd w:id="91"/>
      <w:bookmarkEnd w:id="92"/>
      <w:bookmarkEnd w:id="93"/>
      <w:bookmarkEnd w:id="94"/>
      <w:bookmarkEnd w:id="95"/>
      <w:bookmarkEnd w:id="96"/>
      <w:r w:rsidRPr="00AC13E7">
        <w:rPr>
          <w:rFonts w:ascii="Times New Roman" w:hAnsi="Times New Roman" w:cs="Times New Roman"/>
          <w:lang w:val="en-GB"/>
        </w:rPr>
        <w:t xml:space="preserve"> </w:t>
      </w:r>
    </w:p>
    <w:p w14:paraId="29F63FA8" w14:textId="77777777" w:rsidR="003F3587" w:rsidRPr="00AC13E7" w:rsidRDefault="003F3587" w:rsidP="003F3587">
      <w:pPr>
        <w:rPr>
          <w:b/>
        </w:rPr>
      </w:pPr>
    </w:p>
    <w:p w14:paraId="5BE8E0D7" w14:textId="73C23558" w:rsidR="00774328" w:rsidRPr="00AC13E7" w:rsidRDefault="00B467F2" w:rsidP="00AC36B1">
      <w:pPr>
        <w:pStyle w:val="Heading3"/>
        <w:rPr>
          <w:rFonts w:ascii="Times New Roman" w:hAnsi="Times New Roman" w:cs="Times New Roman"/>
          <w:b w:val="0"/>
          <w:bCs/>
          <w:sz w:val="32"/>
          <w:szCs w:val="32"/>
          <w:lang w:val="en-GB"/>
        </w:rPr>
      </w:pPr>
      <w:bookmarkStart w:id="97" w:name="_Toc499571736"/>
      <w:bookmarkStart w:id="98" w:name="_Toc391905016"/>
      <w:r w:rsidRPr="00AC13E7">
        <w:rPr>
          <w:rFonts w:ascii="Times New Roman" w:hAnsi="Times New Roman" w:cs="Times New Roman"/>
          <w:b w:val="0"/>
          <w:bCs/>
          <w:sz w:val="32"/>
          <w:szCs w:val="32"/>
          <w:lang w:val="en-GB"/>
        </w:rPr>
        <w:t>2.1.1 BayC</w:t>
      </w:r>
      <w:r w:rsidR="003F3587" w:rsidRPr="00AC13E7">
        <w:rPr>
          <w:rFonts w:ascii="Times New Roman" w:hAnsi="Times New Roman" w:cs="Times New Roman"/>
          <w:b w:val="0"/>
          <w:bCs/>
          <w:sz w:val="32"/>
          <w:szCs w:val="32"/>
          <w:lang w:val="en-GB"/>
        </w:rPr>
        <w:t>lone</w:t>
      </w:r>
      <w:r w:rsidRPr="00AC13E7">
        <w:rPr>
          <w:rFonts w:ascii="Times New Roman" w:hAnsi="Times New Roman" w:cs="Times New Roman"/>
          <w:b w:val="0"/>
          <w:bCs/>
          <w:sz w:val="32"/>
          <w:szCs w:val="32"/>
          <w:lang w:val="en-GB"/>
        </w:rPr>
        <w:t>-C</w:t>
      </w:r>
      <w:bookmarkEnd w:id="97"/>
      <w:bookmarkEnd w:id="98"/>
    </w:p>
    <w:p w14:paraId="6D3EDB2C" w14:textId="77777777" w:rsidR="00017A8F" w:rsidRPr="00AC13E7" w:rsidRDefault="00017A8F" w:rsidP="00017A8F">
      <w:pPr>
        <w:spacing w:after="240"/>
        <w:jc w:val="both"/>
        <w:rPr>
          <w:color w:val="000000"/>
        </w:rPr>
      </w:pPr>
      <w:r w:rsidRPr="00AC13E7">
        <w:rPr>
          <w:color w:val="000000"/>
        </w:rPr>
        <w:t>Subhajit Sengupta, Juhee Lee, Yuan Ji</w:t>
      </w:r>
    </w:p>
    <w:p w14:paraId="0999947C" w14:textId="59926872" w:rsidR="00774328" w:rsidRPr="00AC13E7" w:rsidRDefault="00774328" w:rsidP="00625ACA">
      <w:pPr>
        <w:spacing w:after="240"/>
        <w:jc w:val="both"/>
        <w:rPr>
          <w:color w:val="000000"/>
        </w:rPr>
      </w:pPr>
      <w:r w:rsidRPr="00AC13E7">
        <w:rPr>
          <w:color w:val="000000"/>
        </w:rPr>
        <w:t>BayClone-C</w:t>
      </w:r>
      <w:r w:rsidR="00E27E9A" w:rsidRPr="00AC13E7">
        <w:rPr>
          <w:color w:val="000000"/>
        </w:rPr>
        <w:t xml:space="preserve"> is</w:t>
      </w:r>
      <w:r w:rsidR="00B02A55" w:rsidRPr="00AC13E7">
        <w:rPr>
          <w:color w:val="000000"/>
        </w:rPr>
        <w:t xml:space="preserve"> </w:t>
      </w:r>
      <w:r w:rsidRPr="00AC13E7">
        <w:rPr>
          <w:color w:val="000000"/>
        </w:rPr>
        <w:t>an ultra-fast method to estimate the cancer cell fraction (CCF) for each single nucleotide variant (SNV) and group SNVs into clonal or subclonal cluster</w:t>
      </w:r>
      <w:r w:rsidR="00104EE1" w:rsidRPr="00AC13E7">
        <w:rPr>
          <w:color w:val="000000"/>
        </w:rPr>
        <w:t>s</w:t>
      </w:r>
      <w:r w:rsidRPr="00AC13E7">
        <w:rPr>
          <w:color w:val="000000"/>
        </w:rPr>
        <w:t xml:space="preserve"> with different CCF values. </w:t>
      </w:r>
    </w:p>
    <w:p w14:paraId="388F4641" w14:textId="77777777" w:rsidR="00F718E9" w:rsidRPr="00AC13E7" w:rsidRDefault="00774328" w:rsidP="00F718E9">
      <w:pPr>
        <w:spacing w:after="240"/>
        <w:jc w:val="both"/>
        <w:rPr>
          <w:b/>
          <w:bCs/>
          <w:color w:val="000000"/>
        </w:rPr>
      </w:pPr>
      <w:r w:rsidRPr="00AC13E7">
        <w:rPr>
          <w:b/>
          <w:bCs/>
          <w:color w:val="000000"/>
        </w:rPr>
        <w:t>Preprocessing</w:t>
      </w:r>
    </w:p>
    <w:p w14:paraId="63E21104" w14:textId="5AFCE2DF" w:rsidR="00774328" w:rsidRPr="00AC13E7" w:rsidRDefault="00E2158B" w:rsidP="00F718E9">
      <w:pPr>
        <w:spacing w:after="240"/>
        <w:jc w:val="both"/>
        <w:rPr>
          <w:b/>
          <w:bCs/>
          <w:color w:val="000000"/>
        </w:rPr>
      </w:pPr>
      <w:r w:rsidRPr="00AC13E7">
        <w:rPr>
          <w:color w:val="000000"/>
        </w:rPr>
        <w:t xml:space="preserve">Using </w:t>
      </w:r>
      <w:r w:rsidR="008E531F" w:rsidRPr="00AC13E7">
        <w:rPr>
          <w:color w:val="000000"/>
        </w:rPr>
        <w:t xml:space="preserve">the </w:t>
      </w:r>
      <w:r w:rsidRPr="00AC13E7">
        <w:rPr>
          <w:color w:val="000000"/>
        </w:rPr>
        <w:t xml:space="preserve">consensus </w:t>
      </w:r>
      <w:r w:rsidR="008E531F" w:rsidRPr="00AC13E7">
        <w:rPr>
          <w:color w:val="000000"/>
        </w:rPr>
        <w:t xml:space="preserve">tumour purity </w:t>
      </w:r>
      <w:r w:rsidR="00585631" w:rsidRPr="00AC13E7">
        <w:rPr>
          <w:color w:val="000000"/>
        </w:rPr>
        <w:t>(</w:t>
      </w:r>
      <m:oMath>
        <m:r>
          <w:rPr>
            <w:rFonts w:ascii="Cambria Math" w:hAnsi="Cambria Math"/>
            <w:color w:val="000000"/>
          </w:rPr>
          <m:t>ρ</m:t>
        </m:r>
      </m:oMath>
      <w:r w:rsidR="00585631" w:rsidRPr="00AC13E7">
        <w:rPr>
          <w:color w:val="000000"/>
        </w:rPr>
        <w:t>)</w:t>
      </w:r>
      <w:r w:rsidRPr="00AC13E7">
        <w:rPr>
          <w:color w:val="000000"/>
        </w:rPr>
        <w:t xml:space="preserve">, </w:t>
      </w:r>
      <w:r w:rsidR="008E531F" w:rsidRPr="00AC13E7">
        <w:rPr>
          <w:color w:val="000000"/>
        </w:rPr>
        <w:t xml:space="preserve">the </w:t>
      </w:r>
      <w:r w:rsidRPr="00AC13E7">
        <w:rPr>
          <w:color w:val="000000"/>
        </w:rPr>
        <w:t>consensus copy number calls and total and variant read counts for each single nucleotide variant (SNV), the algorithm estimates multiplicity and cancer cell fraction (CCF) for each SNV.</w:t>
      </w:r>
      <w:r w:rsidRPr="00AC13E7" w:rsidDel="00E2158B">
        <w:rPr>
          <w:color w:val="000000"/>
        </w:rPr>
        <w:t xml:space="preserve"> </w:t>
      </w:r>
      <w:r w:rsidR="00774328" w:rsidRPr="00AC13E7">
        <w:rPr>
          <w:color w:val="000000"/>
        </w:rPr>
        <w:t xml:space="preserve">Variant allele frequency (VAF) of SNV </w:t>
      </w:r>
      <w:r w:rsidR="00774328" w:rsidRPr="00AC13E7">
        <w:rPr>
          <w:i/>
          <w:iCs/>
          <w:color w:val="000000"/>
        </w:rPr>
        <w:t>s</w:t>
      </w:r>
      <w:r w:rsidR="00774328" w:rsidRPr="00AC13E7">
        <w:rPr>
          <w:color w:val="000000"/>
        </w:rPr>
        <w:t xml:space="preserve"> is given by the ratio </w:t>
      </w:r>
      <w:r w:rsidR="00EB17E1" w:rsidRPr="00AC13E7">
        <w:rPr>
          <w:i/>
          <w:iCs/>
          <w:color w:val="000000"/>
        </w:rPr>
        <w:t>n</w:t>
      </w:r>
      <w:r w:rsidR="00EB17E1" w:rsidRPr="00AC13E7">
        <w:rPr>
          <w:i/>
          <w:iCs/>
          <w:color w:val="000000"/>
          <w:vertAlign w:val="subscript"/>
        </w:rPr>
        <w:t>s</w:t>
      </w:r>
      <w:r w:rsidR="00EB17E1" w:rsidRPr="00AC13E7">
        <w:rPr>
          <w:i/>
          <w:iCs/>
          <w:color w:val="000000"/>
        </w:rPr>
        <w:t>/N</w:t>
      </w:r>
      <w:r w:rsidR="00EB17E1" w:rsidRPr="00AC13E7">
        <w:rPr>
          <w:i/>
          <w:iCs/>
          <w:color w:val="000000"/>
          <w:vertAlign w:val="subscript"/>
        </w:rPr>
        <w:t>s</w:t>
      </w:r>
      <w:r w:rsidR="00774328" w:rsidRPr="00AC13E7">
        <w:rPr>
          <w:color w:val="000000"/>
        </w:rPr>
        <w:t xml:space="preserve"> where </w:t>
      </w:r>
      <w:r w:rsidR="00774328" w:rsidRPr="00AC13E7">
        <w:rPr>
          <w:i/>
          <w:iCs/>
          <w:color w:val="000000"/>
        </w:rPr>
        <w:t>N</w:t>
      </w:r>
      <w:r w:rsidR="00B00982" w:rsidRPr="00AC13E7">
        <w:rPr>
          <w:i/>
          <w:iCs/>
          <w:color w:val="000000"/>
          <w:vertAlign w:val="subscript"/>
        </w:rPr>
        <w:t>s</w:t>
      </w:r>
      <w:r w:rsidR="00774328" w:rsidRPr="00AC13E7">
        <w:rPr>
          <w:color w:val="000000"/>
        </w:rPr>
        <w:t xml:space="preserve"> is </w:t>
      </w:r>
      <w:r w:rsidR="009432AD" w:rsidRPr="00AC13E7">
        <w:rPr>
          <w:color w:val="000000"/>
        </w:rPr>
        <w:t xml:space="preserve">the total number of reads and </w:t>
      </w:r>
      <w:r w:rsidR="009432AD" w:rsidRPr="00AC13E7">
        <w:rPr>
          <w:i/>
          <w:color w:val="000000"/>
        </w:rPr>
        <w:t>n</w:t>
      </w:r>
      <w:r w:rsidR="009432AD" w:rsidRPr="00AC13E7">
        <w:rPr>
          <w:i/>
          <w:color w:val="000000"/>
          <w:vertAlign w:val="subscript"/>
        </w:rPr>
        <w:t>s</w:t>
      </w:r>
      <w:r w:rsidR="00774328" w:rsidRPr="00AC13E7">
        <w:rPr>
          <w:color w:val="000000"/>
        </w:rPr>
        <w:t xml:space="preserve"> is the number of reads with variant sequence. We assume </w:t>
      </w:r>
    </w:p>
    <w:p w14:paraId="72B3BA97" w14:textId="4FF5A96E" w:rsidR="00774328" w:rsidRPr="00AC13E7" w:rsidRDefault="009E4E2B" w:rsidP="00CF1542">
      <w:pPr>
        <w:jc w:val="center"/>
        <w:rPr>
          <w:color w:val="000000"/>
        </w:rPr>
      </w:pPr>
      <w:r w:rsidRPr="00AC13E7">
        <w:rPr>
          <w:color w:val="000000"/>
        </w:rPr>
        <w:t>VAF</w:t>
      </w:r>
      <w:r w:rsidRPr="00AC13E7">
        <w:rPr>
          <w:color w:val="000000"/>
          <w:vertAlign w:val="subscript"/>
        </w:rPr>
        <w:t>s</w:t>
      </w:r>
      <w:r w:rsidR="00774328" w:rsidRPr="00AC13E7">
        <w:rPr>
          <w:color w:val="000000"/>
        </w:rPr>
        <w:t>=</w:t>
      </w:r>
      <m:oMath>
        <m:f>
          <m:fPr>
            <m:ctrlPr>
              <w:rPr>
                <w:rFonts w:ascii="Cambria Math" w:hAnsi="Cambria Math"/>
                <w:color w:val="000000"/>
              </w:rPr>
            </m:ctrlPr>
          </m:fPr>
          <m:num>
            <m:sSubSup>
              <m:sSubSupPr>
                <m:ctrlPr>
                  <w:rPr>
                    <w:rFonts w:ascii="Cambria Math" w:hAnsi="Cambria Math"/>
                    <w:color w:val="000000"/>
                  </w:rPr>
                </m:ctrlPr>
              </m:sSubSupPr>
              <m:e>
                <m:r>
                  <w:rPr>
                    <w:rFonts w:ascii="Cambria Math" w:hAnsi="Cambria Math"/>
                    <w:color w:val="000000"/>
                  </w:rPr>
                  <m:t>CN</m:t>
                </m:r>
              </m:e>
              <m:sub>
                <m:r>
                  <w:rPr>
                    <w:rFonts w:ascii="Cambria Math" w:hAnsi="Cambria Math"/>
                    <w:color w:val="000000"/>
                  </w:rPr>
                  <m:t>s</m:t>
                </m:r>
              </m:sub>
              <m:sup>
                <m:r>
                  <w:rPr>
                    <w:rFonts w:ascii="Cambria Math" w:hAnsi="Cambria Math"/>
                    <w:color w:val="000000"/>
                  </w:rPr>
                  <m:t>M</m:t>
                </m:r>
              </m:sup>
            </m:sSubSup>
            <m:r>
              <w:rPr>
                <w:rFonts w:ascii="Cambria Math" w:hAnsi="Cambria Math"/>
                <w:color w:val="000000"/>
              </w:rPr>
              <m:t>*ρ</m:t>
            </m:r>
          </m:num>
          <m:den>
            <m:r>
              <w:rPr>
                <w:rFonts w:ascii="Cambria Math" w:hAnsi="Cambria Math"/>
                <w:color w:val="000000"/>
              </w:rPr>
              <m:t>ρ</m:t>
            </m:r>
            <m:r>
              <m:rPr>
                <m:sty m:val="p"/>
              </m:rPr>
              <w:rPr>
                <w:rFonts w:ascii="Cambria Math" w:hAnsi="Cambria Math"/>
                <w:color w:val="000000"/>
              </w:rPr>
              <m:t>*</m:t>
            </m:r>
            <m:sSubSup>
              <m:sSubSupPr>
                <m:ctrlPr>
                  <w:rPr>
                    <w:rFonts w:ascii="Cambria Math" w:hAnsi="Cambria Math"/>
                    <w:color w:val="000000"/>
                  </w:rPr>
                </m:ctrlPr>
              </m:sSubSupPr>
              <m:e>
                <m:r>
                  <w:rPr>
                    <w:rFonts w:ascii="Cambria Math" w:hAnsi="Cambria Math"/>
                    <w:color w:val="000000"/>
                  </w:rPr>
                  <m:t>CN</m:t>
                </m:r>
              </m:e>
              <m:sub>
                <m:r>
                  <w:rPr>
                    <w:rFonts w:ascii="Cambria Math" w:hAnsi="Cambria Math"/>
                    <w:color w:val="000000"/>
                  </w:rPr>
                  <m:t>s</m:t>
                </m:r>
              </m:sub>
              <m:sup>
                <m:r>
                  <w:rPr>
                    <w:rFonts w:ascii="Cambria Math" w:hAnsi="Cambria Math"/>
                    <w:color w:val="000000"/>
                  </w:rPr>
                  <m:t>T</m:t>
                </m:r>
              </m:sup>
            </m:sSubSup>
            <m:r>
              <w:rPr>
                <w:rFonts w:ascii="Cambria Math" w:hAnsi="Cambria Math"/>
                <w:color w:val="000000"/>
              </w:rPr>
              <m:t>+</m:t>
            </m:r>
            <m:d>
              <m:dPr>
                <m:ctrlPr>
                  <w:rPr>
                    <w:rFonts w:ascii="Cambria Math" w:hAnsi="Cambria Math"/>
                    <w:i/>
                    <w:color w:val="000000"/>
                  </w:rPr>
                </m:ctrlPr>
              </m:dPr>
              <m:e>
                <m:r>
                  <w:rPr>
                    <w:rFonts w:ascii="Cambria Math" w:hAnsi="Cambria Math"/>
                    <w:color w:val="000000"/>
                  </w:rPr>
                  <m:t>1-ρ</m:t>
                </m:r>
              </m:e>
            </m:d>
            <m:r>
              <w:rPr>
                <w:rFonts w:ascii="Cambria Math" w:hAnsi="Cambria Math"/>
                <w:color w:val="000000"/>
              </w:rPr>
              <m:t>*</m:t>
            </m:r>
            <m:sSubSup>
              <m:sSubSupPr>
                <m:ctrlPr>
                  <w:rPr>
                    <w:rFonts w:ascii="Cambria Math" w:hAnsi="Cambria Math"/>
                    <w:i/>
                    <w:color w:val="000000"/>
                  </w:rPr>
                </m:ctrlPr>
              </m:sSubSupPr>
              <m:e>
                <m:r>
                  <w:rPr>
                    <w:rFonts w:ascii="Cambria Math" w:hAnsi="Cambria Math"/>
                    <w:color w:val="000000"/>
                  </w:rPr>
                  <m:t>CN</m:t>
                </m:r>
              </m:e>
              <m:sub>
                <m:r>
                  <w:rPr>
                    <w:rFonts w:ascii="Cambria Math" w:hAnsi="Cambria Math"/>
                    <w:color w:val="000000"/>
                  </w:rPr>
                  <m:t>s</m:t>
                </m:r>
              </m:sub>
              <m:sup>
                <m:r>
                  <w:rPr>
                    <w:rFonts w:ascii="Cambria Math" w:hAnsi="Cambria Math"/>
                    <w:color w:val="000000"/>
                  </w:rPr>
                  <m:t>N</m:t>
                </m:r>
              </m:sup>
            </m:sSubSup>
          </m:den>
        </m:f>
      </m:oMath>
    </w:p>
    <w:p w14:paraId="6D4D4237" w14:textId="77777777" w:rsidR="00961BDD" w:rsidRPr="00AC13E7" w:rsidRDefault="00961BDD" w:rsidP="00CF1542">
      <w:pPr>
        <w:jc w:val="center"/>
        <w:rPr>
          <w:color w:val="000000"/>
        </w:rPr>
      </w:pPr>
    </w:p>
    <w:p w14:paraId="740A2186" w14:textId="693789C4" w:rsidR="00774328" w:rsidRPr="00AC13E7" w:rsidRDefault="00774328" w:rsidP="000A2538">
      <w:pPr>
        <w:spacing w:after="240"/>
        <w:jc w:val="both"/>
        <w:rPr>
          <w:color w:val="000000"/>
        </w:rPr>
      </w:pPr>
      <w:r w:rsidRPr="00AC13E7">
        <w:rPr>
          <w:color w:val="000000"/>
        </w:rPr>
        <w:t xml:space="preserve">where </w:t>
      </w:r>
      <m:oMath>
        <m:sSubSup>
          <m:sSubSupPr>
            <m:ctrlPr>
              <w:rPr>
                <w:rFonts w:ascii="Cambria Math" w:hAnsi="Cambria Math"/>
                <w:color w:val="000000"/>
              </w:rPr>
            </m:ctrlPr>
          </m:sSubSupPr>
          <m:e>
            <m:r>
              <w:rPr>
                <w:rFonts w:ascii="Cambria Math" w:hAnsi="Cambria Math"/>
                <w:color w:val="000000"/>
              </w:rPr>
              <m:t>CN</m:t>
            </m:r>
          </m:e>
          <m:sub>
            <m:r>
              <w:rPr>
                <w:rFonts w:ascii="Cambria Math" w:hAnsi="Cambria Math"/>
                <w:color w:val="000000"/>
              </w:rPr>
              <m:t>s</m:t>
            </m:r>
          </m:sub>
          <m:sup>
            <m:r>
              <w:rPr>
                <w:rFonts w:ascii="Cambria Math" w:hAnsi="Cambria Math"/>
                <w:color w:val="000000"/>
              </w:rPr>
              <m:t>T</m:t>
            </m:r>
          </m:sup>
        </m:sSubSup>
        <m:r>
          <w:rPr>
            <w:rFonts w:ascii="Cambria Math" w:hAnsi="Cambria Math"/>
            <w:color w:val="000000"/>
          </w:rPr>
          <m:t xml:space="preserve"> </m:t>
        </m:r>
      </m:oMath>
      <w:r w:rsidRPr="00AC13E7">
        <w:rPr>
          <w:color w:val="000000"/>
        </w:rPr>
        <w:t xml:space="preserve">and </w:t>
      </w:r>
      <m:oMath>
        <m:sSubSup>
          <m:sSubSupPr>
            <m:ctrlPr>
              <w:rPr>
                <w:rFonts w:ascii="Cambria Math" w:hAnsi="Cambria Math"/>
                <w:i/>
                <w:color w:val="000000"/>
              </w:rPr>
            </m:ctrlPr>
          </m:sSubSupPr>
          <m:e>
            <m:r>
              <w:rPr>
                <w:rFonts w:ascii="Cambria Math" w:hAnsi="Cambria Math"/>
                <w:color w:val="000000"/>
              </w:rPr>
              <m:t>CN</m:t>
            </m:r>
          </m:e>
          <m:sub>
            <m:r>
              <w:rPr>
                <w:rFonts w:ascii="Cambria Math" w:hAnsi="Cambria Math"/>
                <w:color w:val="000000"/>
              </w:rPr>
              <m:t>s</m:t>
            </m:r>
          </m:sub>
          <m:sup>
            <m:r>
              <w:rPr>
                <w:rFonts w:ascii="Cambria Math" w:hAnsi="Cambria Math"/>
                <w:color w:val="000000"/>
              </w:rPr>
              <m:t>N</m:t>
            </m:r>
          </m:sup>
        </m:sSubSup>
        <m:r>
          <w:rPr>
            <w:rFonts w:ascii="Cambria Math" w:hAnsi="Cambria Math"/>
            <w:color w:val="000000"/>
          </w:rPr>
          <m:t xml:space="preserve"> </m:t>
        </m:r>
      </m:oMath>
      <w:r w:rsidRPr="00AC13E7">
        <w:rPr>
          <w:color w:val="000000"/>
        </w:rPr>
        <w:t xml:space="preserve">are the total copy number at </w:t>
      </w:r>
      <w:r w:rsidR="00D40783" w:rsidRPr="00AC13E7">
        <w:rPr>
          <w:color w:val="000000"/>
        </w:rPr>
        <w:t xml:space="preserve">the </w:t>
      </w:r>
      <w:r w:rsidRPr="00AC13E7">
        <w:rPr>
          <w:color w:val="000000"/>
        </w:rPr>
        <w:t xml:space="preserve">SNV </w:t>
      </w:r>
      <w:r w:rsidRPr="00AC13E7">
        <w:rPr>
          <w:i/>
          <w:iCs/>
          <w:color w:val="000000"/>
        </w:rPr>
        <w:t>s</w:t>
      </w:r>
      <w:r w:rsidRPr="00AC13E7">
        <w:rPr>
          <w:color w:val="000000"/>
        </w:rPr>
        <w:t xml:space="preserve"> locus in </w:t>
      </w:r>
      <w:r w:rsidR="00962407" w:rsidRPr="00AC13E7">
        <w:rPr>
          <w:color w:val="000000"/>
        </w:rPr>
        <w:t>tumour</w:t>
      </w:r>
      <w:r w:rsidRPr="00AC13E7">
        <w:rPr>
          <w:color w:val="000000"/>
        </w:rPr>
        <w:t xml:space="preserve"> cells and normal cells, respectively.</w:t>
      </w:r>
      <m:oMath>
        <m:r>
          <m:rPr>
            <m:sty m:val="p"/>
          </m:rPr>
          <w:rPr>
            <w:rFonts w:ascii="Cambria Math" w:hAnsi="Cambria Math"/>
            <w:color w:val="000000"/>
          </w:rPr>
          <m:t xml:space="preserve"> </m:t>
        </m:r>
        <m:sSubSup>
          <m:sSubSupPr>
            <m:ctrlPr>
              <w:rPr>
                <w:rFonts w:ascii="Cambria Math" w:hAnsi="Cambria Math"/>
                <w:color w:val="000000"/>
              </w:rPr>
            </m:ctrlPr>
          </m:sSubSupPr>
          <m:e>
            <m:r>
              <w:rPr>
                <w:rFonts w:ascii="Cambria Math" w:hAnsi="Cambria Math"/>
                <w:color w:val="000000"/>
              </w:rPr>
              <m:t>CN</m:t>
            </m:r>
          </m:e>
          <m:sub>
            <m:r>
              <w:rPr>
                <w:rFonts w:ascii="Cambria Math" w:hAnsi="Cambria Math"/>
                <w:color w:val="000000"/>
              </w:rPr>
              <m:t>s</m:t>
            </m:r>
          </m:sub>
          <m:sup>
            <m:r>
              <w:rPr>
                <w:rFonts w:ascii="Cambria Math" w:hAnsi="Cambria Math"/>
                <w:color w:val="000000"/>
              </w:rPr>
              <m:t>M</m:t>
            </m:r>
          </m:sup>
        </m:sSubSup>
        <m:r>
          <w:rPr>
            <w:rFonts w:ascii="Cambria Math" w:hAnsi="Cambria Math"/>
            <w:color w:val="000000"/>
          </w:rPr>
          <m:t xml:space="preserve"> </m:t>
        </m:r>
      </m:oMath>
      <w:r w:rsidRPr="00AC13E7">
        <w:rPr>
          <w:color w:val="000000"/>
        </w:rPr>
        <w:t xml:space="preserve">is the mutation copy number of SNV </w:t>
      </w:r>
      <w:r w:rsidRPr="00AC13E7">
        <w:rPr>
          <w:i/>
          <w:iCs/>
          <w:color w:val="000000"/>
        </w:rPr>
        <w:t>s</w:t>
      </w:r>
      <w:r w:rsidR="008E531F" w:rsidRPr="00AC13E7">
        <w:rPr>
          <w:color w:val="000000"/>
        </w:rPr>
        <w:t xml:space="preserve">, </w:t>
      </w:r>
      <w:r w:rsidRPr="00AC13E7">
        <w:rPr>
          <w:color w:val="000000"/>
        </w:rPr>
        <w:t xml:space="preserve">i.e. the average number of copies of the </w:t>
      </w:r>
      <w:r w:rsidR="000A2538" w:rsidRPr="00AC13E7">
        <w:rPr>
          <w:color w:val="000000"/>
        </w:rPr>
        <w:t xml:space="preserve">mutant </w:t>
      </w:r>
      <w:r w:rsidRPr="00AC13E7">
        <w:rPr>
          <w:color w:val="000000"/>
        </w:rPr>
        <w:t>allele across</w:t>
      </w:r>
      <w:r w:rsidR="009844B3" w:rsidRPr="00AC13E7">
        <w:rPr>
          <w:color w:val="000000"/>
        </w:rPr>
        <w:t xml:space="preserve"> </w:t>
      </w:r>
      <w:r w:rsidRPr="00AC13E7">
        <w:rPr>
          <w:color w:val="000000"/>
        </w:rPr>
        <w:t>subclones.</w:t>
      </w:r>
      <w:r w:rsidR="009844B3" w:rsidRPr="00AC13E7">
        <w:rPr>
          <w:color w:val="000000"/>
        </w:rPr>
        <w:t xml:space="preserve"> </w:t>
      </w:r>
      <w:r w:rsidRPr="00AC13E7">
        <w:rPr>
          <w:color w:val="000000"/>
        </w:rPr>
        <w:t xml:space="preserve">We consider the case where SNV </w:t>
      </w:r>
      <w:r w:rsidRPr="00AC13E7">
        <w:rPr>
          <w:i/>
          <w:iCs/>
          <w:color w:val="000000"/>
        </w:rPr>
        <w:t>s</w:t>
      </w:r>
      <w:r w:rsidR="0066790C" w:rsidRPr="00AC13E7">
        <w:rPr>
          <w:color w:val="000000"/>
        </w:rPr>
        <w:t xml:space="preserve"> </w:t>
      </w:r>
      <w:r w:rsidRPr="00AC13E7">
        <w:rPr>
          <w:color w:val="000000"/>
        </w:rPr>
        <w:t>lies inside a clonal copy number segment. Denote the allele</w:t>
      </w:r>
      <w:r w:rsidR="005C2174" w:rsidRPr="00AC13E7">
        <w:rPr>
          <w:color w:val="000000"/>
        </w:rPr>
        <w:t>-</w:t>
      </w:r>
      <w:r w:rsidRPr="00AC13E7">
        <w:rPr>
          <w:color w:val="000000"/>
        </w:rPr>
        <w:t xml:space="preserve">specific copy numbers at the SNV </w:t>
      </w:r>
      <w:r w:rsidRPr="00AC13E7">
        <w:rPr>
          <w:i/>
          <w:iCs/>
          <w:color w:val="000000"/>
        </w:rPr>
        <w:t>s</w:t>
      </w:r>
      <w:r w:rsidR="0066790C" w:rsidRPr="00AC13E7">
        <w:rPr>
          <w:color w:val="000000"/>
        </w:rPr>
        <w:t xml:space="preserve"> </w:t>
      </w:r>
      <w:r w:rsidRPr="00AC13E7">
        <w:rPr>
          <w:color w:val="000000"/>
        </w:rPr>
        <w:t xml:space="preserve">locus by </w:t>
      </w:r>
      <w:r w:rsidR="002E2F73" w:rsidRPr="00AC13E7">
        <w:rPr>
          <w:i/>
          <w:iCs/>
          <w:color w:val="000000"/>
        </w:rPr>
        <w:t>q</w:t>
      </w:r>
      <w:r w:rsidRPr="00AC13E7">
        <w:rPr>
          <w:i/>
          <w:iCs/>
          <w:color w:val="000000"/>
          <w:vertAlign w:val="subscript"/>
        </w:rPr>
        <w:t>1s</w:t>
      </w:r>
      <w:r w:rsidRPr="00AC13E7">
        <w:rPr>
          <w:color w:val="000000"/>
        </w:rPr>
        <w:t xml:space="preserve"> and </w:t>
      </w:r>
      <w:r w:rsidR="002E2F73" w:rsidRPr="00AC13E7">
        <w:rPr>
          <w:i/>
          <w:iCs/>
          <w:color w:val="000000"/>
        </w:rPr>
        <w:t>q</w:t>
      </w:r>
      <w:r w:rsidRPr="00AC13E7">
        <w:rPr>
          <w:i/>
          <w:iCs/>
          <w:color w:val="000000"/>
          <w:vertAlign w:val="subscript"/>
        </w:rPr>
        <w:t>2s</w:t>
      </w:r>
      <w:r w:rsidRPr="00AC13E7">
        <w:rPr>
          <w:color w:val="000000"/>
        </w:rPr>
        <w:t xml:space="preserve"> (with </w:t>
      </w:r>
      <w:r w:rsidR="002E2F73" w:rsidRPr="00AC13E7">
        <w:rPr>
          <w:i/>
          <w:iCs/>
          <w:color w:val="000000"/>
        </w:rPr>
        <w:t>q</w:t>
      </w:r>
      <w:r w:rsidR="002E2F73" w:rsidRPr="00AC13E7">
        <w:rPr>
          <w:i/>
          <w:iCs/>
          <w:color w:val="000000"/>
          <w:vertAlign w:val="subscript"/>
        </w:rPr>
        <w:t>2s</w:t>
      </w:r>
      <w:r w:rsidR="002E2F73" w:rsidRPr="00AC13E7">
        <w:rPr>
          <w:color w:val="000000"/>
        </w:rPr>
        <w:t xml:space="preserve"> </w:t>
      </w:r>
      <w:r w:rsidRPr="00AC13E7">
        <w:rPr>
          <w:color w:val="000000"/>
        </w:rPr>
        <w:t xml:space="preserve">≥ </w:t>
      </w:r>
      <w:r w:rsidR="002E2F73" w:rsidRPr="00AC13E7">
        <w:rPr>
          <w:i/>
          <w:iCs/>
          <w:color w:val="000000"/>
        </w:rPr>
        <w:t>q</w:t>
      </w:r>
      <w:r w:rsidR="002E2F73" w:rsidRPr="00AC13E7">
        <w:rPr>
          <w:i/>
          <w:iCs/>
          <w:color w:val="000000"/>
          <w:vertAlign w:val="subscript"/>
        </w:rPr>
        <w:t>1s</w:t>
      </w:r>
      <w:r w:rsidRPr="00AC13E7">
        <w:rPr>
          <w:color w:val="000000"/>
        </w:rPr>
        <w:t>). Therefore</w:t>
      </w:r>
      <w:r w:rsidR="001B65D8" w:rsidRPr="00AC13E7">
        <w:rPr>
          <w:color w:val="000000"/>
        </w:rPr>
        <w:t>,</w:t>
      </w:r>
      <w:r w:rsidRPr="00AC13E7">
        <w:rPr>
          <w:color w:val="000000"/>
        </w:rPr>
        <w:t xml:space="preserve"> the possible integer multiplicity values are</w:t>
      </w:r>
      <w:r w:rsidR="00270217" w:rsidRPr="00AC13E7">
        <w:rPr>
          <w:color w:val="000000"/>
        </w:rPr>
        <w:t xml:space="preserve"> {1,</w:t>
      </w:r>
      <w:r w:rsidR="005C756F" w:rsidRPr="00AC13E7">
        <w:rPr>
          <w:color w:val="000000"/>
        </w:rPr>
        <w:t xml:space="preserve"> </w:t>
      </w:r>
      <w:r w:rsidR="008E531F" w:rsidRPr="00AC13E7">
        <w:rPr>
          <w:rFonts w:ascii="MS Mincho" w:eastAsia="MS Mincho" w:hAnsi="MS Mincho" w:cs="MS Mincho"/>
          <w:color w:val="000000"/>
        </w:rPr>
        <w:t>…</w:t>
      </w:r>
      <w:r w:rsidR="00270217" w:rsidRPr="00AC13E7">
        <w:rPr>
          <w:color w:val="000000"/>
        </w:rPr>
        <w:t xml:space="preserve">, </w:t>
      </w:r>
      <w:r w:rsidR="00270217" w:rsidRPr="00AC13E7">
        <w:rPr>
          <w:i/>
          <w:iCs/>
          <w:color w:val="000000"/>
        </w:rPr>
        <w:t>q</w:t>
      </w:r>
      <w:r w:rsidR="00270217" w:rsidRPr="00AC13E7">
        <w:rPr>
          <w:i/>
          <w:iCs/>
          <w:color w:val="000000"/>
          <w:vertAlign w:val="subscript"/>
        </w:rPr>
        <w:t>2s</w:t>
      </w:r>
      <w:r w:rsidRPr="00AC13E7">
        <w:rPr>
          <w:color w:val="000000"/>
        </w:rPr>
        <w:t>}. Multiplicity for a</w:t>
      </w:r>
      <w:r w:rsidR="006A0803" w:rsidRPr="00AC13E7">
        <w:rPr>
          <w:color w:val="000000"/>
        </w:rPr>
        <w:t>n</w:t>
      </w:r>
      <w:r w:rsidRPr="00AC13E7">
        <w:rPr>
          <w:color w:val="000000"/>
        </w:rPr>
        <w:t xml:space="preserve"> SNV is estimated as the minimizer </w:t>
      </w:r>
      <m:oMath>
        <m:sSub>
          <m:sSubPr>
            <m:ctrlPr>
              <w:rPr>
                <w:rFonts w:ascii="Cambria Math" w:hAnsi="Cambria Math"/>
                <w:i/>
                <w:color w:val="000000"/>
              </w:rPr>
            </m:ctrlPr>
          </m:sSubPr>
          <m:e>
            <m:r>
              <w:rPr>
                <w:rFonts w:ascii="Cambria Math" w:hAnsi="Cambria Math"/>
                <w:color w:val="000000"/>
              </w:rPr>
              <m:t>m</m:t>
            </m:r>
          </m:e>
          <m:sub>
            <m:r>
              <w:rPr>
                <w:rFonts w:ascii="Cambria Math" w:hAnsi="Cambria Math"/>
                <w:color w:val="000000"/>
              </w:rPr>
              <m:t>s</m:t>
            </m:r>
          </m:sub>
        </m:sSub>
        <m:r>
          <w:rPr>
            <w:rFonts w:ascii="Cambria Math" w:hAnsi="Cambria Math"/>
            <w:color w:val="000000"/>
          </w:rPr>
          <m:t>=</m:t>
        </m:r>
        <m:sSub>
          <m:sSubPr>
            <m:ctrlPr>
              <w:rPr>
                <w:rFonts w:ascii="Cambria Math" w:hAnsi="Cambria Math"/>
                <w:i/>
                <w:iCs/>
                <w:color w:val="000000"/>
              </w:rPr>
            </m:ctrlPr>
          </m:sSubPr>
          <m:e>
            <m:r>
              <w:rPr>
                <w:rFonts w:ascii="Cambria Math" w:hAnsi="Cambria Math"/>
                <w:color w:val="000000"/>
              </w:rPr>
              <m:t>argmin</m:t>
            </m:r>
          </m:e>
          <m:sub>
            <m:r>
              <w:rPr>
                <w:rFonts w:ascii="Cambria Math" w:hAnsi="Cambria Math"/>
                <w:color w:val="000000"/>
              </w:rPr>
              <m:t>t∈</m:t>
            </m:r>
            <m:d>
              <m:dPr>
                <m:begChr m:val="{"/>
                <m:endChr m:val="}"/>
                <m:ctrlPr>
                  <w:rPr>
                    <w:rFonts w:ascii="Cambria Math" w:hAnsi="Cambria Math"/>
                    <w:i/>
                    <w:iCs/>
                    <w:color w:val="000000"/>
                  </w:rPr>
                </m:ctrlPr>
              </m:dPr>
              <m:e>
                <m:r>
                  <w:rPr>
                    <w:rFonts w:ascii="Cambria Math" w:hAnsi="Cambria Math"/>
                    <w:color w:val="000000"/>
                  </w:rPr>
                  <m:t>1, ⋯,</m:t>
                </m:r>
                <m:sSub>
                  <m:sSubPr>
                    <m:ctrlPr>
                      <w:rPr>
                        <w:rFonts w:ascii="Cambria Math" w:hAnsi="Cambria Math"/>
                        <w:i/>
                        <w:iCs/>
                        <w:color w:val="000000"/>
                      </w:rPr>
                    </m:ctrlPr>
                  </m:sSubPr>
                  <m:e>
                    <m:r>
                      <w:rPr>
                        <w:rFonts w:ascii="Cambria Math" w:hAnsi="Cambria Math"/>
                        <w:color w:val="000000"/>
                      </w:rPr>
                      <m:t>q</m:t>
                    </m:r>
                  </m:e>
                  <m:sub>
                    <m:r>
                      <w:rPr>
                        <w:rFonts w:ascii="Cambria Math" w:hAnsi="Cambria Math"/>
                        <w:color w:val="000000"/>
                      </w:rPr>
                      <m:t>2s</m:t>
                    </m:r>
                  </m:sub>
                </m:sSub>
              </m:e>
            </m:d>
            <m:r>
              <w:rPr>
                <w:rFonts w:ascii="Cambria Math" w:hAnsi="Cambria Math"/>
                <w:color w:val="000000"/>
              </w:rPr>
              <m:t xml:space="preserve"> </m:t>
            </m:r>
          </m:sub>
        </m:sSub>
        <m:d>
          <m:dPr>
            <m:begChr m:val="|"/>
            <m:endChr m:val="|"/>
            <m:ctrlPr>
              <w:rPr>
                <w:rFonts w:ascii="Cambria Math" w:hAnsi="Cambria Math"/>
                <w:i/>
                <w:iCs/>
                <w:color w:val="000000"/>
              </w:rPr>
            </m:ctrlPr>
          </m:dPr>
          <m:e>
            <m:r>
              <w:rPr>
                <w:rFonts w:ascii="Cambria Math" w:hAnsi="Cambria Math"/>
                <w:color w:val="000000"/>
              </w:rPr>
              <m:t xml:space="preserve">1- </m:t>
            </m:r>
            <m:f>
              <m:fPr>
                <m:ctrlPr>
                  <w:rPr>
                    <w:rFonts w:ascii="Cambria Math" w:hAnsi="Cambria Math"/>
                    <w:i/>
                    <w:iCs/>
                    <w:color w:val="000000"/>
                  </w:rPr>
                </m:ctrlPr>
              </m:fPr>
              <m:num>
                <m:sSubSup>
                  <m:sSubSupPr>
                    <m:ctrlPr>
                      <w:rPr>
                        <w:rFonts w:ascii="Cambria Math" w:hAnsi="Cambria Math"/>
                        <w:color w:val="000000"/>
                      </w:rPr>
                    </m:ctrlPr>
                  </m:sSubSupPr>
                  <m:e>
                    <m:r>
                      <w:rPr>
                        <w:rFonts w:ascii="Cambria Math" w:hAnsi="Cambria Math"/>
                        <w:color w:val="000000"/>
                      </w:rPr>
                      <m:t>CN</m:t>
                    </m:r>
                  </m:e>
                  <m:sub>
                    <m:r>
                      <w:rPr>
                        <w:rFonts w:ascii="Cambria Math" w:hAnsi="Cambria Math"/>
                        <w:color w:val="000000"/>
                      </w:rPr>
                      <m:t>s</m:t>
                    </m:r>
                  </m:sub>
                  <m:sup>
                    <m:r>
                      <w:rPr>
                        <w:rFonts w:ascii="Cambria Math" w:hAnsi="Cambria Math"/>
                        <w:color w:val="000000"/>
                      </w:rPr>
                      <m:t>M</m:t>
                    </m:r>
                  </m:sup>
                </m:sSubSup>
              </m:num>
              <m:den>
                <m:r>
                  <w:rPr>
                    <w:rFonts w:ascii="Cambria Math" w:hAnsi="Cambria Math"/>
                    <w:color w:val="000000"/>
                  </w:rPr>
                  <m:t>t</m:t>
                </m:r>
              </m:den>
            </m:f>
          </m:e>
        </m:d>
      </m:oMath>
      <w:r w:rsidR="00CB57D9" w:rsidRPr="00AC13E7">
        <w:rPr>
          <w:iCs/>
          <w:color w:val="000000"/>
        </w:rPr>
        <w:t xml:space="preserve">. </w:t>
      </w:r>
      <w:r w:rsidRPr="00AC13E7">
        <w:rPr>
          <w:color w:val="000000"/>
        </w:rPr>
        <w:t xml:space="preserve">We then estimate CCF for SNV </w:t>
      </w:r>
      <w:r w:rsidRPr="00AC13E7">
        <w:rPr>
          <w:i/>
          <w:iCs/>
          <w:color w:val="000000"/>
        </w:rPr>
        <w:t>s</w:t>
      </w:r>
      <w:r w:rsidRPr="00AC13E7">
        <w:rPr>
          <w:color w:val="000000"/>
        </w:rPr>
        <w:t xml:space="preserve"> as </w:t>
      </w:r>
      <m:oMath>
        <m:acc>
          <m:accPr>
            <m:ctrlPr>
              <w:rPr>
                <w:rFonts w:ascii="Cambria Math" w:hAnsi="Cambria Math"/>
                <w:i/>
                <w:color w:val="000000"/>
              </w:rPr>
            </m:ctrlPr>
          </m:accPr>
          <m:e>
            <m:r>
              <w:rPr>
                <w:rFonts w:ascii="Cambria Math" w:hAnsi="Cambria Math"/>
                <w:color w:val="000000"/>
              </w:rPr>
              <m:t>CCF</m:t>
            </m:r>
          </m:e>
        </m:acc>
        <m:r>
          <w:rPr>
            <w:rFonts w:ascii="Cambria Math" w:hAnsi="Cambria Math"/>
            <w:color w:val="000000"/>
          </w:rPr>
          <m:t>=</m:t>
        </m:r>
        <m:f>
          <m:fPr>
            <m:ctrlPr>
              <w:rPr>
                <w:rFonts w:ascii="Cambria Math" w:hAnsi="Cambria Math"/>
                <w:i/>
                <w:color w:val="000000"/>
              </w:rPr>
            </m:ctrlPr>
          </m:fPr>
          <m:num>
            <m:sSubSup>
              <m:sSubSupPr>
                <m:ctrlPr>
                  <w:rPr>
                    <w:rFonts w:ascii="Cambria Math" w:hAnsi="Cambria Math"/>
                    <w:i/>
                    <w:color w:val="000000"/>
                  </w:rPr>
                </m:ctrlPr>
              </m:sSubSupPr>
              <m:e>
                <m:r>
                  <w:rPr>
                    <w:rFonts w:ascii="Cambria Math" w:hAnsi="Cambria Math"/>
                    <w:color w:val="000000"/>
                  </w:rPr>
                  <m:t>CN</m:t>
                </m:r>
              </m:e>
              <m:sub>
                <m:r>
                  <w:rPr>
                    <w:rFonts w:ascii="Cambria Math" w:hAnsi="Cambria Math"/>
                    <w:color w:val="000000"/>
                  </w:rPr>
                  <m:t>s</m:t>
                </m:r>
              </m:sub>
              <m:sup>
                <m:r>
                  <w:rPr>
                    <w:rFonts w:ascii="Cambria Math" w:hAnsi="Cambria Math"/>
                    <w:color w:val="000000"/>
                  </w:rPr>
                  <m:t>M</m:t>
                </m:r>
              </m:sup>
            </m:sSubSup>
          </m:num>
          <m:den>
            <m:sSub>
              <m:sSubPr>
                <m:ctrlPr>
                  <w:rPr>
                    <w:rFonts w:ascii="Cambria Math" w:hAnsi="Cambria Math"/>
                    <w:i/>
                    <w:color w:val="000000"/>
                  </w:rPr>
                </m:ctrlPr>
              </m:sSubPr>
              <m:e>
                <m:r>
                  <w:rPr>
                    <w:rFonts w:ascii="Cambria Math" w:hAnsi="Cambria Math"/>
                    <w:color w:val="000000"/>
                  </w:rPr>
                  <m:t>m</m:t>
                </m:r>
              </m:e>
              <m:sub>
                <m:r>
                  <w:rPr>
                    <w:rFonts w:ascii="Cambria Math" w:hAnsi="Cambria Math"/>
                    <w:color w:val="000000"/>
                  </w:rPr>
                  <m:t>s</m:t>
                </m:r>
              </m:sub>
            </m:sSub>
          </m:den>
        </m:f>
      </m:oMath>
      <w:r w:rsidRPr="00AC13E7">
        <w:rPr>
          <w:color w:val="000000"/>
        </w:rPr>
        <w:t>.</w:t>
      </w:r>
    </w:p>
    <w:p w14:paraId="3730B612" w14:textId="77777777" w:rsidR="00F718E9" w:rsidRPr="00AC13E7" w:rsidRDefault="00774328" w:rsidP="00FF3CBE">
      <w:pPr>
        <w:spacing w:after="240"/>
        <w:jc w:val="both"/>
        <w:rPr>
          <w:b/>
          <w:bCs/>
          <w:color w:val="000000"/>
        </w:rPr>
      </w:pPr>
      <w:r w:rsidRPr="00AC13E7">
        <w:rPr>
          <w:b/>
          <w:bCs/>
          <w:color w:val="000000"/>
        </w:rPr>
        <w:t>Algorithm</w:t>
      </w:r>
    </w:p>
    <w:p w14:paraId="43B4F675" w14:textId="7DA134C9" w:rsidR="00774328" w:rsidRPr="00AC13E7" w:rsidRDefault="00774328" w:rsidP="00D86E26">
      <w:pPr>
        <w:spacing w:after="240"/>
        <w:jc w:val="both"/>
        <w:rPr>
          <w:color w:val="000000"/>
        </w:rPr>
      </w:pPr>
      <w:r w:rsidRPr="00AC13E7">
        <w:rPr>
          <w:color w:val="000000"/>
        </w:rPr>
        <w:t>We fit a finite mixture of Gaussian distributions to the estimated CCFs. We use the expectation-</w:t>
      </w:r>
      <w:r w:rsidR="003737D3" w:rsidRPr="00AC13E7">
        <w:rPr>
          <w:color w:val="000000"/>
        </w:rPr>
        <w:t>maximi</w:t>
      </w:r>
      <w:r w:rsidR="00A402E9" w:rsidRPr="00AC13E7">
        <w:rPr>
          <w:color w:val="000000"/>
        </w:rPr>
        <w:t>s</w:t>
      </w:r>
      <w:r w:rsidR="003737D3" w:rsidRPr="00AC13E7">
        <w:rPr>
          <w:color w:val="000000"/>
        </w:rPr>
        <w:t>ation</w:t>
      </w:r>
      <w:r w:rsidRPr="00AC13E7">
        <w:rPr>
          <w:color w:val="000000"/>
        </w:rPr>
        <w:t xml:space="preserve"> (EM) algorithm</w:t>
      </w:r>
      <w:r w:rsidR="00A402E9" w:rsidRPr="00AC13E7">
        <w:rPr>
          <w:color w:val="000000"/>
        </w:rPr>
        <w:fldChar w:fldCharType="begin"/>
      </w:r>
      <w:r w:rsidR="00D86E26">
        <w:rPr>
          <w:color w:val="000000"/>
        </w:rPr>
        <w:instrText xml:space="preserve"> ADDIN EN.CITE &lt;EndNote&gt;&lt;Cite&gt;&lt;Author&gt;Dempster&lt;/Author&gt;&lt;Year&gt;1977&lt;/Year&gt;&lt;RecNum&gt;11&lt;/RecNum&gt;&lt;DisplayText&gt;&lt;style face="superscript"&gt;22&lt;/style&gt;&lt;/DisplayText&gt;&lt;record&gt;&lt;rec-number&gt;11&lt;/rec-number&gt;&lt;foreign-keys&gt;&lt;key app="EN" db-id="swsz0f55g50w9yex0aqvtfdxarrpzt5z00pd" timestamp="1494346556"&gt;11&lt;/key&gt;&lt;/foreign-keys&gt;&lt;ref-type name="Journal Article"&gt;17&lt;/ref-type&gt;&lt;contributors&gt;&lt;authors&gt;&lt;author&gt;Dempster, A. P.&lt;/author&gt;&lt;author&gt;Laird, N. M.&lt;/author&gt;&lt;author&gt;Rubin, D. B.&lt;/author&gt;&lt;/authors&gt;&lt;/contributors&gt;&lt;auth-address&gt;Harvard Univ,Cambridge,Ma 02138&amp;#xD;Educ Testing Serv,Princeton,Nj 08540&lt;/auth-address&gt;&lt;titles&gt;&lt;title&gt;Maximum Likelihood from Incomplete Data Via Em Algorithm&lt;/title&gt;&lt;secondary-title&gt;Journal of the Royal Statistical Society Series B-Methodological&lt;/secondary-title&gt;&lt;alt-title&gt;J Roy Stat Soc B Met&lt;/alt-title&gt;&lt;/titles&gt;&lt;periodical&gt;&lt;full-title&gt;Journal of the Royal Statistical Society Series B-Methodological&lt;/full-title&gt;&lt;abbr-1&gt;J Roy Stat Soc B Met&lt;/abbr-1&gt;&lt;/periodical&gt;&lt;alt-periodical&gt;&lt;full-title&gt;Journal of the Royal Statistical Society Series B-Methodological&lt;/full-title&gt;&lt;abbr-1&gt;J Roy Stat Soc B Met&lt;/abbr-1&gt;&lt;/alt-periodical&gt;&lt;pages&gt;1-38&lt;/pages&gt;&lt;volume&gt;39&lt;/volume&gt;&lt;number&gt;1&lt;/number&gt;&lt;dates&gt;&lt;year&gt;1977&lt;/year&gt;&lt;/dates&gt;&lt;isbn&gt;0035-9246&lt;/isbn&gt;&lt;accession-num&gt;WOS:A1977DM46400001&lt;/accession-num&gt;&lt;urls&gt;&lt;related-urls&gt;&lt;url&gt;&amp;lt;Go to ISI&amp;gt;://WOS:A1977DM46400001&lt;/url&gt;&lt;/related-urls&gt;&lt;/urls&gt;&lt;language&gt;English&lt;/language&gt;&lt;/record&gt;&lt;/Cite&gt;&lt;/EndNote&gt;</w:instrText>
      </w:r>
      <w:r w:rsidR="00A402E9" w:rsidRPr="00AC13E7">
        <w:rPr>
          <w:color w:val="000000"/>
        </w:rPr>
        <w:fldChar w:fldCharType="separate"/>
      </w:r>
      <w:r w:rsidR="00D86E26" w:rsidRPr="00D86E26">
        <w:rPr>
          <w:noProof/>
          <w:color w:val="000000"/>
          <w:vertAlign w:val="superscript"/>
        </w:rPr>
        <w:t>22</w:t>
      </w:r>
      <w:r w:rsidR="00A402E9" w:rsidRPr="00AC13E7">
        <w:rPr>
          <w:color w:val="000000"/>
        </w:rPr>
        <w:fldChar w:fldCharType="end"/>
      </w:r>
      <w:r w:rsidRPr="00AC13E7">
        <w:rPr>
          <w:color w:val="000000"/>
        </w:rPr>
        <w:t xml:space="preserve"> to obtain the maximum likelihood estimate (MLE) of the mixture distribution. We run EM with different numbers of mixture components starting from one to seven and select the optimal number of components based on the Bayesian information criterion (BIC)</w:t>
      </w:r>
      <w:r w:rsidR="00A402E9" w:rsidRPr="00AC13E7">
        <w:rPr>
          <w:color w:val="000000"/>
        </w:rPr>
        <w:fldChar w:fldCharType="begin"/>
      </w:r>
      <w:r w:rsidR="00D86E26">
        <w:rPr>
          <w:color w:val="000000"/>
        </w:rPr>
        <w:instrText xml:space="preserve"> ADDIN EN.CITE &lt;EndNote&gt;&lt;Cite&gt;&lt;Author&gt;Schwarz&lt;/Author&gt;&lt;Year&gt;1978&lt;/Year&gt;&lt;RecNum&gt;12&lt;/RecNum&gt;&lt;DisplayText&gt;&lt;style face="superscript"&gt;23&lt;/style&gt;&lt;/DisplayText&gt;&lt;record&gt;&lt;rec-number&gt;12&lt;/rec-number&gt;&lt;foreign-keys&gt;&lt;key app="EN" db-id="swsz0f55g50w9yex0aqvtfdxarrpzt5z00pd" timestamp="1494346679"&gt;12&lt;/key&gt;&lt;/foreign-keys&gt;&lt;ref-type name="Journal Article"&gt;17&lt;/ref-type&gt;&lt;contributors&gt;&lt;authors&gt;&lt;author&gt;Schwarz, G.&lt;/author&gt;&lt;/authors&gt;&lt;/contributors&gt;&lt;titles&gt;&lt;title&gt;Estimating Dimension of a Model&lt;/title&gt;&lt;secondary-title&gt;Annals of Statistics&lt;/secondary-title&gt;&lt;alt-title&gt;Ann Stat&lt;/alt-title&gt;&lt;/titles&gt;&lt;periodical&gt;&lt;full-title&gt;Annals of Statistics&lt;/full-title&gt;&lt;abbr-1&gt;Ann Stat&lt;/abbr-1&gt;&lt;/periodical&gt;&lt;alt-periodical&gt;&lt;full-title&gt;Annals of Statistics&lt;/full-title&gt;&lt;abbr-1&gt;Ann Stat&lt;/abbr-1&gt;&lt;/alt-periodical&gt;&lt;pages&gt;461-464&lt;/pages&gt;&lt;volume&gt;6&lt;/volume&gt;&lt;number&gt;2&lt;/number&gt;&lt;dates&gt;&lt;year&gt;1978&lt;/year&gt;&lt;/dates&gt;&lt;isbn&gt;0090-5364&lt;/isbn&gt;&lt;accession-num&gt;WOS:A1978EQ63300014&lt;/accession-num&gt;&lt;urls&gt;&lt;related-urls&gt;&lt;url&gt;&amp;lt;Go to ISI&amp;gt;://WOS:A1978EQ63300014&lt;/url&gt;&lt;/related-urls&gt;&lt;/urls&gt;&lt;electronic-resource-num&gt;10.1214/aos/1176344136&lt;/electronic-resource-num&gt;&lt;language&gt;English&lt;/language&gt;&lt;/record&gt;&lt;/Cite&gt;&lt;/EndNote&gt;</w:instrText>
      </w:r>
      <w:r w:rsidR="00A402E9" w:rsidRPr="00AC13E7">
        <w:rPr>
          <w:color w:val="000000"/>
        </w:rPr>
        <w:fldChar w:fldCharType="separate"/>
      </w:r>
      <w:r w:rsidR="00D86E26" w:rsidRPr="00D86E26">
        <w:rPr>
          <w:noProof/>
          <w:color w:val="000000"/>
          <w:vertAlign w:val="superscript"/>
        </w:rPr>
        <w:t>23</w:t>
      </w:r>
      <w:r w:rsidR="00A402E9" w:rsidRPr="00AC13E7">
        <w:rPr>
          <w:color w:val="000000"/>
        </w:rPr>
        <w:fldChar w:fldCharType="end"/>
      </w:r>
      <w:r w:rsidR="00A402E9" w:rsidRPr="00AC13E7">
        <w:rPr>
          <w:color w:val="000000"/>
        </w:rPr>
        <w:t xml:space="preserve">. </w:t>
      </w:r>
      <w:r w:rsidRPr="00AC13E7">
        <w:rPr>
          <w:color w:val="000000"/>
        </w:rPr>
        <w:t>The R package</w:t>
      </w:r>
      <w:r w:rsidR="00A402E9" w:rsidRPr="00AC13E7">
        <w:rPr>
          <w:color w:val="000000"/>
        </w:rPr>
        <w:t xml:space="preserve"> </w:t>
      </w:r>
      <w:r w:rsidRPr="00AC13E7">
        <w:rPr>
          <w:i/>
          <w:color w:val="000000"/>
        </w:rPr>
        <w:t>mclust</w:t>
      </w:r>
      <w:r w:rsidR="00D834F0" w:rsidRPr="00AC13E7">
        <w:rPr>
          <w:color w:val="000000"/>
        </w:rPr>
        <w:fldChar w:fldCharType="begin"/>
      </w:r>
      <w:r w:rsidR="00D86E26">
        <w:rPr>
          <w:color w:val="000000"/>
        </w:rPr>
        <w:instrText xml:space="preserve"> ADDIN EN.CITE &lt;EndNote&gt;&lt;Cite&gt;&lt;Author&gt;Scrucca&lt;/Author&gt;&lt;Year&gt;2016&lt;/Year&gt;&lt;RecNum&gt;13&lt;/RecNum&gt;&lt;DisplayText&gt;&lt;style face="superscript"&gt;24,25&lt;/style&gt;&lt;/DisplayText&gt;&lt;record&gt;&lt;rec-number&gt;13&lt;/rec-number&gt;&lt;foreign-keys&gt;&lt;key app="EN" db-id="swsz0f55g50w9yex0aqvtfdxarrpzt5z00pd" timestamp="1494346837"&gt;13&lt;/key&gt;&lt;/foreign-keys&gt;&lt;ref-type name="Journal Article"&gt;17&lt;/ref-type&gt;&lt;contributors&gt;&lt;authors&gt;&lt;author&gt;Scrucca, L.&lt;/author&gt;&lt;author&gt;Fop, M.&lt;/author&gt;&lt;author&gt;Murphy, T. B.&lt;/author&gt;&lt;author&gt;Raftery, A. E.&lt;/author&gt;&lt;/authors&gt;&lt;/contributors&gt;&lt;auth-address&gt;Universita degli Studi di Perugia, Via A. Pascoli 20, 06123 Perugia, Italy.&amp;#xD;University College Dublin, Belfield, Dublin 4, Ireland.&amp;#xD;University of Washington, Box 354320, Seattle, WA 98195-4320.&lt;/auth-address&gt;&lt;titles&gt;&lt;title&gt;mclust 5: Clustering, Classification and Density Estimation Using Gaussian Finite Mixture Models&lt;/title&gt;&lt;secondary-title&gt;R J&lt;/secondary-title&gt;&lt;/titles&gt;&lt;periodical&gt;&lt;full-title&gt;R J&lt;/full-title&gt;&lt;/periodical&gt;&lt;pages&gt;289-317&lt;/pages&gt;&lt;volume&gt;8&lt;/volume&gt;&lt;number&gt;1&lt;/number&gt;&lt;dates&gt;&lt;year&gt;2016&lt;/year&gt;&lt;pub-dates&gt;&lt;date&gt;Aug&lt;/date&gt;&lt;/pub-dates&gt;&lt;/dates&gt;&lt;isbn&gt;2073-4859 (Linking)&lt;/isbn&gt;&lt;accession-num&gt;27818791&lt;/accession-num&gt;&lt;urls&gt;&lt;related-urls&gt;&lt;url&gt;https://www.ncbi.nlm.nih.gov/pubmed/27818791&lt;/url&gt;&lt;/related-urls&gt;&lt;/urls&gt;&lt;custom2&gt;PMC5096736&lt;/custom2&gt;&lt;/record&gt;&lt;/Cite&gt;&lt;Cite&gt;&lt;Author&gt;Fraley&lt;/Author&gt;&lt;Year&gt;2016&lt;/Year&gt;&lt;RecNum&gt;14&lt;/RecNum&gt;&lt;record&gt;&lt;rec-number&gt;14&lt;/rec-number&gt;&lt;foreign-keys&gt;&lt;key app="EN" db-id="swsz0f55g50w9yex0aqvtfdxarrpzt5z00pd" timestamp="1494347007"&gt;14&lt;/key&gt;&lt;/foreign-keys&gt;&lt;ref-type name="Web Page"&gt;12&lt;/ref-type&gt;&lt;contributors&gt;&lt;authors&gt;&lt;author&gt;Fraley, C., Raftery, A., and Scrucca, L. &lt;/author&gt;&lt;/authors&gt;&lt;/contributors&gt;&lt;titles&gt;&lt;title&gt;mclust: Gaussian mixture modelling for model-based clustering, classification, and density estimation&lt;/title&gt;&lt;/titles&gt;&lt;edition&gt;R package version 5.1&lt;/edition&gt;&lt;dates&gt;&lt;year&gt;2016&lt;/year&gt;&lt;/dates&gt;&lt;urls&gt;&lt;related-urls&gt;&lt;url&gt;https://CRAN.R-project.org/package=mclust&lt;/url&gt;&lt;/related-urls&gt;&lt;/urls&gt;&lt;/record&gt;&lt;/Cite&gt;&lt;/EndNote&gt;</w:instrText>
      </w:r>
      <w:r w:rsidR="00D834F0" w:rsidRPr="00AC13E7">
        <w:rPr>
          <w:color w:val="000000"/>
        </w:rPr>
        <w:fldChar w:fldCharType="separate"/>
      </w:r>
      <w:r w:rsidR="00D86E26" w:rsidRPr="00D86E26">
        <w:rPr>
          <w:noProof/>
          <w:color w:val="000000"/>
          <w:vertAlign w:val="superscript"/>
        </w:rPr>
        <w:t>24,25</w:t>
      </w:r>
      <w:r w:rsidR="00D834F0" w:rsidRPr="00AC13E7">
        <w:rPr>
          <w:color w:val="000000"/>
        </w:rPr>
        <w:fldChar w:fldCharType="end"/>
      </w:r>
      <w:r w:rsidRPr="00AC13E7">
        <w:rPr>
          <w:color w:val="000000"/>
        </w:rPr>
        <w:t xml:space="preserve"> is used for implementation. </w:t>
      </w:r>
    </w:p>
    <w:p w14:paraId="52AAADFB" w14:textId="77777777" w:rsidR="00F718E9" w:rsidRPr="00AC13E7" w:rsidRDefault="00774328" w:rsidP="00967844">
      <w:pPr>
        <w:spacing w:after="240"/>
        <w:jc w:val="both"/>
        <w:rPr>
          <w:b/>
          <w:bCs/>
          <w:color w:val="000000"/>
        </w:rPr>
      </w:pPr>
      <w:r w:rsidRPr="00AC13E7">
        <w:rPr>
          <w:b/>
          <w:bCs/>
          <w:color w:val="000000"/>
        </w:rPr>
        <w:t>Postprocessing</w:t>
      </w:r>
    </w:p>
    <w:p w14:paraId="105FCC2F" w14:textId="2E95E01B" w:rsidR="00774328" w:rsidRPr="00AC13E7" w:rsidRDefault="00774328" w:rsidP="00D86E26">
      <w:pPr>
        <w:spacing w:after="240"/>
        <w:jc w:val="both"/>
        <w:rPr>
          <w:color w:val="000000"/>
        </w:rPr>
      </w:pPr>
      <w:r w:rsidRPr="00AC13E7">
        <w:rPr>
          <w:color w:val="000000"/>
        </w:rPr>
        <w:t>A postprocessing step of merging the initial CCF clusters is conducted where each CCF cluster corresponds to a Gaussian distribution in the previous step. The merger is needed because it is possible that Gaussian mixture components are not sufficiently separated from each other to be interpreted as different CCF values</w:t>
      </w:r>
      <w:r w:rsidR="0005782A" w:rsidRPr="00AC13E7">
        <w:rPr>
          <w:color w:val="000000"/>
        </w:rPr>
        <w:fldChar w:fldCharType="begin"/>
      </w:r>
      <w:r w:rsidR="00D86E26">
        <w:rPr>
          <w:color w:val="000000"/>
        </w:rPr>
        <w:instrText xml:space="preserve"> ADDIN EN.CITE &lt;EndNote&gt;&lt;Cite&gt;&lt;Author&gt;Hennig&lt;/Author&gt;&lt;Year&gt;2010&lt;/Year&gt;&lt;RecNum&gt;15&lt;/RecNum&gt;&lt;DisplayText&gt;&lt;style face="superscript"&gt;26&lt;/style&gt;&lt;/DisplayText&gt;&lt;record&gt;&lt;rec-number&gt;15&lt;/rec-number&gt;&lt;foreign-keys&gt;&lt;key app="EN" db-id="swsz0f55g50w9yex0aqvtfdxarrpzt5z00pd" timestamp="1494347441"&gt;15&lt;/key&gt;&lt;/foreign-keys&gt;&lt;ref-type name="Journal Article"&gt;17&lt;/ref-type&gt;&lt;contributors&gt;&lt;authors&gt;&lt;author&gt;Hennig, Christian&lt;/author&gt;&lt;/authors&gt;&lt;/contributors&gt;&lt;titles&gt;&lt;title&gt;Methods for merging Gaussian mixture components&lt;/title&gt;&lt;secondary-title&gt;Advances in Data Analysis and Classification&lt;/secondary-title&gt;&lt;/titles&gt;&lt;periodical&gt;&lt;full-title&gt;Advances in Data Analysis and Classification&lt;/full-title&gt;&lt;/periodical&gt;&lt;pages&gt;3-34&lt;/pages&gt;&lt;volume&gt;4&lt;/volume&gt;&lt;number&gt;1&lt;/number&gt;&lt;dates&gt;&lt;year&gt;2010&lt;/year&gt;&lt;/dates&gt;&lt;isbn&gt;1862-5355&lt;/isbn&gt;&lt;label&gt;Hennig2010&lt;/label&gt;&lt;work-type&gt;journal article&lt;/work-type&gt;&lt;urls&gt;&lt;related-urls&gt;&lt;url&gt;http://dx.doi.org/10.1007/s11634-010-0058-3&lt;/url&gt;&lt;/related-urls&gt;&lt;/urls&gt;&lt;electronic-resource-num&gt;10.1007/s11634-010-0058-3&lt;/electronic-resource-num&gt;&lt;/record&gt;&lt;/Cite&gt;&lt;/EndNote&gt;</w:instrText>
      </w:r>
      <w:r w:rsidR="0005782A" w:rsidRPr="00AC13E7">
        <w:rPr>
          <w:color w:val="000000"/>
        </w:rPr>
        <w:fldChar w:fldCharType="separate"/>
      </w:r>
      <w:r w:rsidR="00D86E26" w:rsidRPr="00D86E26">
        <w:rPr>
          <w:noProof/>
          <w:color w:val="000000"/>
          <w:vertAlign w:val="superscript"/>
        </w:rPr>
        <w:t>26</w:t>
      </w:r>
      <w:r w:rsidR="0005782A" w:rsidRPr="00AC13E7">
        <w:rPr>
          <w:color w:val="000000"/>
        </w:rPr>
        <w:fldChar w:fldCharType="end"/>
      </w:r>
      <w:r w:rsidR="0005782A" w:rsidRPr="00AC13E7">
        <w:rPr>
          <w:color w:val="000000"/>
        </w:rPr>
        <w:t xml:space="preserve">, </w:t>
      </w:r>
      <w:r w:rsidRPr="00AC13E7">
        <w:rPr>
          <w:color w:val="000000"/>
        </w:rPr>
        <w:t>especially when a set of CCF values can be described by unimodal distributions that are not Gaussian.</w:t>
      </w:r>
      <w:r w:rsidR="0005782A" w:rsidRPr="00AC13E7">
        <w:rPr>
          <w:color w:val="000000"/>
        </w:rPr>
        <w:t xml:space="preserve"> </w:t>
      </w:r>
      <w:r w:rsidRPr="00AC13E7">
        <w:rPr>
          <w:color w:val="000000"/>
        </w:rPr>
        <w:lastRenderedPageBreak/>
        <w:t>We use one of the modality-based merging methods known as the ridgeline unimodal method</w:t>
      </w:r>
      <w:r w:rsidR="000F0838" w:rsidRPr="00AC13E7">
        <w:rPr>
          <w:color w:val="000000"/>
        </w:rPr>
        <w:fldChar w:fldCharType="begin"/>
      </w:r>
      <w:r w:rsidR="00D86E26">
        <w:rPr>
          <w:color w:val="000000"/>
        </w:rPr>
        <w:instrText xml:space="preserve"> ADDIN EN.CITE &lt;EndNote&gt;&lt;Cite&gt;&lt;Author&gt;Ray&lt;/Author&gt;&lt;Year&gt;2005&lt;/Year&gt;&lt;RecNum&gt;16&lt;/RecNum&gt;&lt;DisplayText&gt;&lt;style face="superscript"&gt;27&lt;/style&gt;&lt;/DisplayText&gt;&lt;record&gt;&lt;rec-number&gt;16&lt;/rec-number&gt;&lt;foreign-keys&gt;&lt;key app="EN" db-id="swsz0f55g50w9yex0aqvtfdxarrpzt5z00pd" timestamp="1494347756"&gt;16&lt;/key&gt;&lt;/foreign-keys&gt;&lt;ref-type name="Journal Article"&gt;17&lt;/ref-type&gt;&lt;contributors&gt;&lt;authors&gt;&lt;author&gt;Ray, S.&lt;/author&gt;&lt;author&gt;Lindsay, B. G.&lt;/author&gt;&lt;/authors&gt;&lt;/contributors&gt;&lt;auth-address&gt;Univ N Carolina, Dept Biostat, Chapel Hill, NC 27599 USA&amp;#xD;Penn State Univ, Dept Stat, University Pk, PA 16802 USA&lt;/auth-address&gt;&lt;titles&gt;&lt;title&gt;The topography of multivariate normal mixtures&lt;/title&gt;&lt;secondary-title&gt;Annals of Statistics&lt;/secondary-title&gt;&lt;alt-title&gt;Ann Stat&lt;/alt-title&gt;&lt;/titles&gt;&lt;periodical&gt;&lt;full-title&gt;Annals of Statistics&lt;/full-title&gt;&lt;abbr-1&gt;Ann Stat&lt;/abbr-1&gt;&lt;/periodical&gt;&lt;alt-periodical&gt;&lt;full-title&gt;Annals of Statistics&lt;/full-title&gt;&lt;abbr-1&gt;Ann Stat&lt;/abbr-1&gt;&lt;/alt-periodical&gt;&lt;pages&gt;2042-2065&lt;/pages&gt;&lt;volume&gt;33&lt;/volume&gt;&lt;number&gt;5&lt;/number&gt;&lt;keywords&gt;&lt;keyword&gt;mixture&lt;/keyword&gt;&lt;keyword&gt;modal cluster&lt;/keyword&gt;&lt;keyword&gt;multivariate mode&lt;/keyword&gt;&lt;keyword&gt;clustering&lt;/keyword&gt;&lt;keyword&gt;dimension reduction&lt;/keyword&gt;&lt;keyword&gt;topography&lt;/keyword&gt;&lt;keyword&gt;manifold&lt;/keyword&gt;&lt;keyword&gt;t-distribution&lt;/keyword&gt;&lt;keyword&gt;distributions&lt;/keyword&gt;&lt;keyword&gt;number&lt;/keyword&gt;&lt;keyword&gt;modes&lt;/keyword&gt;&lt;/keywords&gt;&lt;dates&gt;&lt;year&gt;2005&lt;/year&gt;&lt;pub-dates&gt;&lt;date&gt;Oct&lt;/date&gt;&lt;/pub-dates&gt;&lt;/dates&gt;&lt;isbn&gt;0090-5364&lt;/isbn&gt;&lt;accession-num&gt;WOS:000234092100003&lt;/accession-num&gt;&lt;urls&gt;&lt;related-urls&gt;&lt;url&gt;&amp;lt;Go to ISI&amp;gt;://WOS:000234092100003&lt;/url&gt;&lt;/related-urls&gt;&lt;/urls&gt;&lt;electronic-resource-num&gt;10.1214/00905360500000417&lt;/electronic-resource-num&gt;&lt;language&gt;English&lt;/language&gt;&lt;/record&gt;&lt;/Cite&gt;&lt;/EndNote&gt;</w:instrText>
      </w:r>
      <w:r w:rsidR="000F0838" w:rsidRPr="00AC13E7">
        <w:rPr>
          <w:color w:val="000000"/>
        </w:rPr>
        <w:fldChar w:fldCharType="separate"/>
      </w:r>
      <w:r w:rsidR="00D86E26" w:rsidRPr="00D86E26">
        <w:rPr>
          <w:noProof/>
          <w:color w:val="000000"/>
          <w:vertAlign w:val="superscript"/>
        </w:rPr>
        <w:t>27</w:t>
      </w:r>
      <w:r w:rsidR="000F0838" w:rsidRPr="00AC13E7">
        <w:rPr>
          <w:color w:val="000000"/>
        </w:rPr>
        <w:fldChar w:fldCharType="end"/>
      </w:r>
      <w:r w:rsidR="000F0838" w:rsidRPr="00AC13E7">
        <w:rPr>
          <w:color w:val="000000"/>
        </w:rPr>
        <w:t xml:space="preserve">. </w:t>
      </w:r>
      <w:r w:rsidRPr="00AC13E7">
        <w:rPr>
          <w:color w:val="000000"/>
        </w:rPr>
        <w:t xml:space="preserve">This method aims to find a partition of mixture components such that it would create unimodal clusters but further merging would generate a non-unimodal cluster. See </w:t>
      </w:r>
      <w:r w:rsidR="008E4AAE" w:rsidRPr="00AC13E7">
        <w:rPr>
          <w:color w:val="000000"/>
        </w:rPr>
        <w:fldChar w:fldCharType="begin"/>
      </w:r>
      <w:r w:rsidR="008E4AAE" w:rsidRPr="00AC13E7">
        <w:rPr>
          <w:color w:val="000000"/>
        </w:rPr>
        <w:instrText xml:space="preserve"> REF _Ref379537026 \h </w:instrText>
      </w:r>
      <w:r w:rsidR="008E4AAE" w:rsidRPr="00AC13E7">
        <w:rPr>
          <w:color w:val="000000"/>
        </w:rPr>
      </w:r>
      <w:r w:rsidR="008E4AAE" w:rsidRPr="00AC13E7">
        <w:rPr>
          <w:color w:val="000000"/>
        </w:rPr>
        <w:fldChar w:fldCharType="separate"/>
      </w:r>
      <w:r w:rsidR="00673FBD" w:rsidRPr="00AC13E7">
        <w:t xml:space="preserve">Fig. </w:t>
      </w:r>
      <w:r w:rsidR="00673FBD">
        <w:rPr>
          <w:noProof/>
        </w:rPr>
        <w:t>20</w:t>
      </w:r>
      <w:r w:rsidR="008E4AAE" w:rsidRPr="00AC13E7">
        <w:rPr>
          <w:color w:val="000000"/>
        </w:rPr>
        <w:fldChar w:fldCharType="end"/>
      </w:r>
      <w:r w:rsidR="006D51FB" w:rsidRPr="00AC13E7">
        <w:rPr>
          <w:color w:val="000000"/>
        </w:rPr>
        <w:t xml:space="preserve"> </w:t>
      </w:r>
      <w:r w:rsidRPr="00AC13E7">
        <w:rPr>
          <w:color w:val="000000"/>
        </w:rPr>
        <w:t xml:space="preserve">for an example. After merging all the Gaussian mixture components, we obtain a set of CCF clusters. Then as a final step, we collapse all the CCF clusters with cluster means greater than 0.9 into a single clonal cluster with the new cluster mean equal to 1.0. SNVs in the final CCF cluster with mean equal to 1 or less than 1 are considered clonal or subclonal, respectively. Clustering membership gives the assignment of SNVs to each cluster. We merge the Gaussian mixture components using the </w:t>
      </w:r>
      <w:r w:rsidRPr="00AC13E7">
        <w:rPr>
          <w:i/>
          <w:color w:val="000000"/>
        </w:rPr>
        <w:t>mergenormals</w:t>
      </w:r>
      <w:r w:rsidRPr="00AC13E7">
        <w:rPr>
          <w:color w:val="000000"/>
        </w:rPr>
        <w:t xml:space="preserve"> function in the R package </w:t>
      </w:r>
      <w:r w:rsidRPr="00AC13E7">
        <w:rPr>
          <w:i/>
          <w:color w:val="000000"/>
        </w:rPr>
        <w:t>fpc</w:t>
      </w:r>
      <w:r w:rsidR="00967844" w:rsidRPr="00AC13E7">
        <w:rPr>
          <w:color w:val="000000"/>
        </w:rPr>
        <w:fldChar w:fldCharType="begin"/>
      </w:r>
      <w:r w:rsidR="00D86E26">
        <w:rPr>
          <w:color w:val="000000"/>
        </w:rPr>
        <w:instrText xml:space="preserve"> ADDIN EN.CITE &lt;EndNote&gt;&lt;Cite&gt;&lt;Author&gt;Hennig&lt;/Author&gt;&lt;Year&gt;2010&lt;/Year&gt;&lt;RecNum&gt;15&lt;/RecNum&gt;&lt;DisplayText&gt;&lt;style face="superscript"&gt;26&lt;/style&gt;&lt;/DisplayText&gt;&lt;record&gt;&lt;rec-number&gt;15&lt;/rec-number&gt;&lt;foreign-keys&gt;&lt;key app="EN" db-id="swsz0f55g50w9yex0aqvtfdxarrpzt5z00pd" timestamp="1494347441"&gt;15&lt;/key&gt;&lt;/foreign-keys&gt;&lt;ref-type name="Journal Article"&gt;17&lt;/ref-type&gt;&lt;contributors&gt;&lt;authors&gt;&lt;author&gt;Hennig, Christian&lt;/author&gt;&lt;/authors&gt;&lt;/contributors&gt;&lt;titles&gt;&lt;title&gt;Methods for merging Gaussian mixture components&lt;/title&gt;&lt;secondary-title&gt;Advances in Data Analysis and Classification&lt;/secondary-title&gt;&lt;/titles&gt;&lt;periodical&gt;&lt;full-title&gt;Advances in Data Analysis and Classification&lt;/full-title&gt;&lt;/periodical&gt;&lt;pages&gt;3-34&lt;/pages&gt;&lt;volume&gt;4&lt;/volume&gt;&lt;number&gt;1&lt;/number&gt;&lt;dates&gt;&lt;year&gt;2010&lt;/year&gt;&lt;/dates&gt;&lt;isbn&gt;1862-5355&lt;/isbn&gt;&lt;label&gt;Hennig2010&lt;/label&gt;&lt;work-type&gt;journal article&lt;/work-type&gt;&lt;urls&gt;&lt;related-urls&gt;&lt;url&gt;http://dx.doi.org/10.1007/s11634-010-0058-3&lt;/url&gt;&lt;/related-urls&gt;&lt;/urls&gt;&lt;electronic-resource-num&gt;10.1007/s11634-010-0058-3&lt;/electronic-resource-num&gt;&lt;/record&gt;&lt;/Cite&gt;&lt;/EndNote&gt;</w:instrText>
      </w:r>
      <w:r w:rsidR="00967844" w:rsidRPr="00AC13E7">
        <w:rPr>
          <w:color w:val="000000"/>
        </w:rPr>
        <w:fldChar w:fldCharType="separate"/>
      </w:r>
      <w:r w:rsidR="00D86E26" w:rsidRPr="00D86E26">
        <w:rPr>
          <w:noProof/>
          <w:color w:val="000000"/>
          <w:vertAlign w:val="superscript"/>
        </w:rPr>
        <w:t>26</w:t>
      </w:r>
      <w:r w:rsidR="00967844" w:rsidRPr="00AC13E7">
        <w:rPr>
          <w:color w:val="000000"/>
        </w:rPr>
        <w:fldChar w:fldCharType="end"/>
      </w:r>
      <w:r w:rsidR="00967844" w:rsidRPr="00AC13E7">
        <w:rPr>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30138E" w:rsidRPr="00AC13E7" w14:paraId="30D351B0" w14:textId="77777777" w:rsidTr="0030138E">
        <w:tc>
          <w:tcPr>
            <w:tcW w:w="4258" w:type="dxa"/>
          </w:tcPr>
          <w:p w14:paraId="3808D9F2" w14:textId="69F4BCCE" w:rsidR="0030138E" w:rsidRPr="00AC13E7" w:rsidRDefault="0030138E" w:rsidP="00D05EAE">
            <w:pPr>
              <w:spacing w:after="240"/>
              <w:jc w:val="both"/>
            </w:pPr>
            <w:r w:rsidRPr="00AC13E7">
              <w:rPr>
                <w:noProof/>
                <w:lang w:eastAsia="en-GB"/>
              </w:rPr>
              <w:drawing>
                <wp:inline distT="0" distB="0" distL="0" distR="0" wp14:anchorId="6CFC177B" wp14:editId="1E1DB210">
                  <wp:extent cx="2633345" cy="2633345"/>
                  <wp:effectExtent l="0" t="0" r="0" b="0"/>
                  <wp:docPr id="23" name="Picture 5" descr="https://lh5.googleusercontent.com/8g_aP0uWgagnn5ZDq416MhgTYwqbI12g00xejSxcZqabIfdzNQAsjCEX94S4UpgpwaE6sOh19WtDW8o2ZBv8tg0xUgBv3yZgRAJnT2X93dOy1XWwow7ufl-dQpRNeXZTx4n_7T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8g_aP0uWgagnn5ZDq416MhgTYwqbI12g00xejSxcZqabIfdzNQAsjCEX94S4UpgpwaE6sOh19WtDW8o2ZBv8tg0xUgBv3yZgRAJnT2X93dOy1XWwow7ufl-dQpRNeXZTx4n_7TS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3345" cy="2633345"/>
                          </a:xfrm>
                          <a:prstGeom prst="rect">
                            <a:avLst/>
                          </a:prstGeom>
                          <a:noFill/>
                          <a:ln>
                            <a:noFill/>
                          </a:ln>
                        </pic:spPr>
                      </pic:pic>
                    </a:graphicData>
                  </a:graphic>
                </wp:inline>
              </w:drawing>
            </w:r>
          </w:p>
        </w:tc>
        <w:tc>
          <w:tcPr>
            <w:tcW w:w="4258" w:type="dxa"/>
          </w:tcPr>
          <w:p w14:paraId="469DDA7A" w14:textId="195BC32F" w:rsidR="0030138E" w:rsidRPr="00AC13E7" w:rsidRDefault="0030138E" w:rsidP="00D05EAE">
            <w:pPr>
              <w:spacing w:after="240"/>
              <w:jc w:val="both"/>
            </w:pPr>
            <w:r w:rsidRPr="00AC13E7">
              <w:rPr>
                <w:noProof/>
                <w:lang w:eastAsia="en-GB"/>
              </w:rPr>
              <w:drawing>
                <wp:inline distT="0" distB="0" distL="0" distR="0" wp14:anchorId="705B9DA4" wp14:editId="05BB85EE">
                  <wp:extent cx="2633345" cy="2633345"/>
                  <wp:effectExtent l="0" t="0" r="0" b="0"/>
                  <wp:docPr id="24" name="Picture 4" descr="https://lh4.googleusercontent.com/be7dvcLZKDBqN5nwCeqzGL1BKlHSdzWgo4ThY2YEK101mYBJd1M6U2gxO4Zo2ta29P9ANNMAr-lr8PebJSZzcIuw_q-cIBtWaEnGCA_WRvOpM8P_ss7gtq_VPZp_Hkcs_gkRiH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be7dvcLZKDBqN5nwCeqzGL1BKlHSdzWgo4ThY2YEK101mYBJd1M6U2gxO4Zo2ta29P9ANNMAr-lr8PebJSZzcIuw_q-cIBtWaEnGCA_WRvOpM8P_ss7gtq_VPZp_Hkcs_gkRiHz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33345" cy="2633345"/>
                          </a:xfrm>
                          <a:prstGeom prst="rect">
                            <a:avLst/>
                          </a:prstGeom>
                          <a:noFill/>
                          <a:ln>
                            <a:noFill/>
                          </a:ln>
                        </pic:spPr>
                      </pic:pic>
                    </a:graphicData>
                  </a:graphic>
                </wp:inline>
              </w:drawing>
            </w:r>
          </w:p>
        </w:tc>
      </w:tr>
    </w:tbl>
    <w:p w14:paraId="0140B9B1" w14:textId="48674201" w:rsidR="00AC7976" w:rsidRPr="00AC13E7" w:rsidRDefault="0030138E" w:rsidP="004916C9">
      <w:pPr>
        <w:pStyle w:val="Caption"/>
      </w:pPr>
      <w:bookmarkStart w:id="99" w:name="_Ref379537026"/>
      <w:bookmarkStart w:id="100" w:name="_Toc384459591"/>
      <w:r w:rsidRPr="00AC13E7">
        <w:t xml:space="preserve">Fig. </w:t>
      </w:r>
      <w:r w:rsidR="001003E9">
        <w:fldChar w:fldCharType="begin"/>
      </w:r>
      <w:r w:rsidR="001003E9">
        <w:instrText xml:space="preserve"> SEQ Fig. \* ARABIC </w:instrText>
      </w:r>
      <w:r w:rsidR="001003E9">
        <w:fldChar w:fldCharType="separate"/>
      </w:r>
      <w:r w:rsidR="00673FBD">
        <w:rPr>
          <w:noProof/>
        </w:rPr>
        <w:t>20</w:t>
      </w:r>
      <w:r w:rsidR="001003E9">
        <w:rPr>
          <w:noProof/>
        </w:rPr>
        <w:fldChar w:fldCharType="end"/>
      </w:r>
      <w:bookmarkEnd w:id="99"/>
      <w:r w:rsidRPr="00AC13E7">
        <w:t xml:space="preserve"> An example of merging using a PCAWG sample SA6164. Left and right panels are CCF clusters before and after merging of Gaussian components.</w:t>
      </w:r>
      <w:bookmarkEnd w:id="100"/>
    </w:p>
    <w:p w14:paraId="3C5BF4BC" w14:textId="77777777" w:rsidR="00F943FC" w:rsidRPr="00AC13E7" w:rsidRDefault="00F943FC" w:rsidP="00F943FC"/>
    <w:p w14:paraId="14A6F5AA" w14:textId="12E5D240" w:rsidR="00720570" w:rsidRPr="00AC13E7" w:rsidRDefault="00BB74A4" w:rsidP="00874665">
      <w:pPr>
        <w:pStyle w:val="Heading3"/>
        <w:rPr>
          <w:rFonts w:ascii="Times New Roman" w:hAnsi="Times New Roman" w:cs="Times New Roman"/>
          <w:b w:val="0"/>
          <w:bCs/>
          <w:sz w:val="32"/>
          <w:szCs w:val="32"/>
          <w:lang w:val="en-GB"/>
        </w:rPr>
      </w:pPr>
      <w:bookmarkStart w:id="101" w:name="_8t96kf1wpilu" w:colFirst="0" w:colLast="0"/>
      <w:bookmarkStart w:id="102" w:name="_Toc499569273"/>
      <w:bookmarkStart w:id="103" w:name="_Toc499571737"/>
      <w:bookmarkStart w:id="104" w:name="_Toc391905017"/>
      <w:bookmarkEnd w:id="101"/>
      <w:r w:rsidRPr="00AC13E7">
        <w:rPr>
          <w:rFonts w:ascii="Times New Roman" w:hAnsi="Times New Roman" w:cs="Times New Roman"/>
          <w:b w:val="0"/>
          <w:bCs/>
          <w:sz w:val="32"/>
          <w:szCs w:val="32"/>
          <w:lang w:val="en-GB"/>
        </w:rPr>
        <w:t>2.1.</w:t>
      </w:r>
      <w:r w:rsidR="00B467F2" w:rsidRPr="00AC13E7">
        <w:rPr>
          <w:rFonts w:ascii="Times New Roman" w:hAnsi="Times New Roman" w:cs="Times New Roman"/>
          <w:b w:val="0"/>
          <w:bCs/>
          <w:sz w:val="32"/>
          <w:szCs w:val="32"/>
          <w:lang w:val="en-GB"/>
        </w:rPr>
        <w:t xml:space="preserve">2 </w:t>
      </w:r>
      <w:r w:rsidRPr="00AC13E7">
        <w:rPr>
          <w:rFonts w:ascii="Times New Roman" w:hAnsi="Times New Roman" w:cs="Times New Roman"/>
          <w:b w:val="0"/>
          <w:bCs/>
          <w:sz w:val="32"/>
          <w:szCs w:val="32"/>
          <w:lang w:val="en-GB"/>
        </w:rPr>
        <w:t>Ccube</w:t>
      </w:r>
      <w:bookmarkEnd w:id="102"/>
      <w:bookmarkEnd w:id="103"/>
      <w:bookmarkEnd w:id="104"/>
    </w:p>
    <w:p w14:paraId="0BDECC14" w14:textId="77777777" w:rsidR="00C875A8" w:rsidRPr="00AC13E7" w:rsidRDefault="00C875A8" w:rsidP="00C875A8">
      <w:pPr>
        <w:jc w:val="both"/>
        <w:rPr>
          <w:bCs/>
        </w:rPr>
      </w:pPr>
      <w:r w:rsidRPr="00AC13E7">
        <w:rPr>
          <w:bCs/>
        </w:rPr>
        <w:t>Ke Yuan, Geoff Macintyre, Florian Markowetz</w:t>
      </w:r>
    </w:p>
    <w:p w14:paraId="58548F9E" w14:textId="77777777" w:rsidR="00874665" w:rsidRPr="00AC13E7" w:rsidRDefault="00874665" w:rsidP="00853422">
      <w:pPr>
        <w:jc w:val="both"/>
        <w:rPr>
          <w:b/>
        </w:rPr>
      </w:pPr>
    </w:p>
    <w:p w14:paraId="77BEFCBA" w14:textId="77777777" w:rsidR="00F718E9" w:rsidRPr="00AC13E7" w:rsidRDefault="00CB2B98" w:rsidP="006C4C00">
      <w:pPr>
        <w:jc w:val="both"/>
      </w:pPr>
      <w:r w:rsidRPr="00AC13E7">
        <w:rPr>
          <w:b/>
        </w:rPr>
        <w:t>Preprocessing</w:t>
      </w:r>
    </w:p>
    <w:p w14:paraId="0ABEEF19" w14:textId="6D9C1F8F" w:rsidR="00CB2B98" w:rsidRPr="00AC13E7" w:rsidRDefault="00CB2B98" w:rsidP="0057679D">
      <w:pPr>
        <w:jc w:val="both"/>
      </w:pPr>
      <w:r w:rsidRPr="00AC13E7">
        <w:t xml:space="preserve">The Ccube pipeline uses the consensus copy number, consensus purity and variant and reference allele read counts from consensus somatic point mutation calls. </w:t>
      </w:r>
    </w:p>
    <w:p w14:paraId="59E735E6" w14:textId="77777777" w:rsidR="00CB2B98" w:rsidRPr="00AC13E7" w:rsidRDefault="00CB2B98" w:rsidP="0057679D">
      <w:pPr>
        <w:jc w:val="both"/>
      </w:pPr>
    </w:p>
    <w:p w14:paraId="064ED6DC" w14:textId="77777777" w:rsidR="00F718E9" w:rsidRPr="00AC13E7" w:rsidRDefault="00CB2B98" w:rsidP="0057679D">
      <w:pPr>
        <w:jc w:val="both"/>
      </w:pPr>
      <w:r w:rsidRPr="00AC13E7">
        <w:rPr>
          <w:b/>
        </w:rPr>
        <w:t>Purity</w:t>
      </w:r>
    </w:p>
    <w:p w14:paraId="796F1534" w14:textId="77777777" w:rsidR="00736863" w:rsidRPr="00AC13E7" w:rsidRDefault="008E531F" w:rsidP="00736863">
      <w:pPr>
        <w:jc w:val="both"/>
      </w:pPr>
      <w:r w:rsidRPr="00AC13E7">
        <w:t xml:space="preserve">The </w:t>
      </w:r>
      <w:r w:rsidR="00CB2B98" w:rsidRPr="00AC13E7">
        <w:t>Ccube pipeline also produces an independent purity estimate using mutations from balanced copy number regions. For samples without whole-genome duplication, only mutations in normal copy number regions are included. For samples with whole-genome duplication, all mutations in balanced copy number regions are included. We then convert the allele frequencies to cellular prevalence</w:t>
      </w:r>
      <w:r w:rsidR="00713063" w:rsidRPr="00AC13E7">
        <w:t xml:space="preserve"> </w:t>
      </w:r>
      <w:r w:rsidR="00107FBF" w:rsidRPr="00AC13E7">
        <w:t>estimates</w:t>
      </w:r>
      <w:r w:rsidR="00CB2B98" w:rsidRPr="00AC13E7">
        <w:t xml:space="preserve"> using the following equation:</w:t>
      </w:r>
    </w:p>
    <w:p w14:paraId="53F94A00" w14:textId="03D37889" w:rsidR="00CB2B98" w:rsidRPr="00AC13E7" w:rsidRDefault="00CB2B98" w:rsidP="00ED5ECC">
      <w:pPr>
        <w:jc w:val="right"/>
      </w:pPr>
      <w:r w:rsidRPr="00AC13E7">
        <w:t xml:space="preserve"> </w:t>
      </w:r>
      <m:oMath>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η</m:t>
                </m:r>
              </m:e>
              <m:sub>
                <m:r>
                  <w:rPr>
                    <w:rFonts w:ascii="Cambria Math" w:hAnsi="Cambria Math"/>
                  </w:rPr>
                  <m:t>i</m:t>
                </m:r>
              </m:sub>
            </m:sSub>
            <m:sSub>
              <m:sSubPr>
                <m:ctrlPr>
                  <w:rPr>
                    <w:rFonts w:ascii="Cambria Math" w:hAnsi="Cambria Math"/>
                    <w:i/>
                  </w:rPr>
                </m:ctrlPr>
              </m:sSubPr>
              <m:e>
                <m:r>
                  <w:rPr>
                    <w:rFonts w:ascii="Cambria Math" w:hAnsi="Cambria Math"/>
                  </w:rPr>
                  <m:t>n</m:t>
                </m:r>
              </m:e>
              <m:sub>
                <m:r>
                  <w:rPr>
                    <w:rFonts w:ascii="Cambria Math" w:hAnsi="Cambria Math"/>
                  </w:rPr>
                  <m:t>i,</m:t>
                </m:r>
                <m:sSub>
                  <m:sSubPr>
                    <m:ctrlPr>
                      <w:rPr>
                        <w:rFonts w:ascii="Cambria Math" w:hAnsi="Cambria Math"/>
                        <w:i/>
                      </w:rPr>
                    </m:ctrlPr>
                  </m:sSubPr>
                  <m:e>
                    <m:r>
                      <w:rPr>
                        <w:rFonts w:ascii="Cambria Math" w:hAnsi="Cambria Math"/>
                      </w:rPr>
                      <m:t>tot</m:t>
                    </m:r>
                  </m:e>
                  <m:sub>
                    <m:r>
                      <w:rPr>
                        <w:rFonts w:ascii="Cambria Math" w:hAnsi="Cambria Math"/>
                      </w:rPr>
                      <m:t>t</m:t>
                    </m:r>
                  </m:sub>
                </m:sSub>
              </m:sub>
            </m:sSub>
          </m:num>
          <m:den>
            <m:r>
              <w:rPr>
                <w:rFonts w:ascii="Cambria Math" w:hAnsi="Cambria Math"/>
              </w:rPr>
              <m:t xml:space="preserve">2((1- </m:t>
            </m:r>
            <m:sSub>
              <m:sSubPr>
                <m:ctrlPr>
                  <w:rPr>
                    <w:rFonts w:ascii="Cambria Math" w:hAnsi="Cambria Math"/>
                    <w:i/>
                  </w:rPr>
                </m:ctrlPr>
              </m:sSubPr>
              <m:e>
                <m:r>
                  <w:rPr>
                    <w:rFonts w:ascii="Cambria Math" w:hAnsi="Cambria Math"/>
                  </w:rPr>
                  <m:t>η</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i,</m:t>
                </m:r>
                <m:sSub>
                  <m:sSubPr>
                    <m:ctrlPr>
                      <w:rPr>
                        <w:rFonts w:ascii="Cambria Math" w:hAnsi="Cambria Math"/>
                        <w:i/>
                      </w:rPr>
                    </m:ctrlPr>
                  </m:sSubPr>
                  <m:e>
                    <m:r>
                      <w:rPr>
                        <w:rFonts w:ascii="Cambria Math" w:hAnsi="Cambria Math"/>
                      </w:rPr>
                      <m:t>tot</m:t>
                    </m:r>
                  </m:e>
                  <m:sub>
                    <m:r>
                      <w:rPr>
                        <w:rFonts w:ascii="Cambria Math" w:hAnsi="Cambria Math"/>
                      </w:rPr>
                      <m:t>n</m:t>
                    </m:r>
                  </m:sub>
                </m:sSub>
              </m:sub>
            </m:sSub>
            <m:r>
              <w:rPr>
                <w:rFonts w:ascii="Cambria Math" w:hAnsi="Cambria Math"/>
              </w:rPr>
              <m:t xml:space="preserve">+ </m:t>
            </m:r>
            <m:sSub>
              <m:sSubPr>
                <m:ctrlPr>
                  <w:rPr>
                    <w:rFonts w:ascii="Cambria Math" w:hAnsi="Cambria Math"/>
                    <w:i/>
                  </w:rPr>
                </m:ctrlPr>
              </m:sSubPr>
              <m:e>
                <m:r>
                  <w:rPr>
                    <w:rFonts w:ascii="Cambria Math" w:hAnsi="Cambria Math"/>
                  </w:rPr>
                  <m:t>η</m:t>
                </m:r>
              </m:e>
              <m:sub>
                <m:r>
                  <w:rPr>
                    <w:rFonts w:ascii="Cambria Math" w:hAnsi="Cambria Math"/>
                  </w:rPr>
                  <m:t>i</m:t>
                </m:r>
              </m:sub>
            </m:sSub>
            <m:sSub>
              <m:sSubPr>
                <m:ctrlPr>
                  <w:rPr>
                    <w:rFonts w:ascii="Cambria Math" w:hAnsi="Cambria Math"/>
                    <w:i/>
                  </w:rPr>
                </m:ctrlPr>
              </m:sSubPr>
              <m:e>
                <m:r>
                  <w:rPr>
                    <w:rFonts w:ascii="Cambria Math" w:hAnsi="Cambria Math"/>
                  </w:rPr>
                  <m:t>n</m:t>
                </m:r>
              </m:e>
              <m:sub>
                <m:r>
                  <w:rPr>
                    <w:rFonts w:ascii="Cambria Math" w:hAnsi="Cambria Math"/>
                  </w:rPr>
                  <m:t>i,</m:t>
                </m:r>
                <m:sSub>
                  <m:sSubPr>
                    <m:ctrlPr>
                      <w:rPr>
                        <w:rFonts w:ascii="Cambria Math" w:hAnsi="Cambria Math"/>
                        <w:i/>
                      </w:rPr>
                    </m:ctrlPr>
                  </m:sSubPr>
                  <m:e>
                    <m:r>
                      <w:rPr>
                        <w:rFonts w:ascii="Cambria Math" w:hAnsi="Cambria Math"/>
                      </w:rPr>
                      <m:t>tot</m:t>
                    </m:r>
                  </m:e>
                  <m:sub>
                    <m:r>
                      <w:rPr>
                        <w:rFonts w:ascii="Cambria Math" w:hAnsi="Cambria Math"/>
                      </w:rPr>
                      <m:t>t</m:t>
                    </m:r>
                  </m:sub>
                </m:sSub>
              </m:sub>
            </m:sSub>
          </m:den>
        </m:f>
      </m:oMath>
      <w:r w:rsidR="00736863" w:rsidRPr="00AC13E7">
        <w:tab/>
      </w:r>
      <w:r w:rsidR="00736863" w:rsidRPr="00AC13E7">
        <w:tab/>
      </w:r>
      <w:r w:rsidR="00736863" w:rsidRPr="00AC13E7">
        <w:tab/>
      </w:r>
      <w:r w:rsidR="00736863" w:rsidRPr="00AC13E7">
        <w:tab/>
      </w:r>
      <w:r w:rsidR="00161C31" w:rsidRPr="00AC13E7">
        <w:t>(1)</w:t>
      </w:r>
    </w:p>
    <w:p w14:paraId="1D98D504" w14:textId="33201DFD" w:rsidR="00CB2B98" w:rsidRPr="00AC13E7" w:rsidRDefault="00CB2B98" w:rsidP="00D86E26">
      <w:pPr>
        <w:jc w:val="both"/>
      </w:pPr>
      <w:r w:rsidRPr="00AC13E7">
        <w:t xml:space="preserve">Where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sidRPr="00AC13E7">
        <w:t xml:space="preserve"> is the VAF of the</w:t>
      </w:r>
      <w:r w:rsidR="00EF286C" w:rsidRPr="00AC13E7">
        <w:t xml:space="preserve"> </w:t>
      </w:r>
      <w:r w:rsidR="00552AE2" w:rsidRPr="00AC13E7">
        <w:rPr>
          <w:rFonts w:ascii="Cambria Math" w:hAnsi="Cambria Math"/>
          <w:i/>
          <w:iCs/>
          <w:noProof/>
        </w:rPr>
        <w:t>i</w:t>
      </w:r>
      <w:r w:rsidR="00552AE2" w:rsidRPr="00AC13E7">
        <w:rPr>
          <w:rFonts w:ascii="Cambria Math" w:hAnsi="Cambria Math"/>
          <w:i/>
          <w:iCs/>
        </w:rPr>
        <w:t xml:space="preserve"> </w:t>
      </w:r>
      <w:r w:rsidRPr="00AC13E7">
        <w:t xml:space="preserve">th mutation obtained as the ratio between variant and wild-type allele counts, </w:t>
      </w:r>
      <m:oMath>
        <m:sSub>
          <m:sSubPr>
            <m:ctrlPr>
              <w:rPr>
                <w:rFonts w:ascii="Cambria Math" w:hAnsi="Cambria Math"/>
                <w:i/>
              </w:rPr>
            </m:ctrlPr>
          </m:sSubPr>
          <m:e>
            <m:r>
              <w:rPr>
                <w:rFonts w:ascii="Cambria Math" w:hAnsi="Cambria Math"/>
              </w:rPr>
              <m:t>η</m:t>
            </m:r>
          </m:e>
          <m:sub>
            <m:r>
              <w:rPr>
                <w:rFonts w:ascii="Cambria Math" w:hAnsi="Cambria Math"/>
              </w:rPr>
              <m:t>i</m:t>
            </m:r>
          </m:sub>
        </m:sSub>
      </m:oMath>
      <w:r w:rsidRPr="00AC13E7">
        <w:t xml:space="preserve"> is the cellular prevalence of the</w:t>
      </w:r>
      <w:r w:rsidR="00EF286C" w:rsidRPr="00AC13E7">
        <w:rPr>
          <w:rFonts w:ascii="Cambria Math" w:hAnsi="Cambria Math"/>
          <w:i/>
          <w:iCs/>
          <w:noProof/>
        </w:rPr>
        <w:t xml:space="preserve"> i</w:t>
      </w:r>
      <w:r w:rsidR="00EF286C" w:rsidRPr="00AC13E7">
        <w:rPr>
          <w:rFonts w:ascii="Cambria Math" w:hAnsi="Cambria Math"/>
          <w:i/>
          <w:iCs/>
        </w:rPr>
        <w:t xml:space="preserve"> </w:t>
      </w:r>
      <w:r w:rsidRPr="00AC13E7">
        <w:t xml:space="preserve">th mutation, </w:t>
      </w:r>
      <m:oMath>
        <m:sSub>
          <m:sSubPr>
            <m:ctrlPr>
              <w:rPr>
                <w:rFonts w:ascii="Cambria Math" w:hAnsi="Cambria Math"/>
                <w:i/>
              </w:rPr>
            </m:ctrlPr>
          </m:sSubPr>
          <m:e>
            <m:r>
              <w:rPr>
                <w:rFonts w:ascii="Cambria Math" w:hAnsi="Cambria Math"/>
              </w:rPr>
              <m:t>n</m:t>
            </m:r>
          </m:e>
          <m:sub>
            <m:r>
              <w:rPr>
                <w:rFonts w:ascii="Cambria Math" w:hAnsi="Cambria Math"/>
              </w:rPr>
              <m:t>i,</m:t>
            </m:r>
            <m:sSub>
              <m:sSubPr>
                <m:ctrlPr>
                  <w:rPr>
                    <w:rFonts w:ascii="Cambria Math" w:hAnsi="Cambria Math"/>
                    <w:i/>
                  </w:rPr>
                </m:ctrlPr>
              </m:sSubPr>
              <m:e>
                <m:r>
                  <w:rPr>
                    <w:rFonts w:ascii="Cambria Math" w:hAnsi="Cambria Math"/>
                  </w:rPr>
                  <m:t>tot</m:t>
                </m:r>
              </m:e>
              <m:sub>
                <m:r>
                  <w:rPr>
                    <w:rFonts w:ascii="Cambria Math" w:hAnsi="Cambria Math"/>
                  </w:rPr>
                  <m:t>n</m:t>
                </m:r>
              </m:sub>
            </m:sSub>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i,</m:t>
            </m:r>
            <m:sSub>
              <m:sSubPr>
                <m:ctrlPr>
                  <w:rPr>
                    <w:rFonts w:ascii="Cambria Math" w:hAnsi="Cambria Math"/>
                    <w:i/>
                  </w:rPr>
                </m:ctrlPr>
              </m:sSubPr>
              <m:e>
                <m:r>
                  <w:rPr>
                    <w:rFonts w:ascii="Cambria Math" w:hAnsi="Cambria Math"/>
                  </w:rPr>
                  <m:t>tot</m:t>
                </m:r>
              </m:e>
              <m:sub>
                <m:r>
                  <w:rPr>
                    <w:rFonts w:ascii="Cambria Math" w:hAnsi="Cambria Math"/>
                  </w:rPr>
                  <m:t>t</m:t>
                </m:r>
              </m:sub>
            </m:sSub>
          </m:sub>
        </m:sSub>
      </m:oMath>
      <w:r w:rsidRPr="00AC13E7">
        <w:t xml:space="preserve"> are the total copy number of normal and tumour populations respectively. We then </w:t>
      </w:r>
      <w:r w:rsidRPr="00AC13E7">
        <w:lastRenderedPageBreak/>
        <w:t xml:space="preserve">cluster the </w:t>
      </w:r>
      <m:oMath>
        <m:sSub>
          <m:sSubPr>
            <m:ctrlPr>
              <w:rPr>
                <w:rFonts w:ascii="Cambria Math" w:hAnsi="Cambria Math"/>
                <w:i/>
              </w:rPr>
            </m:ctrlPr>
          </m:sSubPr>
          <m:e>
            <m:r>
              <w:rPr>
                <w:rFonts w:ascii="Cambria Math" w:hAnsi="Cambria Math"/>
              </w:rPr>
              <m:t>η</m:t>
            </m:r>
          </m:e>
          <m:sub>
            <m:r>
              <w:rPr>
                <w:rFonts w:ascii="Cambria Math" w:hAnsi="Cambria Math"/>
              </w:rPr>
              <m:t>i</m:t>
            </m:r>
          </m:sub>
        </m:sSub>
      </m:oMath>
      <w:r w:rsidRPr="00AC13E7">
        <w:t xml:space="preserve"> using student’s-t mixture model. The model is fitted with the variational Bayes approach described in</w:t>
      </w:r>
      <w:r w:rsidR="005C3A10" w:rsidRPr="00AC13E7">
        <w:t xml:space="preserve"> </w:t>
      </w:r>
      <w:r w:rsidR="008401DE" w:rsidRPr="00AC13E7">
        <w:t>Archambeau and Verleysen</w:t>
      </w:r>
      <w:r w:rsidR="000D2F93" w:rsidRPr="00AC13E7">
        <w:t xml:space="preserve"> (</w:t>
      </w:r>
      <w:r w:rsidR="008401DE" w:rsidRPr="00AC13E7">
        <w:t>2007</w:t>
      </w:r>
      <w:r w:rsidR="000D2F93" w:rsidRPr="00AC13E7">
        <w:t>)</w:t>
      </w:r>
      <w:r w:rsidR="004B7C57" w:rsidRPr="00AC13E7">
        <w:fldChar w:fldCharType="begin"/>
      </w:r>
      <w:r w:rsidR="00D86E26">
        <w:instrText xml:space="preserve"> ADDIN EN.CITE &lt;EndNote&gt;&lt;Cite&gt;&lt;Author&gt;Archambeau&lt;/Author&gt;&lt;Year&gt;2007&lt;/Year&gt;&lt;RecNum&gt;17&lt;/RecNum&gt;&lt;DisplayText&gt;&lt;style face="superscript"&gt;28&lt;/style&gt;&lt;/DisplayText&gt;&lt;record&gt;&lt;rec-number&gt;17&lt;/rec-number&gt;&lt;foreign-keys&gt;&lt;key app="EN" db-id="swsz0f55g50w9yex0aqvtfdxarrpzt5z00pd" timestamp="1494351494"&gt;17&lt;/key&gt;&lt;/foreign-keys&gt;&lt;ref-type name="Journal Article"&gt;17&lt;/ref-type&gt;&lt;contributors&gt;&lt;authors&gt;&lt;author&gt;Archambeau, C.&lt;/author&gt;&lt;author&gt;Verleysen, M.&lt;/author&gt;&lt;/authors&gt;&lt;/contributors&gt;&lt;auth-address&gt;Machine Learning Group, Universite catholique de Louvain, B-1348 Louvain-la-Neuve, Belgium. cedric.archambeau@uclouvain.be&lt;/auth-address&gt;&lt;titles&gt;&lt;title&gt;Robust Bayesian clustering&lt;/title&gt;&lt;secondary-title&gt;Neural Netw&lt;/secondary-title&gt;&lt;/titles&gt;&lt;periodical&gt;&lt;full-title&gt;Neural Netw&lt;/full-title&gt;&lt;/periodical&gt;&lt;pages&gt;129-38&lt;/pages&gt;&lt;volume&gt;20&lt;/volume&gt;&lt;number&gt;1&lt;/number&gt;&lt;keywords&gt;&lt;keyword&gt;Algorithms&lt;/keyword&gt;&lt;keyword&gt;*Bayes Theorem&lt;/keyword&gt;&lt;keyword&gt;*Cluster Analysis&lt;/keyword&gt;&lt;keyword&gt;Humans&lt;/keyword&gt;&lt;keyword&gt;Learning&lt;/keyword&gt;&lt;keyword&gt;Normal Distribution&lt;/keyword&gt;&lt;keyword&gt;*Robotics&lt;/keyword&gt;&lt;/keywords&gt;&lt;dates&gt;&lt;year&gt;2007&lt;/year&gt;&lt;pub-dates&gt;&lt;date&gt;Jan&lt;/date&gt;&lt;/pub-dates&gt;&lt;/dates&gt;&lt;isbn&gt;0893-6080 (Print)&amp;#xD;0893-6080 (Linking)&lt;/isbn&gt;&lt;accession-num&gt;17011164&lt;/accession-num&gt;&lt;urls&gt;&lt;related-urls&gt;&lt;url&gt;https://www.ncbi.nlm.nih.gov/pubmed/17011164&lt;/url&gt;&lt;/related-urls&gt;&lt;/urls&gt;&lt;electronic-resource-num&gt;10.1016/j.neunet.2006.06.009&lt;/electronic-resource-num&gt;&lt;/record&gt;&lt;/Cite&gt;&lt;/EndNote&gt;</w:instrText>
      </w:r>
      <w:r w:rsidR="004B7C57" w:rsidRPr="00AC13E7">
        <w:fldChar w:fldCharType="separate"/>
      </w:r>
      <w:r w:rsidR="00D86E26" w:rsidRPr="00D86E26">
        <w:rPr>
          <w:noProof/>
          <w:vertAlign w:val="superscript"/>
        </w:rPr>
        <w:t>28</w:t>
      </w:r>
      <w:r w:rsidR="004B7C57" w:rsidRPr="00AC13E7">
        <w:fldChar w:fldCharType="end"/>
      </w:r>
      <w:r w:rsidRPr="00AC13E7">
        <w:t>. The purity corresponds to the component with the largest mean</w:t>
      </w:r>
      <w:r w:rsidR="00C05C33" w:rsidRPr="00AC13E7">
        <w:t>.</w:t>
      </w:r>
      <w:r w:rsidRPr="00AC13E7">
        <w:t xml:space="preserve"> </w:t>
      </w:r>
      <w:r w:rsidR="00C05C33" w:rsidRPr="00AC13E7">
        <w:t>I</w:t>
      </w:r>
      <w:r w:rsidRPr="00AC13E7">
        <w:t>n addition</w:t>
      </w:r>
      <w:r w:rsidR="00D557F6" w:rsidRPr="00AC13E7">
        <w:t>,</w:t>
      </w:r>
      <w:r w:rsidRPr="00AC13E7">
        <w:t xml:space="preserve"> the eligible component must have at least more than 1.5% of mutation assigned to it. </w:t>
      </w:r>
    </w:p>
    <w:p w14:paraId="0B30CD54" w14:textId="77777777" w:rsidR="00CB2B98" w:rsidRPr="00AC13E7" w:rsidRDefault="00CB2B98" w:rsidP="0057679D">
      <w:pPr>
        <w:jc w:val="both"/>
      </w:pPr>
    </w:p>
    <w:p w14:paraId="676F3646" w14:textId="77777777" w:rsidR="00F718E9" w:rsidRPr="00AC13E7" w:rsidRDefault="00CB2B98" w:rsidP="0057679D">
      <w:pPr>
        <w:jc w:val="both"/>
        <w:rPr>
          <w:b/>
        </w:rPr>
      </w:pPr>
      <w:r w:rsidRPr="00AC13E7">
        <w:rPr>
          <w:b/>
        </w:rPr>
        <w:t>Algorithm</w:t>
      </w:r>
    </w:p>
    <w:p w14:paraId="6A41BEF1" w14:textId="72193861" w:rsidR="00CB2B98" w:rsidRPr="00AC13E7" w:rsidRDefault="00CB2B98" w:rsidP="000A1656">
      <w:pPr>
        <w:jc w:val="both"/>
      </w:pPr>
      <w:r w:rsidRPr="00AC13E7">
        <w:t>Ccube is a Bayesian mixture model for clustering cancer cell fractions. Each mutation is assumed to be a sample from a mixture of Binomial distributions, each of which is parameteri</w:t>
      </w:r>
      <w:r w:rsidR="00802594" w:rsidRPr="00AC13E7">
        <w:t>sed</w:t>
      </w:r>
      <w:r w:rsidRPr="00AC13E7">
        <w:t xml:space="preserve"> by the total number of reads covering the position and expected VAF. The expected VAF, denote as</w:t>
      </w:r>
      <w:r w:rsidR="000A1656" w:rsidRPr="00AC13E7">
        <w:t xml:space="preserve"> </w:t>
      </w:r>
      <m:oMath>
        <m:r>
          <m:rPr>
            <m:scr m:val="double-struck"/>
          </m:rPr>
          <w:rPr>
            <w:rFonts w:ascii="Cambria Math" w:hAnsi="Cambria Math"/>
          </w:rPr>
          <m:t>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i</m:t>
                </m:r>
              </m:sub>
            </m:sSub>
          </m:e>
        </m:d>
        <m:r>
          <w:rPr>
            <w:rFonts w:ascii="Cambria Math" w:hAnsi="Cambria Math"/>
          </w:rPr>
          <m:t>,</m:t>
        </m:r>
      </m:oMath>
      <w:r w:rsidRPr="00AC13E7">
        <w:t xml:space="preserve"> is parameteri</w:t>
      </w:r>
      <w:r w:rsidR="00802594" w:rsidRPr="00AC13E7">
        <w:t>sed</w:t>
      </w:r>
      <w:r w:rsidRPr="00AC13E7">
        <w:t xml:space="preserve"> as the following: </w:t>
      </w:r>
    </w:p>
    <w:p w14:paraId="3B95D80E" w14:textId="77777777" w:rsidR="00CE39AC" w:rsidRPr="00AC13E7" w:rsidRDefault="00CE39AC" w:rsidP="000A1656">
      <w:pPr>
        <w:jc w:val="both"/>
      </w:pPr>
    </w:p>
    <w:p w14:paraId="509A8379" w14:textId="3EEB7CBF" w:rsidR="00CE39AC" w:rsidRPr="00AC13E7" w:rsidRDefault="00CE39AC" w:rsidP="008B73CE">
      <w:pPr>
        <w:jc w:val="center"/>
      </w:pPr>
      <m:oMathPara>
        <m:oMath>
          <m:r>
            <m:rPr>
              <m:scr m:val="double-struck"/>
            </m:rPr>
            <w:rPr>
              <w:rFonts w:ascii="Cambria Math" w:hAnsi="Cambria Math"/>
            </w:rPr>
            <m:t>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i</m:t>
                  </m:r>
                </m:sub>
              </m:sSub>
            </m:e>
          </m:d>
          <m:r>
            <w:rPr>
              <w:rFonts w:ascii="Cambria Math" w:hAnsi="Cambria Math"/>
            </w:rPr>
            <m:t xml:space="preserve">= </m:t>
          </m:r>
          <m:f>
            <m:fPr>
              <m:ctrlPr>
                <w:rPr>
                  <w:rFonts w:ascii="Cambria Math" w:hAnsi="Cambria Math"/>
                  <w:i/>
                </w:rPr>
              </m:ctrlPr>
            </m:fPr>
            <m:num>
              <m:r>
                <w:rPr>
                  <w:rFonts w:ascii="Cambria Math" w:hAnsi="Cambria Math"/>
                </w:rPr>
                <m:t>ρ(</m:t>
              </m:r>
              <m:sSub>
                <m:sSubPr>
                  <m:ctrlPr>
                    <w:rPr>
                      <w:rFonts w:ascii="Cambria Math" w:hAnsi="Cambria Math"/>
                      <w:i/>
                    </w:rPr>
                  </m:ctrlPr>
                </m:sSubPr>
                <m:e>
                  <m:r>
                    <w:rPr>
                      <w:rFonts w:ascii="Cambria Math" w:hAnsi="Cambria Math"/>
                    </w:rPr>
                    <m:t>m</m:t>
                  </m:r>
                </m:e>
                <m:sub>
                  <m:r>
                    <w:rPr>
                      <w:rFonts w:ascii="Cambria Math" w:hAnsi="Cambria Math"/>
                    </w:rPr>
                    <m:t>i</m:t>
                  </m:r>
                </m:sub>
              </m:sSub>
              <m:d>
                <m:dPr>
                  <m:ctrlPr>
                    <w:rPr>
                      <w:rFonts w:ascii="Cambria Math" w:hAnsi="Cambria Math"/>
                      <w:i/>
                    </w:rPr>
                  </m:ctrlPr>
                </m:dPr>
                <m:e>
                  <m:r>
                    <w:rPr>
                      <w:rFonts w:ascii="Cambria Math" w:hAnsi="Cambria Math"/>
                    </w:rPr>
                    <m:t>1-ϵ</m:t>
                  </m:r>
                </m:e>
              </m:d>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i,</m:t>
                  </m:r>
                  <m:sSub>
                    <m:sSubPr>
                      <m:ctrlPr>
                        <w:rPr>
                          <w:rFonts w:ascii="Cambria Math" w:hAnsi="Cambria Math"/>
                          <w:i/>
                        </w:rPr>
                      </m:ctrlPr>
                    </m:sSubPr>
                    <m:e>
                      <m:r>
                        <w:rPr>
                          <w:rFonts w:ascii="Cambria Math" w:hAnsi="Cambria Math"/>
                        </w:rPr>
                        <m:t>tot</m:t>
                      </m:r>
                    </m:e>
                    <m:sub>
                      <m:r>
                        <w:rPr>
                          <w:rFonts w:ascii="Cambria Math" w:hAnsi="Cambria Math"/>
                        </w:rPr>
                        <m:t>t</m:t>
                      </m:r>
                    </m:sub>
                  </m:sSub>
                </m:sub>
              </m:sSub>
              <m:r>
                <w:rPr>
                  <w:rFonts w:ascii="Cambria Math" w:hAnsi="Cambria Math"/>
                </w:rPr>
                <m:t>ϵ)</m:t>
              </m:r>
            </m:num>
            <m:den>
              <m:d>
                <m:dPr>
                  <m:ctrlPr>
                    <w:rPr>
                      <w:rFonts w:ascii="Cambria Math" w:hAnsi="Cambria Math"/>
                      <w:i/>
                    </w:rPr>
                  </m:ctrlPr>
                </m:dPr>
                <m:e>
                  <m:r>
                    <w:rPr>
                      <w:rFonts w:ascii="Cambria Math" w:hAnsi="Cambria Math"/>
                    </w:rPr>
                    <m:t>1-ρ</m:t>
                  </m:r>
                </m:e>
              </m:d>
              <m:sSub>
                <m:sSubPr>
                  <m:ctrlPr>
                    <w:rPr>
                      <w:rFonts w:ascii="Cambria Math" w:hAnsi="Cambria Math"/>
                      <w:i/>
                    </w:rPr>
                  </m:ctrlPr>
                </m:sSubPr>
                <m:e>
                  <m:r>
                    <w:rPr>
                      <w:rFonts w:ascii="Cambria Math" w:hAnsi="Cambria Math"/>
                    </w:rPr>
                    <m:t>n</m:t>
                  </m:r>
                </m:e>
                <m:sub>
                  <m:r>
                    <w:rPr>
                      <w:rFonts w:ascii="Cambria Math" w:hAnsi="Cambria Math"/>
                    </w:rPr>
                    <m:t>i,</m:t>
                  </m:r>
                  <m:sSub>
                    <m:sSubPr>
                      <m:ctrlPr>
                        <w:rPr>
                          <w:rFonts w:ascii="Cambria Math" w:hAnsi="Cambria Math"/>
                          <w:i/>
                        </w:rPr>
                      </m:ctrlPr>
                    </m:sSubPr>
                    <m:e>
                      <m:r>
                        <w:rPr>
                          <w:rFonts w:ascii="Cambria Math" w:hAnsi="Cambria Math"/>
                        </w:rPr>
                        <m:t>tot</m:t>
                      </m:r>
                    </m:e>
                    <m:sub>
                      <m:r>
                        <w:rPr>
                          <w:rFonts w:ascii="Cambria Math" w:hAnsi="Cambria Math"/>
                        </w:rPr>
                        <m:t>n</m:t>
                      </m:r>
                    </m:sub>
                  </m:sSub>
                </m:sub>
              </m:sSub>
              <m:r>
                <w:rPr>
                  <w:rFonts w:ascii="Cambria Math" w:hAnsi="Cambria Math"/>
                </w:rPr>
                <m:t>+ ρ</m:t>
              </m:r>
              <m:sSub>
                <m:sSubPr>
                  <m:ctrlPr>
                    <w:rPr>
                      <w:rFonts w:ascii="Cambria Math" w:hAnsi="Cambria Math"/>
                      <w:i/>
                    </w:rPr>
                  </m:ctrlPr>
                </m:sSubPr>
                <m:e>
                  <m:r>
                    <w:rPr>
                      <w:rFonts w:ascii="Cambria Math" w:hAnsi="Cambria Math"/>
                    </w:rPr>
                    <m:t>n</m:t>
                  </m:r>
                </m:e>
                <m:sub>
                  <m:r>
                    <w:rPr>
                      <w:rFonts w:ascii="Cambria Math" w:hAnsi="Cambria Math"/>
                    </w:rPr>
                    <m:t xml:space="preserve">i, </m:t>
                  </m:r>
                  <m:sSub>
                    <m:sSubPr>
                      <m:ctrlPr>
                        <w:rPr>
                          <w:rFonts w:ascii="Cambria Math" w:hAnsi="Cambria Math"/>
                          <w:i/>
                        </w:rPr>
                      </m:ctrlPr>
                    </m:sSubPr>
                    <m:e>
                      <m:r>
                        <w:rPr>
                          <w:rFonts w:ascii="Cambria Math" w:hAnsi="Cambria Math"/>
                        </w:rPr>
                        <m:t>tot</m:t>
                      </m:r>
                    </m:e>
                    <m:sub>
                      <m:r>
                        <w:rPr>
                          <w:rFonts w:ascii="Cambria Math" w:hAnsi="Cambria Math"/>
                        </w:rPr>
                        <m:t>t</m:t>
                      </m:r>
                    </m:sub>
                  </m:sSub>
                </m:sub>
              </m:sSub>
            </m:den>
          </m:f>
          <m:r>
            <w:rPr>
              <w:rFonts w:ascii="Cambria Math" w:hAnsi="Cambria Math"/>
            </w:rPr>
            <m:t xml:space="preserve"> </m:t>
          </m:r>
          <m:sSub>
            <m:sSubPr>
              <m:ctrlPr>
                <w:rPr>
                  <w:rFonts w:ascii="Cambria Math" w:hAnsi="Cambria Math"/>
                  <w:i/>
                </w:rPr>
              </m:ctrlPr>
            </m:sSubPr>
            <m:e>
              <m:r>
                <w:rPr>
                  <w:rFonts w:ascii="Cambria Math" w:hAnsi="Cambria Math"/>
                </w:rPr>
                <m:t>CCF</m:t>
              </m:r>
            </m:e>
            <m:sub>
              <m:r>
                <w:rPr>
                  <w:rFonts w:ascii="Cambria Math" w:hAnsi="Cambria Math"/>
                </w:rPr>
                <m:t>k</m:t>
              </m:r>
            </m:sub>
          </m:sSub>
          <m:r>
            <w:rPr>
              <w:rFonts w:ascii="Cambria Math" w:hAnsi="Cambria Math"/>
            </w:rPr>
            <m:t>+ ϵ</m:t>
          </m:r>
        </m:oMath>
      </m:oMathPara>
    </w:p>
    <w:p w14:paraId="774722ED" w14:textId="084AC6B6" w:rsidR="00CB2B98" w:rsidRPr="00AC13E7" w:rsidRDefault="00CB2B98" w:rsidP="00A2259E">
      <w:pPr>
        <w:jc w:val="center"/>
      </w:pPr>
    </w:p>
    <w:p w14:paraId="07E14324" w14:textId="7FB22B6B" w:rsidR="00380755" w:rsidRPr="00AC13E7" w:rsidRDefault="00CB2B98" w:rsidP="0042285C">
      <w:pPr>
        <w:jc w:val="both"/>
      </w:pPr>
      <w:r w:rsidRPr="00AC13E7">
        <w:t>Where</w:t>
      </w:r>
      <w:r w:rsidR="008F363A" w:rsidRPr="00AC13E7">
        <w:t xml:space="preserve"> </w:t>
      </w:r>
      <m:oMath>
        <m:sSub>
          <m:sSubPr>
            <m:ctrlPr>
              <w:rPr>
                <w:rFonts w:ascii="Cambria Math" w:hAnsi="Cambria Math"/>
                <w:i/>
              </w:rPr>
            </m:ctrlPr>
          </m:sSubPr>
          <m:e>
            <m:r>
              <w:rPr>
                <w:rFonts w:ascii="Cambria Math" w:hAnsi="Cambria Math"/>
              </w:rPr>
              <m:t>CCF</m:t>
            </m:r>
          </m:e>
          <m:sub>
            <m:r>
              <w:rPr>
                <w:rFonts w:ascii="Cambria Math" w:hAnsi="Cambria Math"/>
              </w:rPr>
              <m:t>k</m:t>
            </m:r>
          </m:sub>
        </m:sSub>
        <m:r>
          <w:rPr>
            <w:rFonts w:ascii="Cambria Math" w:hAnsi="Cambria Math"/>
          </w:rPr>
          <m:t xml:space="preserve"> i</m:t>
        </m:r>
      </m:oMath>
      <w:r w:rsidRPr="00AC13E7">
        <w:t>s the CCF of the</w:t>
      </w:r>
      <w:r w:rsidR="003604B7" w:rsidRPr="00AC13E7">
        <w:t xml:space="preserve"> </w:t>
      </w:r>
      <w:r w:rsidR="003604B7" w:rsidRPr="00AC13E7">
        <w:rPr>
          <w:rFonts w:ascii="Cambria Math" w:hAnsi="Cambria Math"/>
          <w:i/>
          <w:iCs/>
        </w:rPr>
        <w:t>k</w:t>
      </w:r>
      <w:r w:rsidR="003604B7" w:rsidRPr="00AC13E7">
        <w:rPr>
          <w:noProof/>
        </w:rPr>
        <w:t xml:space="preserve"> </w:t>
      </w:r>
      <w:r w:rsidRPr="00AC13E7">
        <w:t xml:space="preserve">th cluster, </w:t>
      </w:r>
      <m:oMath>
        <m:r>
          <w:rPr>
            <w:rFonts w:ascii="Cambria Math" w:hAnsi="Cambria Math"/>
          </w:rPr>
          <m:t>ρ</m:t>
        </m:r>
      </m:oMath>
      <w:r w:rsidRPr="00AC13E7">
        <w:t xml:space="preserve"> is the purity of the sample, </w:t>
      </w:r>
      <m:oMath>
        <m:r>
          <w:rPr>
            <w:rFonts w:ascii="Cambria Math" w:hAnsi="Cambria Math"/>
          </w:rPr>
          <m:t>ϵ</m:t>
        </m:r>
      </m:oMath>
      <w:r w:rsidRPr="00AC13E7">
        <w:t xml:space="preserve"> is the sequencing error. The multiplicity is determined during clustering by the following:</w:t>
      </w:r>
    </w:p>
    <w:p w14:paraId="370D8FB0" w14:textId="72C18237" w:rsidR="00CB2B98" w:rsidRPr="00AC13E7" w:rsidRDefault="0036299C" w:rsidP="002E3119">
      <w:pPr>
        <w:jc w:val="both"/>
      </w:pPr>
      <m:oMathPara>
        <m:oMath>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argmax</m:t>
                  </m:r>
                </m:e>
                <m:lim>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∈1,…,</m:t>
                  </m:r>
                  <m:sSub>
                    <m:sSubPr>
                      <m:ctrlPr>
                        <w:rPr>
                          <w:rFonts w:ascii="Cambria Math" w:hAnsi="Cambria Math"/>
                          <w:i/>
                        </w:rPr>
                      </m:ctrlPr>
                    </m:sSubPr>
                    <m:e>
                      <m:r>
                        <w:rPr>
                          <w:rFonts w:ascii="Cambria Math" w:hAnsi="Cambria Math"/>
                        </w:rPr>
                        <m:t>n</m:t>
                      </m:r>
                    </m:e>
                    <m:sub>
                      <m:r>
                        <w:rPr>
                          <w:rFonts w:ascii="Cambria Math" w:hAnsi="Cambria Math"/>
                        </w:rPr>
                        <m:t>i,maj</m:t>
                      </m:r>
                    </m:sub>
                  </m:sSub>
                </m:lim>
              </m:limLow>
            </m:fName>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m:rPr>
                          <m:scr m:val="double-struck"/>
                        </m:rPr>
                        <w:rPr>
                          <w:rFonts w:ascii="Cambria Math" w:hAnsi="Cambria Math"/>
                        </w:rPr>
                        <m:t>E</m:t>
                      </m:r>
                    </m:e>
                    <m:sub>
                      <m:r>
                        <w:rPr>
                          <w:rFonts w:ascii="Cambria Math" w:hAnsi="Cambria Math"/>
                        </w:rPr>
                        <m:t>q</m:t>
                      </m:r>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i,k</m:t>
                              </m:r>
                            </m:sub>
                          </m:sSub>
                          <m:r>
                            <w:rPr>
                              <w:rFonts w:ascii="Cambria Math" w:hAnsi="Cambria Math"/>
                            </w:rPr>
                            <m:t>,</m:t>
                          </m:r>
                          <m:sSub>
                            <m:sSubPr>
                              <m:ctrlPr>
                                <w:rPr>
                                  <w:rFonts w:ascii="Cambria Math" w:hAnsi="Cambria Math"/>
                                  <w:i/>
                                </w:rPr>
                              </m:ctrlPr>
                            </m:sSubPr>
                            <m:e>
                              <m:r>
                                <w:rPr>
                                  <w:rFonts w:ascii="Cambria Math" w:hAnsi="Cambria Math"/>
                                </w:rPr>
                                <m:t>CCF</m:t>
                              </m:r>
                            </m:e>
                            <m:sub>
                              <m:r>
                                <w:rPr>
                                  <w:rFonts w:ascii="Cambria Math" w:hAnsi="Cambria Math"/>
                                </w:rPr>
                                <m:t>k</m:t>
                              </m:r>
                            </m:sub>
                          </m:sSub>
                        </m:e>
                      </m:d>
                    </m:sub>
                  </m:sSub>
                  <m:r>
                    <w:rPr>
                      <w:rFonts w:ascii="Cambria Math" w:hAnsi="Cambria Math"/>
                    </w:rPr>
                    <m:t>[</m:t>
                  </m:r>
                  <m:func>
                    <m:funcPr>
                      <m:ctrlPr>
                        <w:rPr>
                          <w:rFonts w:ascii="Cambria Math" w:hAnsi="Cambria Math"/>
                          <w:i/>
                        </w:rPr>
                      </m:ctrlPr>
                    </m:funcPr>
                    <m:fName>
                      <m:r>
                        <m:rPr>
                          <m:sty m:val="p"/>
                        </m:rPr>
                        <w:rPr>
                          <w:rFonts w:ascii="Cambria Math" w:hAnsi="Cambria Math"/>
                        </w:rPr>
                        <m:t>log</m:t>
                      </m:r>
                    </m:fName>
                    <m:e>
                      <m:r>
                        <w:rPr>
                          <w:rFonts w:ascii="Cambria Math" w:hAnsi="Cambria Math"/>
                        </w:rPr>
                        <m:t>p</m:t>
                      </m:r>
                      <m:d>
                        <m:dPr>
                          <m:endChr m:val="|"/>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e>
                      </m:d>
                      <m:sSub>
                        <m:sSubPr>
                          <m:ctrlPr>
                            <w:rPr>
                              <w:rFonts w:ascii="Cambria Math" w:hAnsi="Cambria Math"/>
                              <w:i/>
                            </w:rPr>
                          </m:ctrlPr>
                        </m:sSubPr>
                        <m:e>
                          <m:r>
                            <w:rPr>
                              <w:rFonts w:ascii="Cambria Math" w:hAnsi="Cambria Math"/>
                            </w:rPr>
                            <m:t>d</m:t>
                          </m:r>
                        </m:e>
                        <m:sub>
                          <m:r>
                            <w:rPr>
                              <w:rFonts w:ascii="Cambria Math" w:hAnsi="Cambria Math"/>
                            </w:rPr>
                            <m:t>i</m:t>
                          </m:r>
                        </m:sub>
                      </m:sSub>
                      <m:r>
                        <m:rPr>
                          <m:scr m:val="double-struck"/>
                        </m:rPr>
                        <w:rPr>
                          <w:rFonts w:ascii="Cambria Math" w:hAnsi="Cambria Math"/>
                        </w:rPr>
                        <m:t>, 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i</m:t>
                              </m:r>
                            </m:sub>
                          </m:sSub>
                        </m:e>
                      </m:d>
                      <m:r>
                        <w:rPr>
                          <w:rFonts w:ascii="Cambria Math" w:hAnsi="Cambria Math"/>
                        </w:rPr>
                        <m:t xml:space="preserve">, </m:t>
                      </m:r>
                      <m:sSub>
                        <m:sSubPr>
                          <m:ctrlPr>
                            <w:rPr>
                              <w:rFonts w:ascii="Cambria Math" w:hAnsi="Cambria Math"/>
                              <w:i/>
                            </w:rPr>
                          </m:ctrlPr>
                        </m:sSubPr>
                        <m:e>
                          <m:r>
                            <w:rPr>
                              <w:rFonts w:ascii="Cambria Math" w:hAnsi="Cambria Math"/>
                            </w:rPr>
                            <m:t>z</m:t>
                          </m:r>
                        </m:e>
                        <m:sub>
                          <m:r>
                            <w:rPr>
                              <w:rFonts w:ascii="Cambria Math" w:hAnsi="Cambria Math"/>
                            </w:rPr>
                            <m:t>i,k</m:t>
                          </m:r>
                        </m:sub>
                      </m:sSub>
                      <m:r>
                        <w:rPr>
                          <w:rFonts w:ascii="Cambria Math" w:hAnsi="Cambria Math"/>
                        </w:rPr>
                        <m:t>=1)</m:t>
                      </m:r>
                    </m:e>
                  </m:func>
                  <m:r>
                    <w:rPr>
                      <w:rFonts w:ascii="Cambria Math" w:hAnsi="Cambria Math"/>
                    </w:rPr>
                    <m:t>]</m:t>
                  </m:r>
                </m:e>
              </m:nary>
            </m:e>
          </m:func>
        </m:oMath>
      </m:oMathPara>
    </w:p>
    <w:p w14:paraId="1E4E2416" w14:textId="52A1805F" w:rsidR="00CB2B98" w:rsidRPr="00AC13E7" w:rsidRDefault="00CB2B98" w:rsidP="007266DA">
      <w:pPr>
        <w:jc w:val="both"/>
      </w:pPr>
      <w:r w:rsidRPr="00AC13E7">
        <w:t xml:space="preserve">Where </w:t>
      </w:r>
      <m:oMath>
        <m:sSub>
          <m:sSubPr>
            <m:ctrlPr>
              <w:rPr>
                <w:rFonts w:ascii="Cambria Math" w:hAnsi="Cambria Math"/>
                <w:i/>
              </w:rPr>
            </m:ctrlPr>
          </m:sSubPr>
          <m:e>
            <m:r>
              <w:rPr>
                <w:rFonts w:ascii="Cambria Math" w:hAnsi="Cambria Math"/>
              </w:rPr>
              <m:t>n</m:t>
            </m:r>
          </m:e>
          <m:sub>
            <m:r>
              <w:rPr>
                <w:rFonts w:ascii="Cambria Math" w:hAnsi="Cambria Math"/>
              </w:rPr>
              <m:t>i,maj</m:t>
            </m:r>
          </m:sub>
        </m:sSub>
      </m:oMath>
      <w:r w:rsidRPr="00AC13E7">
        <w:t xml:space="preserve"> is </w:t>
      </w:r>
      <w:r w:rsidR="00990484" w:rsidRPr="00AC13E7">
        <w:t xml:space="preserve">the </w:t>
      </w:r>
      <w:r w:rsidRPr="00AC13E7">
        <w:t>copy number of the major allele at</w:t>
      </w:r>
      <w:r w:rsidR="008950D9" w:rsidRPr="00AC13E7">
        <w:t xml:space="preserve"> the</w:t>
      </w:r>
      <w:r w:rsidRPr="00AC13E7">
        <w:t xml:space="preserve"> </w:t>
      </w:r>
      <w:r w:rsidR="00BC4676" w:rsidRPr="00AC13E7">
        <w:rPr>
          <w:rFonts w:ascii="Cambria Math" w:hAnsi="Cambria Math"/>
          <w:i/>
          <w:iCs/>
        </w:rPr>
        <w:t>i</w:t>
      </w:r>
      <w:r w:rsidR="00BC4676" w:rsidRPr="00AC13E7">
        <w:t xml:space="preserve"> </w:t>
      </w:r>
      <w:r w:rsidRPr="00AC13E7">
        <w:t xml:space="preserve">th mutation, </w:t>
      </w:r>
      <m:oMath>
        <m:sSub>
          <m:sSubPr>
            <m:ctrlPr>
              <w:rPr>
                <w:rFonts w:ascii="Cambria Math" w:hAnsi="Cambria Math"/>
                <w:i/>
              </w:rPr>
            </m:ctrlPr>
          </m:sSubPr>
          <m:e>
            <m:r>
              <w:rPr>
                <w:rFonts w:ascii="Cambria Math" w:hAnsi="Cambria Math"/>
              </w:rPr>
              <m:t>z</m:t>
            </m:r>
          </m:e>
          <m:sub>
            <m:r>
              <w:rPr>
                <w:rFonts w:ascii="Cambria Math" w:hAnsi="Cambria Math"/>
              </w:rPr>
              <m:t>i,k</m:t>
            </m:r>
          </m:sub>
        </m:sSub>
      </m:oMath>
      <w:r w:rsidRPr="00AC13E7">
        <w:t xml:space="preserve"> is </w:t>
      </w:r>
      <w:r w:rsidR="003F51A2" w:rsidRPr="00AC13E7">
        <w:t>1</w:t>
      </w:r>
      <w:r w:rsidRPr="00AC13E7">
        <w:t xml:space="preserve"> if the </w:t>
      </w:r>
      <w:r w:rsidR="003F51A2" w:rsidRPr="00AC13E7">
        <w:rPr>
          <w:rFonts w:ascii="Cambria Math" w:hAnsi="Cambria Math"/>
          <w:i/>
          <w:iCs/>
        </w:rPr>
        <w:t>i</w:t>
      </w:r>
      <w:r w:rsidR="003F51A2" w:rsidRPr="00AC13E7">
        <w:t xml:space="preserve"> </w:t>
      </w:r>
      <w:r w:rsidRPr="00AC13E7">
        <w:t>th mutation is assigned to the</w:t>
      </w:r>
      <w:r w:rsidR="003F51A2" w:rsidRPr="00AC13E7">
        <w:t xml:space="preserve"> </w:t>
      </w:r>
      <w:r w:rsidR="003F51A2" w:rsidRPr="00AC13E7">
        <w:rPr>
          <w:rFonts w:ascii="Cambria Math" w:hAnsi="Cambria Math"/>
          <w:i/>
          <w:iCs/>
        </w:rPr>
        <w:t>k</w:t>
      </w:r>
      <w:r w:rsidRPr="00AC13E7">
        <w:t xml:space="preserve"> th cluster and 0 otherwise.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Pr="00AC13E7">
        <w:t xml:space="preserve"> and </w:t>
      </w:r>
      <m:oMath>
        <m:sSub>
          <m:sSubPr>
            <m:ctrlPr>
              <w:rPr>
                <w:rFonts w:ascii="Cambria Math" w:hAnsi="Cambria Math"/>
                <w:i/>
              </w:rPr>
            </m:ctrlPr>
          </m:sSubPr>
          <m:e>
            <m:r>
              <w:rPr>
                <w:rFonts w:ascii="Cambria Math" w:hAnsi="Cambria Math"/>
              </w:rPr>
              <m:t>d</m:t>
            </m:r>
          </m:e>
          <m:sub>
            <m:r>
              <w:rPr>
                <w:rFonts w:ascii="Cambria Math" w:hAnsi="Cambria Math"/>
              </w:rPr>
              <m:t>i</m:t>
            </m:r>
          </m:sub>
        </m:sSub>
      </m:oMath>
      <w:r w:rsidRPr="00AC13E7">
        <w:t xml:space="preserve"> denote the variant and total read counts, respectively.</w:t>
      </w:r>
      <w:r w:rsidR="009C6728" w:rsidRPr="00AC13E7">
        <w:t xml:space="preserve"> </w:t>
      </w:r>
      <m:oMath>
        <m:r>
          <w:rPr>
            <w:rFonts w:ascii="Cambria Math" w:hAnsi="Cambria Math"/>
          </w:rPr>
          <m:t>p(.|.)</m:t>
        </m:r>
      </m:oMath>
      <w:r w:rsidRPr="00AC13E7">
        <w:t xml:space="preserve"> is a conditional distribution,</w:t>
      </w:r>
      <w:r w:rsidR="009C6728" w:rsidRPr="00AC13E7">
        <w:t xml:space="preserve"> </w:t>
      </w:r>
      <m:oMath>
        <m:sSub>
          <m:sSubPr>
            <m:ctrlPr>
              <w:rPr>
                <w:rFonts w:ascii="Cambria Math" w:hAnsi="Cambria Math"/>
                <w:i/>
              </w:rPr>
            </m:ctrlPr>
          </m:sSubPr>
          <m:e>
            <m:r>
              <m:rPr>
                <m:scr m:val="double-struck"/>
              </m:rPr>
              <w:rPr>
                <w:rFonts w:ascii="Cambria Math" w:hAnsi="Cambria Math"/>
              </w:rPr>
              <m:t>E</m:t>
            </m:r>
          </m:e>
          <m:sub>
            <m:r>
              <w:rPr>
                <w:rFonts w:ascii="Cambria Math" w:hAnsi="Cambria Math"/>
              </w:rPr>
              <m:t>q</m:t>
            </m:r>
            <m:d>
              <m:dPr>
                <m:ctrlPr>
                  <w:rPr>
                    <w:rFonts w:ascii="Cambria Math" w:hAnsi="Cambria Math"/>
                    <w:i/>
                  </w:rPr>
                </m:ctrlPr>
              </m:dPr>
              <m:e>
                <m:r>
                  <w:rPr>
                    <w:rFonts w:ascii="Cambria Math" w:hAnsi="Cambria Math"/>
                  </w:rPr>
                  <m:t>.</m:t>
                </m:r>
              </m:e>
            </m:d>
          </m:sub>
        </m:sSub>
        <m:r>
          <w:rPr>
            <w:rFonts w:ascii="Cambria Math" w:hAnsi="Cambria Math"/>
          </w:rPr>
          <m:t>[.]</m:t>
        </m:r>
      </m:oMath>
      <w:r w:rsidR="00CE3BDF" w:rsidRPr="00AC13E7">
        <w:t xml:space="preserve"> </w:t>
      </w:r>
      <w:r w:rsidRPr="00AC13E7">
        <w:t xml:space="preserve">is an expectation function with respect to </w:t>
      </w:r>
      <m:oMath>
        <m:r>
          <w:rPr>
            <w:rFonts w:ascii="Cambria Math" w:hAnsi="Cambria Math"/>
          </w:rPr>
          <m:t>q(.)</m:t>
        </m:r>
      </m:oMath>
      <w:r w:rsidRPr="00AC13E7">
        <w:t>, and</w:t>
      </w:r>
      <m:oMath>
        <m:r>
          <w:rPr>
            <w:rFonts w:ascii="Cambria Math" w:hAnsi="Cambria Math"/>
          </w:rPr>
          <m:t xml:space="preserve"> q(.)</m:t>
        </m:r>
      </m:oMath>
      <w:r w:rsidR="00877BE0" w:rsidRPr="00AC13E7">
        <w:t xml:space="preserve"> </w:t>
      </w:r>
      <w:r w:rsidRPr="00AC13E7">
        <w:t>is an approximation to the posterior distribution of the arguments.</w:t>
      </w:r>
      <w:r w:rsidR="00952AE8" w:rsidRPr="00AC13E7">
        <w:t xml:space="preserve"> </w:t>
      </w:r>
      <w:r w:rsidRPr="00AC13E7">
        <w:t xml:space="preserve">This approximation is obtained by the variational Bayes approach. The number of cluster is handled by a truncated Dirichlet Process prior for cluster-wise parameter </w:t>
      </w:r>
      <m:oMath>
        <m:sSub>
          <m:sSubPr>
            <m:ctrlPr>
              <w:rPr>
                <w:rFonts w:ascii="Cambria Math" w:hAnsi="Cambria Math"/>
                <w:i/>
              </w:rPr>
            </m:ctrlPr>
          </m:sSubPr>
          <m:e>
            <m:r>
              <w:rPr>
                <w:rFonts w:ascii="Cambria Math" w:hAnsi="Cambria Math"/>
              </w:rPr>
              <m:t>CCF</m:t>
            </m:r>
          </m:e>
          <m:sub>
            <m:r>
              <w:rPr>
                <w:rFonts w:ascii="Cambria Math" w:hAnsi="Cambria Math"/>
              </w:rPr>
              <m:t>k</m:t>
            </m:r>
          </m:sub>
        </m:sSub>
      </m:oMath>
      <w:r w:rsidRPr="00AC13E7">
        <w:t xml:space="preserve">. </w:t>
      </w:r>
      <w:r w:rsidR="00E54EF7" w:rsidRPr="00AC13E7">
        <w:t>F</w:t>
      </w:r>
      <w:r w:rsidRPr="00AC13E7">
        <w:t xml:space="preserve">ull details </w:t>
      </w:r>
      <w:r w:rsidR="007266DA" w:rsidRPr="00AC13E7">
        <w:t xml:space="preserve">on </w:t>
      </w:r>
      <w:r w:rsidRPr="00AC13E7">
        <w:t xml:space="preserve">the Ccube model </w:t>
      </w:r>
      <w:r w:rsidR="007266DA" w:rsidRPr="00AC13E7">
        <w:t>will be presented elsewhere.</w:t>
      </w:r>
    </w:p>
    <w:p w14:paraId="36CB2EF8" w14:textId="77777777" w:rsidR="00CB2B98" w:rsidRPr="00AC13E7" w:rsidRDefault="00CB2B98" w:rsidP="0057679D">
      <w:pPr>
        <w:jc w:val="both"/>
      </w:pPr>
    </w:p>
    <w:p w14:paraId="11AD6D3C" w14:textId="77777777" w:rsidR="00F718E9" w:rsidRPr="00AC13E7" w:rsidRDefault="00CB2B98" w:rsidP="0057679D">
      <w:pPr>
        <w:jc w:val="both"/>
        <w:rPr>
          <w:b/>
        </w:rPr>
      </w:pPr>
      <w:r w:rsidRPr="00AC13E7">
        <w:rPr>
          <w:b/>
        </w:rPr>
        <w:t>Postprocessing</w:t>
      </w:r>
    </w:p>
    <w:p w14:paraId="2BD5A4CE" w14:textId="194333E6" w:rsidR="00CB2B98" w:rsidRPr="00AC13E7" w:rsidRDefault="00CB2B98" w:rsidP="002079F9">
      <w:pPr>
        <w:jc w:val="both"/>
      </w:pPr>
      <w:r w:rsidRPr="00AC13E7">
        <w:t>The solution with the best lower bound to the marginal likelihood of the model is selected. The solution</w:t>
      </w:r>
      <w:r w:rsidR="00DC658A" w:rsidRPr="00AC13E7">
        <w:t xml:space="preserve"> </w:t>
      </w:r>
      <w:r w:rsidR="00D40637" w:rsidRPr="00AC13E7">
        <w:t>consists</w:t>
      </w:r>
      <w:r w:rsidR="00F74A3A" w:rsidRPr="00AC13E7">
        <w:t xml:space="preserve"> </w:t>
      </w:r>
      <w:r w:rsidRPr="00AC13E7">
        <w:t>of 1) posterior distributions of</w:t>
      </w:r>
      <w:r w:rsidR="00495C30" w:rsidRPr="00AC13E7">
        <w:t xml:space="preserve"> </w:t>
      </w:r>
      <m:oMath>
        <m:sSub>
          <m:sSubPr>
            <m:ctrlPr>
              <w:rPr>
                <w:rFonts w:ascii="Cambria Math" w:hAnsi="Cambria Math"/>
                <w:i/>
              </w:rPr>
            </m:ctrlPr>
          </m:sSubPr>
          <m:e>
            <m:r>
              <w:rPr>
                <w:rFonts w:ascii="Cambria Math" w:hAnsi="Cambria Math"/>
              </w:rPr>
              <m:t>CCF</m:t>
            </m:r>
          </m:e>
          <m:sub>
            <m:r>
              <w:rPr>
                <w:rFonts w:ascii="Cambria Math" w:hAnsi="Cambria Math"/>
              </w:rPr>
              <m:t>1,…,K</m:t>
            </m:r>
          </m:sub>
        </m:sSub>
      </m:oMath>
      <w:r w:rsidR="00F61457" w:rsidRPr="00AC13E7">
        <w:t xml:space="preserve"> in</w:t>
      </w:r>
      <w:r w:rsidRPr="00AC13E7">
        <w:t xml:space="preserve"> terms of means and variances; 2) posterior probabilities of each mutation to be assigned to all clusters and final assignments; 3) multiplicities and observed CCFs based multiplicities. Clusters with less than 1% of mutation</w:t>
      </w:r>
      <w:r w:rsidR="005B7895" w:rsidRPr="00AC13E7">
        <w:t>s</w:t>
      </w:r>
      <w:r w:rsidRPr="00AC13E7">
        <w:t xml:space="preserve"> assigned are removed. The mutations are re-assigned </w:t>
      </w:r>
      <w:r w:rsidR="00163A0B" w:rsidRPr="00AC13E7">
        <w:t>in a</w:t>
      </w:r>
      <w:r w:rsidRPr="00AC13E7">
        <w:t xml:space="preserve"> variational expectation step. Clusters with mean CCF </w:t>
      </w:r>
      <w:r w:rsidR="005D7E59" w:rsidRPr="00AC13E7">
        <w:t xml:space="preserve">less </w:t>
      </w:r>
      <w:r w:rsidRPr="00AC13E7">
        <w:t xml:space="preserve">than 10% </w:t>
      </w:r>
      <w:r w:rsidR="005D7E59" w:rsidRPr="00AC13E7">
        <w:t xml:space="preserve">apart </w:t>
      </w:r>
      <w:r w:rsidRPr="00AC13E7">
        <w:t xml:space="preserve">are merged </w:t>
      </w:r>
      <w:r w:rsidR="002079F9" w:rsidRPr="00AC13E7">
        <w:t xml:space="preserve">by </w:t>
      </w:r>
      <w:r w:rsidRPr="00AC13E7">
        <w:t xml:space="preserve">re-running the fitting algorithm with </w:t>
      </w:r>
      <w:r w:rsidR="00BB015D" w:rsidRPr="00AC13E7">
        <w:t xml:space="preserve">the </w:t>
      </w:r>
      <w:r w:rsidRPr="00AC13E7">
        <w:t xml:space="preserve">merged cluster configuration. A typical graphical summary can be found in </w:t>
      </w:r>
      <w:r w:rsidR="008E4AAE" w:rsidRPr="00AC13E7">
        <w:fldChar w:fldCharType="begin"/>
      </w:r>
      <w:r w:rsidR="008E4AAE" w:rsidRPr="00AC13E7">
        <w:instrText xml:space="preserve"> REF _Ref379537055 \h </w:instrText>
      </w:r>
      <w:r w:rsidR="008E4AAE" w:rsidRPr="00AC13E7">
        <w:fldChar w:fldCharType="separate"/>
      </w:r>
      <w:r w:rsidR="00673FBD" w:rsidRPr="00AC13E7">
        <w:t xml:space="preserve">Fig. </w:t>
      </w:r>
      <w:r w:rsidR="00673FBD">
        <w:rPr>
          <w:noProof/>
        </w:rPr>
        <w:t>21</w:t>
      </w:r>
      <w:r w:rsidR="008E4AAE" w:rsidRPr="00AC13E7">
        <w:fldChar w:fldCharType="end"/>
      </w:r>
      <w:r w:rsidRPr="00AC13E7">
        <w:t>.</w:t>
      </w:r>
    </w:p>
    <w:p w14:paraId="7D6E181D" w14:textId="77777777" w:rsidR="00BB3DB3" w:rsidRPr="00AC13E7" w:rsidRDefault="00BB3DB3" w:rsidP="0057679D">
      <w:pPr>
        <w:jc w:val="both"/>
      </w:pPr>
    </w:p>
    <w:p w14:paraId="03A0153D" w14:textId="77777777" w:rsidR="00BB3DB3" w:rsidRPr="00AC13E7" w:rsidRDefault="00BB3DB3" w:rsidP="0057679D">
      <w:pPr>
        <w:jc w:val="both"/>
      </w:pPr>
    </w:p>
    <w:p w14:paraId="3E203BF7" w14:textId="77777777" w:rsidR="00CB2B98" w:rsidRPr="00AC13E7" w:rsidRDefault="00CB2B98" w:rsidP="0057679D">
      <w:pPr>
        <w:jc w:val="both"/>
      </w:pPr>
    </w:p>
    <w:p w14:paraId="288BCED8" w14:textId="77777777" w:rsidR="0030138E" w:rsidRPr="00AC13E7" w:rsidRDefault="0032764D" w:rsidP="0030138E">
      <w:pPr>
        <w:keepNext/>
        <w:jc w:val="both"/>
      </w:pPr>
      <w:r w:rsidRPr="00AC13E7">
        <w:rPr>
          <w:noProof/>
          <w:lang w:eastAsia="en-GB"/>
        </w:rPr>
        <w:lastRenderedPageBreak/>
        <w:drawing>
          <wp:inline distT="0" distB="0" distL="0" distR="0" wp14:anchorId="67E290CB" wp14:editId="060B6026">
            <wp:extent cx="5257800" cy="1685035"/>
            <wp:effectExtent l="0" t="0" r="0" b="0"/>
            <wp:docPr id="53" name="image60.png" descr="ccub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descr="ccube-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7800" cy="1685035"/>
                    </a:xfrm>
                    <a:prstGeom prst="rect">
                      <a:avLst/>
                    </a:prstGeom>
                    <a:noFill/>
                    <a:ln>
                      <a:noFill/>
                    </a:ln>
                  </pic:spPr>
                </pic:pic>
              </a:graphicData>
            </a:graphic>
          </wp:inline>
        </w:drawing>
      </w:r>
    </w:p>
    <w:p w14:paraId="75A9575B" w14:textId="669B7CE0" w:rsidR="00CB2B98" w:rsidRPr="00AC13E7" w:rsidRDefault="0030138E" w:rsidP="004916C9">
      <w:pPr>
        <w:pStyle w:val="Caption"/>
      </w:pPr>
      <w:bookmarkStart w:id="105" w:name="_Ref379537055"/>
      <w:bookmarkStart w:id="106" w:name="_Toc384459592"/>
      <w:r w:rsidRPr="00AC13E7">
        <w:t xml:space="preserve">Fig. </w:t>
      </w:r>
      <w:r w:rsidR="001003E9">
        <w:fldChar w:fldCharType="begin"/>
      </w:r>
      <w:r w:rsidR="001003E9">
        <w:instrText xml:space="preserve"> SEQ Fig. \* ARABIC </w:instrText>
      </w:r>
      <w:r w:rsidR="001003E9">
        <w:fldChar w:fldCharType="separate"/>
      </w:r>
      <w:r w:rsidR="00673FBD">
        <w:rPr>
          <w:noProof/>
        </w:rPr>
        <w:t>21</w:t>
      </w:r>
      <w:r w:rsidR="001003E9">
        <w:rPr>
          <w:noProof/>
        </w:rPr>
        <w:fldChar w:fldCharType="end"/>
      </w:r>
      <w:bookmarkEnd w:id="105"/>
      <w:r w:rsidRPr="00AC13E7">
        <w:t xml:space="preserve"> Ccube results summary for sample SA518422. </w:t>
      </w:r>
      <w:r w:rsidRPr="00AC13E7">
        <w:rPr>
          <w:b/>
        </w:rPr>
        <w:t>A)</w:t>
      </w:r>
      <w:r w:rsidRPr="00AC13E7">
        <w:t xml:space="preserve"> Scatterplot of VAF and CCF. Each point in the figure is a mutation colour coded by its cluster membership. The grey dashed lines are all possible linear mappings (eq. 1) determined by copy number and multiplicity configurations in the sample. </w:t>
      </w:r>
      <w:r w:rsidRPr="00AC13E7">
        <w:rPr>
          <w:b/>
        </w:rPr>
        <w:t>B)</w:t>
      </w:r>
      <w:r w:rsidRPr="00AC13E7">
        <w:t xml:space="preserve"> Histogram of observed CCFs. The red solid line shows the approximated posterior distribution of CCF cluster centres. The peak at CCF=1 corresponds to the clonal cluster. </w:t>
      </w:r>
      <w:r w:rsidRPr="00AC13E7">
        <w:rPr>
          <w:b/>
        </w:rPr>
        <w:t>C)</w:t>
      </w:r>
      <w:r w:rsidRPr="00AC13E7">
        <w:t xml:space="preserve"> The number of variants assigned to each CCF cluster. Each CCF cluster is labelled by its cluster centre.</w:t>
      </w:r>
      <w:bookmarkEnd w:id="106"/>
    </w:p>
    <w:p w14:paraId="4F757481" w14:textId="77777777" w:rsidR="006F1803" w:rsidRPr="00AC13E7" w:rsidRDefault="006F1803" w:rsidP="00CB2B98"/>
    <w:p w14:paraId="6D1305DB" w14:textId="77777777" w:rsidR="00CB2B98" w:rsidRPr="00AC13E7" w:rsidRDefault="00CB2B98" w:rsidP="00CB2B98"/>
    <w:p w14:paraId="5D021C0E" w14:textId="08A2D614" w:rsidR="00154504" w:rsidRPr="00AC13E7" w:rsidRDefault="00B467F2" w:rsidP="00AC36B1">
      <w:pPr>
        <w:pStyle w:val="Heading3"/>
        <w:rPr>
          <w:rFonts w:ascii="Times New Roman" w:hAnsi="Times New Roman" w:cs="Times New Roman"/>
          <w:b w:val="0"/>
          <w:bCs/>
          <w:sz w:val="32"/>
          <w:szCs w:val="32"/>
          <w:lang w:val="en-GB"/>
        </w:rPr>
      </w:pPr>
      <w:bookmarkStart w:id="107" w:name="_Toc499571738"/>
      <w:bookmarkStart w:id="108" w:name="_Toc391905018"/>
      <w:r w:rsidRPr="00AC13E7">
        <w:rPr>
          <w:rFonts w:ascii="Times New Roman" w:hAnsi="Times New Roman" w:cs="Times New Roman"/>
          <w:b w:val="0"/>
          <w:bCs/>
          <w:sz w:val="32"/>
          <w:szCs w:val="32"/>
          <w:lang w:val="en-GB"/>
        </w:rPr>
        <w:t>2.1.3 CliP</w:t>
      </w:r>
      <w:r w:rsidR="000526D2" w:rsidRPr="00AC13E7">
        <w:rPr>
          <w:rFonts w:ascii="Times New Roman" w:hAnsi="Times New Roman" w:cs="Times New Roman"/>
          <w:b w:val="0"/>
          <w:bCs/>
          <w:sz w:val="32"/>
          <w:szCs w:val="32"/>
          <w:lang w:val="en-GB"/>
        </w:rPr>
        <w:t xml:space="preserve"> (Clonal structure identification through Penalizing on pairwise difference)</w:t>
      </w:r>
      <w:bookmarkEnd w:id="107"/>
      <w:bookmarkEnd w:id="108"/>
    </w:p>
    <w:p w14:paraId="5C147ECB" w14:textId="77777777" w:rsidR="00385C9E" w:rsidRPr="00AC13E7" w:rsidRDefault="00385C9E" w:rsidP="00385C9E">
      <w:pPr>
        <w:jc w:val="both"/>
        <w:rPr>
          <w:bCs/>
        </w:rPr>
      </w:pPr>
      <w:r w:rsidRPr="00AC13E7">
        <w:rPr>
          <w:bCs/>
        </w:rPr>
        <w:t>Kaixian Yu, Hongtu Zhu, Wenyi Wang</w:t>
      </w:r>
    </w:p>
    <w:p w14:paraId="59EC74F4" w14:textId="77777777" w:rsidR="00874665" w:rsidRPr="00AC13E7" w:rsidRDefault="00874665" w:rsidP="00716D89">
      <w:pPr>
        <w:jc w:val="both"/>
        <w:rPr>
          <w:b/>
        </w:rPr>
      </w:pPr>
    </w:p>
    <w:p w14:paraId="59950537" w14:textId="77777777" w:rsidR="00DB4CF6" w:rsidRPr="00AC13E7" w:rsidRDefault="00DB4CF6" w:rsidP="00716D89">
      <w:pPr>
        <w:jc w:val="both"/>
        <w:rPr>
          <w:b/>
        </w:rPr>
      </w:pPr>
      <w:r w:rsidRPr="00AC13E7">
        <w:rPr>
          <w:b/>
        </w:rPr>
        <w:t>Preprocessing</w:t>
      </w:r>
    </w:p>
    <w:p w14:paraId="44F5E932" w14:textId="71377721" w:rsidR="00DB4CF6" w:rsidRPr="00AC13E7" w:rsidRDefault="00DB4CF6" w:rsidP="00C63067">
      <w:pPr>
        <w:jc w:val="both"/>
        <w:rPr>
          <w:bCs/>
        </w:rPr>
      </w:pPr>
      <w:r w:rsidRPr="00AC13E7">
        <w:rPr>
          <w:bCs/>
        </w:rPr>
        <w:t xml:space="preserve">CliP is very flexible on inputs: </w:t>
      </w:r>
      <w:r w:rsidR="00004645" w:rsidRPr="00AC13E7">
        <w:rPr>
          <w:bCs/>
        </w:rPr>
        <w:t xml:space="preserve">it requires </w:t>
      </w:r>
      <w:r w:rsidRPr="00AC13E7">
        <w:rPr>
          <w:bCs/>
        </w:rPr>
        <w:t>either total copy number or allele</w:t>
      </w:r>
      <w:r w:rsidR="00AF43F3" w:rsidRPr="00AC13E7">
        <w:rPr>
          <w:bCs/>
        </w:rPr>
        <w:t>-</w:t>
      </w:r>
      <w:r w:rsidRPr="00AC13E7">
        <w:rPr>
          <w:bCs/>
        </w:rPr>
        <w:t xml:space="preserve">specific copy number, </w:t>
      </w:r>
      <w:r w:rsidR="00004645" w:rsidRPr="00AC13E7">
        <w:rPr>
          <w:bCs/>
        </w:rPr>
        <w:t xml:space="preserve">a </w:t>
      </w:r>
      <w:r w:rsidRPr="00AC13E7">
        <w:rPr>
          <w:bCs/>
        </w:rPr>
        <w:t xml:space="preserve">rough estimation of purity (random guess is also fine), and single nucleotide </w:t>
      </w:r>
      <w:r w:rsidR="00004645" w:rsidRPr="00AC13E7">
        <w:rPr>
          <w:bCs/>
        </w:rPr>
        <w:t>variant read counts</w:t>
      </w:r>
      <w:r w:rsidRPr="00AC13E7">
        <w:rPr>
          <w:bCs/>
        </w:rPr>
        <w:t>. However, the ideal set of inputs are allele</w:t>
      </w:r>
      <w:r w:rsidR="001E3B03" w:rsidRPr="00AC13E7">
        <w:rPr>
          <w:bCs/>
        </w:rPr>
        <w:t>-</w:t>
      </w:r>
      <w:r w:rsidRPr="00AC13E7">
        <w:rPr>
          <w:bCs/>
        </w:rPr>
        <w:t xml:space="preserve">specific copy number profile, purity estimates, and single nucleotide </w:t>
      </w:r>
      <w:r w:rsidR="00004645" w:rsidRPr="00AC13E7">
        <w:rPr>
          <w:bCs/>
        </w:rPr>
        <w:t xml:space="preserve">variant </w:t>
      </w:r>
      <w:r w:rsidRPr="00AC13E7">
        <w:rPr>
          <w:bCs/>
        </w:rPr>
        <w:t xml:space="preserve">reads </w:t>
      </w:r>
      <w:r w:rsidR="00004645" w:rsidRPr="00AC13E7">
        <w:rPr>
          <w:bCs/>
        </w:rPr>
        <w:t xml:space="preserve">counts </w:t>
      </w:r>
      <w:r w:rsidRPr="00AC13E7">
        <w:rPr>
          <w:bCs/>
        </w:rPr>
        <w:t>(</w:t>
      </w:r>
      <w:r w:rsidR="00004645" w:rsidRPr="00AC13E7">
        <w:rPr>
          <w:bCs/>
        </w:rPr>
        <w:t xml:space="preserve">counts supporting the </w:t>
      </w:r>
      <w:r w:rsidRPr="00AC13E7">
        <w:rPr>
          <w:bCs/>
        </w:rPr>
        <w:t xml:space="preserve">variant and reference </w:t>
      </w:r>
      <w:r w:rsidR="00004645" w:rsidRPr="00AC13E7">
        <w:rPr>
          <w:bCs/>
        </w:rPr>
        <w:t>alleles</w:t>
      </w:r>
      <w:r w:rsidRPr="00AC13E7">
        <w:rPr>
          <w:bCs/>
        </w:rPr>
        <w:t>)</w:t>
      </w:r>
      <w:r w:rsidR="00AA7137" w:rsidRPr="00AC13E7">
        <w:rPr>
          <w:bCs/>
        </w:rPr>
        <w:t>, as are available in this study</w:t>
      </w:r>
      <w:r w:rsidRPr="00AC13E7">
        <w:rPr>
          <w:bCs/>
        </w:rPr>
        <w:t>. The multiplicities of each SNVs are estimated by,</w:t>
      </w:r>
    </w:p>
    <w:p w14:paraId="28FFF151" w14:textId="455CEE34" w:rsidR="00DB4CF6" w:rsidRPr="00AC13E7" w:rsidRDefault="0036299C" w:rsidP="00716D89">
      <w:pPr>
        <w:jc w:val="both"/>
        <w:rPr>
          <w:bCs/>
        </w:rPr>
      </w:pPr>
      <m:oMathPara>
        <m:oMath>
          <m:sSub>
            <m:sSubPr>
              <m:ctrlPr>
                <w:rPr>
                  <w:rFonts w:ascii="Cambria Math" w:hAnsi="Cambria Math"/>
                  <w:bCs/>
                </w:rPr>
              </m:ctrlPr>
            </m:sSubPr>
            <m:e>
              <m:r>
                <w:rPr>
                  <w:rFonts w:ascii="Cambria Math" w:hAnsi="Cambria Math"/>
                </w:rPr>
                <m:t>m</m:t>
              </m:r>
            </m:e>
            <m:sub>
              <m:r>
                <w:rPr>
                  <w:rFonts w:ascii="Cambria Math" w:hAnsi="Cambria Math"/>
                </w:rPr>
                <m:t xml:space="preserve">i </m:t>
              </m:r>
            </m:sub>
          </m:sSub>
          <m:r>
            <w:rPr>
              <w:rFonts w:ascii="Cambria Math" w:hAnsi="Cambria Math"/>
            </w:rPr>
            <m:t>=[</m:t>
          </m:r>
          <m:f>
            <m:fPr>
              <m:ctrlPr>
                <w:rPr>
                  <w:rFonts w:ascii="Cambria Math" w:hAnsi="Cambria Math"/>
                  <w:bCs/>
                </w:rPr>
              </m:ctrlPr>
            </m:fPr>
            <m:num>
              <m:sSub>
                <m:sSubPr>
                  <m:ctrlPr>
                    <w:rPr>
                      <w:rFonts w:ascii="Cambria Math" w:hAnsi="Cambria Math"/>
                      <w:bCs/>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bCs/>
                    </w:rPr>
                  </m:ctrlPr>
                </m:sSubPr>
                <m:e>
                  <m:r>
                    <w:rPr>
                      <w:rFonts w:ascii="Cambria Math" w:hAnsi="Cambria Math"/>
                    </w:rPr>
                    <m:t>n</m:t>
                  </m:r>
                </m:e>
                <m:sub>
                  <m:r>
                    <w:rPr>
                      <w:rFonts w:ascii="Cambria Math" w:hAnsi="Cambria Math"/>
                    </w:rPr>
                    <m:t>i</m:t>
                  </m:r>
                </m:sub>
              </m:sSub>
            </m:num>
            <m:den>
              <m:r>
                <w:rPr>
                  <w:rFonts w:ascii="Cambria Math" w:hAnsi="Cambria Math"/>
                  <w:color w:val="000000"/>
                </w:rPr>
                <m:t>ρ</m:t>
              </m:r>
              <m:sSubSup>
                <m:sSubSupPr>
                  <m:ctrlPr>
                    <w:rPr>
                      <w:rFonts w:ascii="Cambria Math" w:hAnsi="Cambria Math"/>
                      <w:bCs/>
                    </w:rPr>
                  </m:ctrlPr>
                </m:sSubSupPr>
                <m:e>
                  <m:r>
                    <w:rPr>
                      <w:rFonts w:ascii="Cambria Math" w:hAnsi="Cambria Math"/>
                    </w:rPr>
                    <m:t>C</m:t>
                  </m:r>
                </m:e>
                <m:sub>
                  <m:r>
                    <w:rPr>
                      <w:rFonts w:ascii="Cambria Math" w:hAnsi="Cambria Math"/>
                    </w:rPr>
                    <m:t>i</m:t>
                  </m:r>
                </m:sub>
                <m:sup>
                  <m:r>
                    <w:rPr>
                      <w:rFonts w:ascii="Cambria Math" w:hAnsi="Cambria Math"/>
                    </w:rPr>
                    <m:t>V</m:t>
                  </m:r>
                </m:sup>
              </m:sSubSup>
              <m:r>
                <w:rPr>
                  <w:rFonts w:ascii="Cambria Math" w:hAnsi="Cambria Math"/>
                </w:rPr>
                <m:t xml:space="preserve"> + 2(1-</m:t>
              </m:r>
              <m:sSub>
                <m:sSubPr>
                  <m:ctrlPr>
                    <w:rPr>
                      <w:rFonts w:ascii="Cambria Math" w:hAnsi="Cambria Math"/>
                      <w:bCs/>
                    </w:rPr>
                  </m:ctrlPr>
                </m:sSubPr>
                <m:e>
                  <m:r>
                    <w:rPr>
                      <w:rFonts w:ascii="Cambria Math" w:hAnsi="Cambria Math"/>
                    </w:rPr>
                    <m:t>t</m:t>
                  </m:r>
                </m:e>
                <m:sub>
                  <m:r>
                    <w:rPr>
                      <w:rFonts w:ascii="Cambria Math" w:hAnsi="Cambria Math"/>
                    </w:rPr>
                    <m:t>0</m:t>
                  </m:r>
                </m:sub>
              </m:sSub>
              <m:r>
                <w:rPr>
                  <w:rFonts w:ascii="Cambria Math" w:hAnsi="Cambria Math"/>
                </w:rPr>
                <m:t>)</m:t>
              </m:r>
            </m:den>
          </m:f>
          <m:sSub>
            <m:sSubPr>
              <m:ctrlPr>
                <w:rPr>
                  <w:rFonts w:ascii="Cambria Math" w:hAnsi="Cambria Math"/>
                  <w:bCs/>
                </w:rPr>
              </m:ctrlPr>
            </m:sSubPr>
            <m:e>
              <m:r>
                <w:rPr>
                  <w:rFonts w:ascii="Cambria Math" w:hAnsi="Cambria Math"/>
                </w:rPr>
                <m:t>]</m:t>
              </m:r>
            </m:e>
            <m:sub>
              <m:r>
                <w:rPr>
                  <w:rFonts w:ascii="Cambria Math" w:hAnsi="Cambria Math"/>
                </w:rPr>
                <m:t>0</m:t>
              </m:r>
            </m:sub>
          </m:sSub>
          <m:r>
            <w:rPr>
              <w:rFonts w:ascii="Cambria Math" w:hAnsi="Cambria Math"/>
            </w:rPr>
            <m:t xml:space="preserve">, </m:t>
          </m:r>
        </m:oMath>
      </m:oMathPara>
    </w:p>
    <w:p w14:paraId="6B61E310" w14:textId="4B125965" w:rsidR="000B70E4" w:rsidRPr="00AC13E7" w:rsidRDefault="00DB4CF6" w:rsidP="00716D89">
      <w:pPr>
        <w:jc w:val="both"/>
        <w:rPr>
          <w:bCs/>
        </w:rPr>
      </w:pPr>
      <w:r w:rsidRPr="00AC13E7">
        <w:rPr>
          <w:bCs/>
        </w:rPr>
        <w:t xml:space="preserve">where </w:t>
      </w:r>
      <m:oMath>
        <m:sSub>
          <m:sSubPr>
            <m:ctrlPr>
              <w:rPr>
                <w:rFonts w:ascii="Cambria Math" w:hAnsi="Cambria Math"/>
                <w:bCs/>
              </w:rPr>
            </m:ctrlPr>
          </m:sSubPr>
          <m:e>
            <m:r>
              <w:rPr>
                <w:rFonts w:ascii="Cambria Math" w:hAnsi="Cambria Math"/>
              </w:rPr>
              <m:t>r</m:t>
            </m:r>
          </m:e>
          <m:sub>
            <m:r>
              <w:rPr>
                <w:rFonts w:ascii="Cambria Math" w:hAnsi="Cambria Math"/>
              </w:rPr>
              <m:t>i</m:t>
            </m:r>
          </m:sub>
        </m:sSub>
        <m:r>
          <w:rPr>
            <w:rFonts w:ascii="Cambria Math" w:hAnsi="Cambria Math"/>
          </w:rPr>
          <m:t xml:space="preserve"> </m:t>
        </m:r>
      </m:oMath>
      <w:r w:rsidRPr="00AC13E7">
        <w:rPr>
          <w:bCs/>
        </w:rPr>
        <w:t xml:space="preserve">is the variant allele read </w:t>
      </w:r>
      <w:r w:rsidR="00EC1E67" w:rsidRPr="00AC13E7">
        <w:rPr>
          <w:bCs/>
        </w:rPr>
        <w:t xml:space="preserve">count </w:t>
      </w:r>
      <w:r w:rsidRPr="00AC13E7">
        <w:rPr>
          <w:bCs/>
        </w:rPr>
        <w:t xml:space="preserve">at SNV </w:t>
      </w:r>
      <m:oMath>
        <m:r>
          <w:rPr>
            <w:rFonts w:ascii="Cambria Math" w:hAnsi="Cambria Math"/>
          </w:rPr>
          <m:t>i</m:t>
        </m:r>
      </m:oMath>
      <w:r w:rsidRPr="00AC13E7">
        <w:rPr>
          <w:bCs/>
        </w:rPr>
        <w:t xml:space="preserve">, </w:t>
      </w:r>
      <m:oMath>
        <m:sSub>
          <m:sSubPr>
            <m:ctrlPr>
              <w:rPr>
                <w:rFonts w:ascii="Cambria Math" w:hAnsi="Cambria Math"/>
                <w:bCs/>
              </w:rPr>
            </m:ctrlPr>
          </m:sSubPr>
          <m:e>
            <m:r>
              <w:rPr>
                <w:rFonts w:ascii="Cambria Math" w:hAnsi="Cambria Math"/>
              </w:rPr>
              <m:t>n</m:t>
            </m:r>
          </m:e>
          <m:sub>
            <m:r>
              <w:rPr>
                <w:rFonts w:ascii="Cambria Math" w:hAnsi="Cambria Math"/>
              </w:rPr>
              <m:t>i</m:t>
            </m:r>
          </m:sub>
        </m:sSub>
        <m:r>
          <w:rPr>
            <w:rFonts w:ascii="Cambria Math" w:hAnsi="Cambria Math"/>
          </w:rPr>
          <m:t xml:space="preserve"> </m:t>
        </m:r>
      </m:oMath>
      <w:r w:rsidRPr="00AC13E7">
        <w:rPr>
          <w:bCs/>
        </w:rPr>
        <w:t>is total read</w:t>
      </w:r>
      <w:r w:rsidR="00EC1E67" w:rsidRPr="00AC13E7">
        <w:rPr>
          <w:bCs/>
        </w:rPr>
        <w:t xml:space="preserve"> count</w:t>
      </w:r>
      <w:r w:rsidRPr="00AC13E7">
        <w:rPr>
          <w:bCs/>
        </w:rPr>
        <w:t xml:space="preserve">, </w:t>
      </w:r>
      <m:oMath>
        <m:r>
          <w:rPr>
            <w:rFonts w:ascii="Cambria Math" w:hAnsi="Cambria Math"/>
            <w:color w:val="000000"/>
          </w:rPr>
          <m:t>ρ</m:t>
        </m:r>
        <m:r>
          <w:rPr>
            <w:rFonts w:ascii="Cambria Math" w:hAnsi="Cambria Math"/>
          </w:rPr>
          <m:t xml:space="preserve"> </m:t>
        </m:r>
      </m:oMath>
      <w:r w:rsidRPr="00AC13E7">
        <w:rPr>
          <w:bCs/>
        </w:rPr>
        <w:t xml:space="preserve">purity, and </w:t>
      </w:r>
      <m:oMath>
        <m:sSubSup>
          <m:sSubSupPr>
            <m:ctrlPr>
              <w:rPr>
                <w:rFonts w:ascii="Cambria Math" w:hAnsi="Cambria Math"/>
                <w:bCs/>
              </w:rPr>
            </m:ctrlPr>
          </m:sSubSupPr>
          <m:e>
            <m:r>
              <w:rPr>
                <w:rFonts w:ascii="Cambria Math" w:hAnsi="Cambria Math"/>
              </w:rPr>
              <m:t>C</m:t>
            </m:r>
          </m:e>
          <m:sub>
            <m:r>
              <w:rPr>
                <w:rFonts w:ascii="Cambria Math" w:hAnsi="Cambria Math"/>
              </w:rPr>
              <m:t>i</m:t>
            </m:r>
          </m:sub>
          <m:sup>
            <m:r>
              <w:rPr>
                <w:rFonts w:ascii="Cambria Math" w:hAnsi="Cambria Math"/>
              </w:rPr>
              <m:t>V</m:t>
            </m:r>
          </m:sup>
        </m:sSubSup>
      </m:oMath>
      <w:r w:rsidRPr="00AC13E7">
        <w:rPr>
          <w:bCs/>
        </w:rPr>
        <w:t>the</w:t>
      </w:r>
      <w:r w:rsidR="000B70E4" w:rsidRPr="00AC13E7">
        <w:rPr>
          <w:bCs/>
        </w:rPr>
        <w:t xml:space="preserve"> clonal total copy number. </w:t>
      </w:r>
      <w:r w:rsidRPr="00AC13E7">
        <w:rPr>
          <w:bCs/>
        </w:rPr>
        <w:t xml:space="preserve">The operator </w:t>
      </w:r>
      <m:oMath>
        <m:r>
          <w:rPr>
            <w:rFonts w:ascii="Cambria Math" w:hAnsi="Cambria Math"/>
          </w:rPr>
          <m:t>[x</m:t>
        </m:r>
        <m:sSub>
          <m:sSubPr>
            <m:ctrlPr>
              <w:rPr>
                <w:rFonts w:ascii="Cambria Math" w:hAnsi="Cambria Math"/>
                <w:bCs/>
              </w:rPr>
            </m:ctrlPr>
          </m:sSubPr>
          <m:e>
            <m:r>
              <w:rPr>
                <w:rFonts w:ascii="Cambria Math" w:hAnsi="Cambria Math"/>
              </w:rPr>
              <m:t>]</m:t>
            </m:r>
          </m:e>
          <m:sub>
            <m:r>
              <w:rPr>
                <w:rFonts w:ascii="Cambria Math" w:hAnsi="Cambria Math"/>
              </w:rPr>
              <m:t>0</m:t>
            </m:r>
          </m:sub>
        </m:sSub>
      </m:oMath>
      <w:r w:rsidR="006C003D" w:rsidRPr="00AC13E7">
        <w:rPr>
          <w:bCs/>
        </w:rPr>
        <w:t xml:space="preserve"> </w:t>
      </w:r>
      <w:r w:rsidRPr="00AC13E7">
        <w:rPr>
          <w:bCs/>
        </w:rPr>
        <w:t xml:space="preserve">is defined as: </w:t>
      </w:r>
      <m:oMath>
        <m:r>
          <w:rPr>
            <w:rFonts w:ascii="Cambria Math" w:hAnsi="Cambria Math"/>
          </w:rPr>
          <m:t>[x</m:t>
        </m:r>
        <m:sSub>
          <m:sSubPr>
            <m:ctrlPr>
              <w:rPr>
                <w:rFonts w:ascii="Cambria Math" w:hAnsi="Cambria Math"/>
                <w:bCs/>
              </w:rPr>
            </m:ctrlPr>
          </m:sSubPr>
          <m:e>
            <m:r>
              <w:rPr>
                <w:rFonts w:ascii="Cambria Math" w:hAnsi="Cambria Math"/>
              </w:rPr>
              <m:t>]</m:t>
            </m:r>
          </m:e>
          <m:sub>
            <m:r>
              <w:rPr>
                <w:rFonts w:ascii="Cambria Math" w:hAnsi="Cambria Math"/>
              </w:rPr>
              <m:t>0</m:t>
            </m:r>
          </m:sub>
        </m:sSub>
        <m:r>
          <w:rPr>
            <w:rFonts w:ascii="Cambria Math" w:hAnsi="Cambria Math"/>
          </w:rPr>
          <m:t>=max{1, [x]},</m:t>
        </m:r>
      </m:oMath>
      <w:r w:rsidRPr="00AC13E7">
        <w:rPr>
          <w:bCs/>
        </w:rPr>
        <w:t xml:space="preserve"> where </w:t>
      </w:r>
      <m:oMath>
        <m:r>
          <w:rPr>
            <w:rFonts w:ascii="Cambria Math" w:hAnsi="Cambria Math"/>
          </w:rPr>
          <m:t>[x]</m:t>
        </m:r>
      </m:oMath>
      <w:r w:rsidR="000B70E4" w:rsidRPr="00AC13E7">
        <w:rPr>
          <w:bCs/>
        </w:rPr>
        <w:t xml:space="preserve"> </w:t>
      </w:r>
      <w:r w:rsidRPr="00AC13E7">
        <w:rPr>
          <w:bCs/>
        </w:rPr>
        <w:t xml:space="preserve">represents the closest integer from </w:t>
      </w:r>
      <m:oMath>
        <m:r>
          <w:rPr>
            <w:rFonts w:ascii="Cambria Math" w:hAnsi="Cambria Math"/>
          </w:rPr>
          <m:t>x</m:t>
        </m:r>
      </m:oMath>
      <w:r w:rsidRPr="00AC13E7">
        <w:rPr>
          <w:bCs/>
        </w:rPr>
        <w:t>.</w:t>
      </w:r>
    </w:p>
    <w:p w14:paraId="34FB1C27" w14:textId="77777777" w:rsidR="00154504" w:rsidRPr="00AC13E7" w:rsidRDefault="00154504" w:rsidP="00716D89">
      <w:pPr>
        <w:jc w:val="both"/>
        <w:rPr>
          <w:bCs/>
        </w:rPr>
      </w:pPr>
    </w:p>
    <w:p w14:paraId="7DD97535" w14:textId="2550DCF1" w:rsidR="00DB4CF6" w:rsidRPr="00AC13E7" w:rsidRDefault="00DB4CF6" w:rsidP="00716D89">
      <w:pPr>
        <w:jc w:val="both"/>
        <w:rPr>
          <w:b/>
        </w:rPr>
      </w:pPr>
      <w:r w:rsidRPr="00AC13E7">
        <w:rPr>
          <w:b/>
        </w:rPr>
        <w:t>Algorithm</w:t>
      </w:r>
    </w:p>
    <w:p w14:paraId="1A7268B8" w14:textId="2E175040" w:rsidR="00DB4CF6" w:rsidRPr="00AC13E7" w:rsidRDefault="00DB4CF6" w:rsidP="00716D89">
      <w:pPr>
        <w:jc w:val="both"/>
        <w:rPr>
          <w:bCs/>
        </w:rPr>
      </w:pPr>
      <w:r w:rsidRPr="00AC13E7">
        <w:rPr>
          <w:bCs/>
        </w:rPr>
        <w:t xml:space="preserve">CliP assumes each variant read </w:t>
      </w:r>
      <m:oMath>
        <m:sSub>
          <m:sSubPr>
            <m:ctrlPr>
              <w:rPr>
                <w:rFonts w:ascii="Cambria Math" w:hAnsi="Cambria Math"/>
                <w:bCs/>
              </w:rPr>
            </m:ctrlPr>
          </m:sSubPr>
          <m:e>
            <m:r>
              <w:rPr>
                <w:rFonts w:ascii="Cambria Math" w:hAnsi="Cambria Math"/>
              </w:rPr>
              <m:t>r</m:t>
            </m:r>
          </m:e>
          <m:sub>
            <m:r>
              <w:rPr>
                <w:rFonts w:ascii="Cambria Math" w:hAnsi="Cambria Math"/>
              </w:rPr>
              <m:t>i</m:t>
            </m:r>
          </m:sub>
        </m:sSub>
      </m:oMath>
      <w:r w:rsidRPr="00AC13E7">
        <w:rPr>
          <w:bCs/>
        </w:rPr>
        <w:t xml:space="preserve"> comes from a binomial distribution </w:t>
      </w:r>
      <m:oMath>
        <m:r>
          <w:rPr>
            <w:rFonts w:ascii="Cambria Math" w:hAnsi="Cambria Math"/>
          </w:rPr>
          <m:t>Binom(</m:t>
        </m:r>
        <m:sSub>
          <m:sSubPr>
            <m:ctrlPr>
              <w:rPr>
                <w:rFonts w:ascii="Cambria Math" w:hAnsi="Cambria Math"/>
                <w:bCs/>
              </w:rPr>
            </m:ctrlPr>
          </m:sSubPr>
          <m:e>
            <m:r>
              <w:rPr>
                <w:rFonts w:ascii="Cambria Math" w:hAnsi="Cambria Math"/>
              </w:rPr>
              <m:t>n</m:t>
            </m:r>
          </m:e>
          <m:sub>
            <m:r>
              <w:rPr>
                <w:rFonts w:ascii="Cambria Math" w:hAnsi="Cambria Math"/>
              </w:rPr>
              <m:t>i</m:t>
            </m:r>
          </m:sub>
        </m:sSub>
        <m:r>
          <w:rPr>
            <w:rFonts w:ascii="Cambria Math" w:hAnsi="Cambria Math"/>
          </w:rPr>
          <m:t xml:space="preserve">, </m:t>
        </m:r>
        <m:sSub>
          <m:sSubPr>
            <m:ctrlPr>
              <w:rPr>
                <w:rFonts w:ascii="Cambria Math" w:hAnsi="Cambria Math"/>
                <w:bCs/>
              </w:rPr>
            </m:ctrlPr>
          </m:sSubPr>
          <m:e>
            <m:r>
              <w:rPr>
                <w:rFonts w:ascii="Cambria Math" w:hAnsi="Cambria Math"/>
              </w:rPr>
              <m:t>θ</m:t>
            </m:r>
          </m:e>
          <m:sub>
            <m:r>
              <w:rPr>
                <w:rFonts w:ascii="Cambria Math" w:hAnsi="Cambria Math"/>
              </w:rPr>
              <m:t>i</m:t>
            </m:r>
          </m:sub>
        </m:sSub>
        <m:r>
          <w:rPr>
            <w:rFonts w:ascii="Cambria Math" w:hAnsi="Cambria Math"/>
          </w:rPr>
          <m:t>)</m:t>
        </m:r>
      </m:oMath>
      <w:r w:rsidRPr="00AC13E7">
        <w:rPr>
          <w:bCs/>
        </w:rPr>
        <w:t xml:space="preserve">, where </w:t>
      </w:r>
      <m:oMath>
        <m:sSub>
          <m:sSubPr>
            <m:ctrlPr>
              <w:rPr>
                <w:rFonts w:ascii="Cambria Math" w:hAnsi="Cambria Math"/>
                <w:bCs/>
              </w:rPr>
            </m:ctrlPr>
          </m:sSubPr>
          <m:e>
            <m:r>
              <w:rPr>
                <w:rFonts w:ascii="Cambria Math" w:hAnsi="Cambria Math"/>
              </w:rPr>
              <m:t>θ</m:t>
            </m:r>
          </m:e>
          <m:sub>
            <m:r>
              <w:rPr>
                <w:rFonts w:ascii="Cambria Math" w:hAnsi="Cambria Math"/>
              </w:rPr>
              <m:t>i</m:t>
            </m:r>
          </m:sub>
        </m:sSub>
      </m:oMath>
      <w:r w:rsidRPr="00AC13E7">
        <w:rPr>
          <w:bCs/>
        </w:rPr>
        <w:t xml:space="preserve"> can be expressed as,</w:t>
      </w:r>
    </w:p>
    <w:p w14:paraId="32281510" w14:textId="3FCD13DA" w:rsidR="00DB4CF6" w:rsidRPr="00AC13E7" w:rsidRDefault="0036299C" w:rsidP="00E21558">
      <w:pPr>
        <w:jc w:val="both"/>
        <w:rPr>
          <w:bCs/>
        </w:rPr>
      </w:pPr>
      <m:oMathPara>
        <m:oMath>
          <m:sSub>
            <m:sSubPr>
              <m:ctrlPr>
                <w:rPr>
                  <w:rFonts w:ascii="Cambria Math" w:hAnsi="Cambria Math"/>
                  <w:bCs/>
                </w:rPr>
              </m:ctrlPr>
            </m:sSubPr>
            <m:e>
              <m:r>
                <w:rPr>
                  <w:rFonts w:ascii="Cambria Math" w:hAnsi="Cambria Math"/>
                </w:rPr>
                <m:t>θ</m:t>
              </m:r>
            </m:e>
            <m:sub>
              <m:r>
                <w:rPr>
                  <w:rFonts w:ascii="Cambria Math" w:hAnsi="Cambria Math"/>
                </w:rPr>
                <m:t>i</m:t>
              </m:r>
            </m:sub>
          </m:sSub>
          <m:r>
            <w:rPr>
              <w:rFonts w:ascii="Cambria Math" w:hAnsi="Cambria Math"/>
            </w:rPr>
            <m:t>=</m:t>
          </m:r>
          <m:f>
            <m:fPr>
              <m:ctrlPr>
                <w:rPr>
                  <w:rFonts w:ascii="Cambria Math" w:hAnsi="Cambria Math"/>
                  <w:bCs/>
                </w:rPr>
              </m:ctrlPr>
            </m:fPr>
            <m:num>
              <m:sSub>
                <m:sSubPr>
                  <m:ctrlPr>
                    <w:rPr>
                      <w:rFonts w:ascii="Cambria Math" w:hAnsi="Cambria Math"/>
                      <w:bCs/>
                    </w:rPr>
                  </m:ctrlPr>
                </m:sSubPr>
                <m:e>
                  <m:r>
                    <w:rPr>
                      <w:rFonts w:ascii="Cambria Math" w:hAnsi="Cambria Math"/>
                    </w:rPr>
                    <m:t>ϕ</m:t>
                  </m:r>
                </m:e>
                <m:sub>
                  <m:r>
                    <w:rPr>
                      <w:rFonts w:ascii="Cambria Math" w:hAnsi="Cambria Math"/>
                    </w:rPr>
                    <m:t>i</m:t>
                  </m:r>
                </m:sub>
              </m:sSub>
              <m:sSub>
                <m:sSubPr>
                  <m:ctrlPr>
                    <w:rPr>
                      <w:rFonts w:ascii="Cambria Math" w:hAnsi="Cambria Math"/>
                      <w:bCs/>
                      <w:i/>
                    </w:rPr>
                  </m:ctrlPr>
                </m:sSubPr>
                <m:e>
                  <m:r>
                    <w:rPr>
                      <w:rFonts w:ascii="Cambria Math" w:hAnsi="Cambria Math"/>
                    </w:rPr>
                    <m:t>m</m:t>
                  </m:r>
                </m:e>
                <m:sub>
                  <m:r>
                    <w:rPr>
                      <w:rFonts w:ascii="Cambria Math" w:hAnsi="Cambria Math"/>
                    </w:rPr>
                    <m:t>i</m:t>
                  </m:r>
                </m:sub>
              </m:sSub>
            </m:num>
            <m:den>
              <m:r>
                <w:rPr>
                  <w:rFonts w:ascii="Cambria Math" w:hAnsi="Cambria Math"/>
                </w:rPr>
                <m:t>2(1-</m:t>
              </m:r>
              <m:sSub>
                <m:sSubPr>
                  <m:ctrlPr>
                    <w:rPr>
                      <w:rFonts w:ascii="Cambria Math" w:hAnsi="Cambria Math"/>
                      <w:bCs/>
                    </w:rPr>
                  </m:ctrlPr>
                </m:sSubPr>
                <m:e>
                  <m:r>
                    <w:rPr>
                      <w:rFonts w:ascii="Cambria Math" w:hAnsi="Cambria Math"/>
                    </w:rPr>
                    <m:t>ϕ</m:t>
                  </m:r>
                </m:e>
                <m:sub>
                  <m:r>
                    <w:rPr>
                      <w:rFonts w:ascii="Cambria Math" w:hAnsi="Cambria Math"/>
                    </w:rPr>
                    <m:t>i</m:t>
                  </m:r>
                </m:sub>
              </m:sSub>
              <m:r>
                <w:rPr>
                  <w:rFonts w:ascii="Cambria Math" w:hAnsi="Cambria Math"/>
                </w:rPr>
                <m:t xml:space="preserve">) + </m:t>
              </m:r>
              <m:sSub>
                <m:sSubPr>
                  <m:ctrlPr>
                    <w:rPr>
                      <w:rFonts w:ascii="Cambria Math" w:hAnsi="Cambria Math"/>
                      <w:bCs/>
                    </w:rPr>
                  </m:ctrlPr>
                </m:sSubPr>
                <m:e>
                  <m:r>
                    <w:rPr>
                      <w:rFonts w:ascii="Cambria Math" w:hAnsi="Cambria Math"/>
                    </w:rPr>
                    <m:t>ϕ</m:t>
                  </m:r>
                </m:e>
                <m:sub>
                  <m:r>
                    <w:rPr>
                      <w:rFonts w:ascii="Cambria Math" w:hAnsi="Cambria Math"/>
                    </w:rPr>
                    <m:t>i</m:t>
                  </m:r>
                </m:sub>
              </m:sSub>
              <m:sSubSup>
                <m:sSubSupPr>
                  <m:ctrlPr>
                    <w:rPr>
                      <w:rFonts w:ascii="Cambria Math" w:hAnsi="Cambria Math"/>
                      <w:bCs/>
                    </w:rPr>
                  </m:ctrlPr>
                </m:sSubSupPr>
                <m:e>
                  <m:r>
                    <w:rPr>
                      <w:rFonts w:ascii="Cambria Math" w:hAnsi="Cambria Math"/>
                    </w:rPr>
                    <m:t>C</m:t>
                  </m:r>
                </m:e>
                <m:sub>
                  <m:r>
                    <w:rPr>
                      <w:rFonts w:ascii="Cambria Math" w:hAnsi="Cambria Math"/>
                    </w:rPr>
                    <m:t>i</m:t>
                  </m:r>
                </m:sub>
                <m:sup>
                  <m:r>
                    <w:rPr>
                      <w:rFonts w:ascii="Cambria Math" w:hAnsi="Cambria Math"/>
                    </w:rPr>
                    <m:t>V</m:t>
                  </m:r>
                </m:sup>
              </m:sSubSup>
            </m:den>
          </m:f>
        </m:oMath>
      </m:oMathPara>
    </w:p>
    <w:p w14:paraId="46BCE5D2" w14:textId="7A483959" w:rsidR="00DB4CF6" w:rsidRPr="00AC13E7" w:rsidRDefault="00DB4CF6" w:rsidP="002B7DB4">
      <w:pPr>
        <w:jc w:val="both"/>
        <w:rPr>
          <w:bCs/>
        </w:rPr>
      </w:pPr>
      <w:r w:rsidRPr="00AC13E7">
        <w:rPr>
          <w:bCs/>
        </w:rPr>
        <w:t xml:space="preserve">where </w:t>
      </w:r>
      <m:oMath>
        <m:sSub>
          <m:sSubPr>
            <m:ctrlPr>
              <w:rPr>
                <w:rFonts w:ascii="Cambria Math" w:hAnsi="Cambria Math"/>
                <w:bCs/>
              </w:rPr>
            </m:ctrlPr>
          </m:sSubPr>
          <m:e>
            <m:r>
              <w:rPr>
                <w:rFonts w:ascii="Cambria Math" w:hAnsi="Cambria Math"/>
              </w:rPr>
              <m:t>ϕ</m:t>
            </m:r>
          </m:e>
          <m:sub>
            <m:r>
              <w:rPr>
                <w:rFonts w:ascii="Cambria Math" w:hAnsi="Cambria Math"/>
              </w:rPr>
              <m:t xml:space="preserve">i </m:t>
            </m:r>
          </m:sub>
        </m:sSub>
      </m:oMath>
      <w:r w:rsidRPr="00AC13E7">
        <w:rPr>
          <w:bCs/>
        </w:rPr>
        <w:t xml:space="preserve">is the cellular prevalence (CP), </w:t>
      </w:r>
      <m:oMath>
        <m:sSubSup>
          <m:sSubSupPr>
            <m:ctrlPr>
              <w:rPr>
                <w:rFonts w:ascii="Cambria Math" w:hAnsi="Cambria Math"/>
                <w:bCs/>
              </w:rPr>
            </m:ctrlPr>
          </m:sSubSupPr>
          <m:e>
            <m:r>
              <w:rPr>
                <w:rFonts w:ascii="Cambria Math" w:hAnsi="Cambria Math"/>
              </w:rPr>
              <m:t>C</m:t>
            </m:r>
          </m:e>
          <m:sub>
            <m:r>
              <w:rPr>
                <w:rFonts w:ascii="Cambria Math" w:hAnsi="Cambria Math"/>
              </w:rPr>
              <m:t>i</m:t>
            </m:r>
          </m:sub>
          <m:sup>
            <m:r>
              <w:rPr>
                <w:rFonts w:ascii="Cambria Math" w:hAnsi="Cambria Math"/>
              </w:rPr>
              <m:t>V</m:t>
            </m:r>
          </m:sup>
        </m:sSubSup>
      </m:oMath>
      <w:r w:rsidRPr="00AC13E7">
        <w:rPr>
          <w:bCs/>
        </w:rPr>
        <w:t xml:space="preserve">the clonal total copy number, and </w:t>
      </w:r>
      <m:oMath>
        <m:sSub>
          <m:sSubPr>
            <m:ctrlPr>
              <w:rPr>
                <w:rFonts w:ascii="Cambria Math" w:hAnsi="Cambria Math"/>
                <w:bCs/>
                <w:i/>
              </w:rPr>
            </m:ctrlPr>
          </m:sSubPr>
          <m:e>
            <m:r>
              <w:rPr>
                <w:rFonts w:ascii="Cambria Math" w:hAnsi="Cambria Math"/>
              </w:rPr>
              <m:t>m</m:t>
            </m:r>
          </m:e>
          <m:sub>
            <m:r>
              <w:rPr>
                <w:rFonts w:ascii="Cambria Math" w:hAnsi="Cambria Math"/>
              </w:rPr>
              <m:t>i</m:t>
            </m:r>
          </m:sub>
        </m:sSub>
        <m:r>
          <w:rPr>
            <w:rFonts w:ascii="Cambria Math" w:hAnsi="Cambria Math"/>
          </w:rPr>
          <m:t xml:space="preserve"> </m:t>
        </m:r>
      </m:oMath>
      <w:r w:rsidRPr="00AC13E7">
        <w:rPr>
          <w:bCs/>
        </w:rPr>
        <w:t xml:space="preserve">the multiplicity of the SNV. Here, </w:t>
      </w:r>
      <m:oMath>
        <m:sSub>
          <m:sSubPr>
            <m:ctrlPr>
              <w:rPr>
                <w:rFonts w:ascii="Cambria Math" w:hAnsi="Cambria Math"/>
                <w:bCs/>
              </w:rPr>
            </m:ctrlPr>
          </m:sSubPr>
          <m:e>
            <m:r>
              <w:rPr>
                <w:rFonts w:ascii="Cambria Math" w:hAnsi="Cambria Math"/>
              </w:rPr>
              <m:t>ϕ</m:t>
            </m:r>
          </m:e>
          <m:sub>
            <m:r>
              <w:rPr>
                <w:rFonts w:ascii="Cambria Math" w:hAnsi="Cambria Math"/>
              </w:rPr>
              <m:t>i</m:t>
            </m:r>
          </m:sub>
        </m:sSub>
      </m:oMath>
      <w:r w:rsidRPr="00AC13E7">
        <w:rPr>
          <w:bCs/>
        </w:rPr>
        <w:t xml:space="preserve"> is our main interest. To ensure </w:t>
      </w:r>
      <m:oMath>
        <m:sSub>
          <m:sSubPr>
            <m:ctrlPr>
              <w:rPr>
                <w:rFonts w:ascii="Cambria Math" w:hAnsi="Cambria Math"/>
                <w:bCs/>
              </w:rPr>
            </m:ctrlPr>
          </m:sSubPr>
          <m:e>
            <m:r>
              <w:rPr>
                <w:rFonts w:ascii="Cambria Math" w:hAnsi="Cambria Math"/>
              </w:rPr>
              <m:t>ϕ</m:t>
            </m:r>
          </m:e>
          <m:sub>
            <m:r>
              <w:rPr>
                <w:rFonts w:ascii="Cambria Math" w:hAnsi="Cambria Math"/>
              </w:rPr>
              <m:t>i</m:t>
            </m:r>
          </m:sub>
        </m:sSub>
        <m:r>
          <w:rPr>
            <w:rFonts w:ascii="Cambria Math" w:hAnsi="Cambria Math"/>
          </w:rPr>
          <m:t>'s</m:t>
        </m:r>
      </m:oMath>
      <w:r w:rsidRPr="00AC13E7">
        <w:rPr>
          <w:bCs/>
        </w:rPr>
        <w:t xml:space="preserve"> f</w:t>
      </w:r>
      <w:r w:rsidR="00DD59CA" w:rsidRPr="00AC13E7">
        <w:rPr>
          <w:bCs/>
        </w:rPr>
        <w:t>a</w:t>
      </w:r>
      <w:r w:rsidRPr="00AC13E7">
        <w:rPr>
          <w:bCs/>
        </w:rPr>
        <w:t xml:space="preserve">ll in [0,1], a logit transformation is necessary; therefore, </w:t>
      </w:r>
    </w:p>
    <w:p w14:paraId="57C98F6A" w14:textId="0A96A7DA" w:rsidR="00DB4CF6" w:rsidRPr="00AC13E7" w:rsidRDefault="0036299C" w:rsidP="00716D89">
      <w:pPr>
        <w:jc w:val="both"/>
        <w:rPr>
          <w:bCs/>
        </w:rPr>
      </w:pPr>
      <m:oMathPara>
        <m:oMath>
          <m:sSub>
            <m:sSubPr>
              <m:ctrlPr>
                <w:rPr>
                  <w:rFonts w:ascii="Cambria Math" w:hAnsi="Cambria Math"/>
                  <w:bCs/>
                </w:rPr>
              </m:ctrlPr>
            </m:sSubPr>
            <m:e>
              <m:r>
                <w:rPr>
                  <w:rFonts w:ascii="Cambria Math" w:hAnsi="Cambria Math"/>
                </w:rPr>
                <m:t>ϕ</m:t>
              </m:r>
            </m:e>
            <m:sub>
              <m:r>
                <w:rPr>
                  <w:rFonts w:ascii="Cambria Math" w:hAnsi="Cambria Math"/>
                </w:rPr>
                <m:t>i</m:t>
              </m:r>
            </m:sub>
          </m:sSub>
          <m:r>
            <w:rPr>
              <w:rFonts w:ascii="Cambria Math" w:hAnsi="Cambria Math"/>
            </w:rPr>
            <m:t>=</m:t>
          </m:r>
          <m:f>
            <m:fPr>
              <m:ctrlPr>
                <w:rPr>
                  <w:rFonts w:ascii="Cambria Math" w:hAnsi="Cambria Math"/>
                  <w:bCs/>
                </w:rPr>
              </m:ctrlPr>
            </m:fPr>
            <m:num>
              <m:sSup>
                <m:sSupPr>
                  <m:ctrlPr>
                    <w:rPr>
                      <w:rFonts w:ascii="Cambria Math" w:hAnsi="Cambria Math"/>
                      <w:bCs/>
                    </w:rPr>
                  </m:ctrlPr>
                </m:sSupPr>
                <m:e>
                  <m:r>
                    <w:rPr>
                      <w:rFonts w:ascii="Cambria Math" w:hAnsi="Cambria Math"/>
                    </w:rPr>
                    <m:t>e</m:t>
                  </m:r>
                </m:e>
                <m:sup>
                  <m:sSub>
                    <m:sSubPr>
                      <m:ctrlPr>
                        <w:rPr>
                          <w:rFonts w:ascii="Cambria Math" w:hAnsi="Cambria Math"/>
                          <w:bCs/>
                        </w:rPr>
                      </m:ctrlPr>
                    </m:sSubPr>
                    <m:e>
                      <m:r>
                        <w:rPr>
                          <w:rFonts w:ascii="Cambria Math" w:hAnsi="Cambria Math"/>
                        </w:rPr>
                        <m:t>ω</m:t>
                      </m:r>
                    </m:e>
                    <m:sub>
                      <m:r>
                        <w:rPr>
                          <w:rFonts w:ascii="Cambria Math" w:hAnsi="Cambria Math"/>
                        </w:rPr>
                        <m:t>i</m:t>
                      </m:r>
                    </m:sub>
                  </m:sSub>
                </m:sup>
              </m:sSup>
            </m:num>
            <m:den>
              <m:r>
                <w:rPr>
                  <w:rFonts w:ascii="Cambria Math" w:hAnsi="Cambria Math"/>
                </w:rPr>
                <m:t>1+</m:t>
              </m:r>
              <m:sSup>
                <m:sSupPr>
                  <m:ctrlPr>
                    <w:rPr>
                      <w:rFonts w:ascii="Cambria Math" w:hAnsi="Cambria Math"/>
                      <w:bCs/>
                    </w:rPr>
                  </m:ctrlPr>
                </m:sSupPr>
                <m:e>
                  <m:r>
                    <w:rPr>
                      <w:rFonts w:ascii="Cambria Math" w:hAnsi="Cambria Math"/>
                    </w:rPr>
                    <m:t>e</m:t>
                  </m:r>
                </m:e>
                <m:sup>
                  <m:sSub>
                    <m:sSubPr>
                      <m:ctrlPr>
                        <w:rPr>
                          <w:rFonts w:ascii="Cambria Math" w:hAnsi="Cambria Math"/>
                          <w:bCs/>
                        </w:rPr>
                      </m:ctrlPr>
                    </m:sSubPr>
                    <m:e>
                      <m:r>
                        <w:rPr>
                          <w:rFonts w:ascii="Cambria Math" w:hAnsi="Cambria Math"/>
                        </w:rPr>
                        <m:t>ω</m:t>
                      </m:r>
                    </m:e>
                    <m:sub>
                      <m:r>
                        <w:rPr>
                          <w:rFonts w:ascii="Cambria Math" w:hAnsi="Cambria Math"/>
                        </w:rPr>
                        <m:t>i</m:t>
                      </m:r>
                    </m:sub>
                  </m:sSub>
                </m:sup>
              </m:sSup>
            </m:den>
          </m:f>
        </m:oMath>
      </m:oMathPara>
    </w:p>
    <w:p w14:paraId="6A8FC573" w14:textId="77777777" w:rsidR="00DB4CF6" w:rsidRPr="00AC13E7" w:rsidRDefault="00DB4CF6" w:rsidP="00716D89">
      <w:pPr>
        <w:jc w:val="both"/>
        <w:rPr>
          <w:bCs/>
        </w:rPr>
      </w:pPr>
      <w:r w:rsidRPr="00AC13E7">
        <w:rPr>
          <w:bCs/>
        </w:rPr>
        <w:t xml:space="preserve">and, </w:t>
      </w:r>
    </w:p>
    <w:p w14:paraId="0B819516" w14:textId="24CE307D" w:rsidR="009F165A" w:rsidRPr="00AC13E7" w:rsidRDefault="0036299C" w:rsidP="00452FDD">
      <w:pPr>
        <w:jc w:val="both"/>
        <w:rPr>
          <w:bCs/>
        </w:rPr>
      </w:pPr>
      <m:oMathPara>
        <m:oMath>
          <m:sSub>
            <m:sSubPr>
              <m:ctrlPr>
                <w:rPr>
                  <w:rFonts w:ascii="Cambria Math" w:hAnsi="Cambria Math"/>
                  <w:bCs/>
                </w:rPr>
              </m:ctrlPr>
            </m:sSubPr>
            <m:e>
              <m:r>
                <w:rPr>
                  <w:rFonts w:ascii="Cambria Math" w:hAnsi="Cambria Math"/>
                </w:rPr>
                <m:t>θ</m:t>
              </m:r>
            </m:e>
            <m:sub>
              <m:r>
                <w:rPr>
                  <w:rFonts w:ascii="Cambria Math" w:hAnsi="Cambria Math"/>
                </w:rPr>
                <m:t>i</m:t>
              </m:r>
            </m:sub>
          </m:sSub>
          <m:r>
            <w:rPr>
              <w:rFonts w:ascii="Cambria Math" w:hAnsi="Cambria Math"/>
            </w:rPr>
            <m:t>=</m:t>
          </m:r>
          <m:f>
            <m:fPr>
              <m:ctrlPr>
                <w:rPr>
                  <w:rFonts w:ascii="Cambria Math" w:hAnsi="Cambria Math"/>
                  <w:bCs/>
                </w:rPr>
              </m:ctrlPr>
            </m:fPr>
            <m:num>
              <m:sSup>
                <m:sSupPr>
                  <m:ctrlPr>
                    <w:rPr>
                      <w:rFonts w:ascii="Cambria Math" w:hAnsi="Cambria Math"/>
                      <w:bCs/>
                      <w:i/>
                    </w:rPr>
                  </m:ctrlPr>
                </m:sSupPr>
                <m:e>
                  <m:r>
                    <w:rPr>
                      <w:rFonts w:ascii="Cambria Math" w:hAnsi="Cambria Math"/>
                    </w:rPr>
                    <m:t>e</m:t>
                  </m:r>
                </m:e>
                <m:sup>
                  <m:sSub>
                    <m:sSubPr>
                      <m:ctrlPr>
                        <w:rPr>
                          <w:rFonts w:ascii="Cambria Math" w:hAnsi="Cambria Math"/>
                          <w:bCs/>
                          <w:i/>
                        </w:rPr>
                      </m:ctrlPr>
                    </m:sSubPr>
                    <m:e>
                      <m:r>
                        <w:rPr>
                          <w:rFonts w:ascii="Cambria Math" w:hAnsi="Cambria Math"/>
                        </w:rPr>
                        <m:t>ω</m:t>
                      </m:r>
                    </m:e>
                    <m:sub>
                      <m:r>
                        <w:rPr>
                          <w:rFonts w:ascii="Cambria Math" w:hAnsi="Cambria Math"/>
                        </w:rPr>
                        <m:t>i</m:t>
                      </m:r>
                    </m:sub>
                  </m:sSub>
                </m:sup>
              </m:sSup>
              <m:sSub>
                <m:sSubPr>
                  <m:ctrlPr>
                    <w:rPr>
                      <w:rFonts w:ascii="Cambria Math" w:hAnsi="Cambria Math"/>
                      <w:bCs/>
                      <w:i/>
                    </w:rPr>
                  </m:ctrlPr>
                </m:sSubPr>
                <m:e>
                  <m:r>
                    <w:rPr>
                      <w:rFonts w:ascii="Cambria Math" w:hAnsi="Cambria Math"/>
                    </w:rPr>
                    <m:t>m</m:t>
                  </m:r>
                </m:e>
                <m:sub>
                  <m:r>
                    <w:rPr>
                      <w:rFonts w:ascii="Cambria Math" w:hAnsi="Cambria Math"/>
                    </w:rPr>
                    <m:t>i</m:t>
                  </m:r>
                </m:sub>
              </m:sSub>
            </m:num>
            <m:den>
              <m:r>
                <w:rPr>
                  <w:rFonts w:ascii="Cambria Math" w:hAnsi="Cambria Math"/>
                </w:rPr>
                <m:t xml:space="preserve">2 + </m:t>
              </m:r>
              <m:sSup>
                <m:sSupPr>
                  <m:ctrlPr>
                    <w:rPr>
                      <w:rFonts w:ascii="Cambria Math" w:hAnsi="Cambria Math"/>
                      <w:bCs/>
                    </w:rPr>
                  </m:ctrlPr>
                </m:sSupPr>
                <m:e>
                  <m:r>
                    <w:rPr>
                      <w:rFonts w:ascii="Cambria Math" w:hAnsi="Cambria Math"/>
                    </w:rPr>
                    <m:t>e</m:t>
                  </m:r>
                </m:e>
                <m:sup>
                  <m:sSub>
                    <m:sSubPr>
                      <m:ctrlPr>
                        <w:rPr>
                          <w:rFonts w:ascii="Cambria Math" w:hAnsi="Cambria Math"/>
                          <w:bCs/>
                        </w:rPr>
                      </m:ctrlPr>
                    </m:sSubPr>
                    <m:e>
                      <m:r>
                        <w:rPr>
                          <w:rFonts w:ascii="Cambria Math" w:hAnsi="Cambria Math"/>
                        </w:rPr>
                        <m:t>ω</m:t>
                      </m:r>
                    </m:e>
                    <m:sub>
                      <m:r>
                        <w:rPr>
                          <w:rFonts w:ascii="Cambria Math" w:hAnsi="Cambria Math"/>
                        </w:rPr>
                        <m:t>i</m:t>
                      </m:r>
                    </m:sub>
                  </m:sSub>
                </m:sup>
              </m:sSup>
              <m:sSubSup>
                <m:sSubSupPr>
                  <m:ctrlPr>
                    <w:rPr>
                      <w:rFonts w:ascii="Cambria Math" w:hAnsi="Cambria Math"/>
                      <w:bCs/>
                    </w:rPr>
                  </m:ctrlPr>
                </m:sSubSupPr>
                <m:e>
                  <m:r>
                    <w:rPr>
                      <w:rFonts w:ascii="Cambria Math" w:hAnsi="Cambria Math"/>
                    </w:rPr>
                    <m:t>C</m:t>
                  </m:r>
                </m:e>
                <m:sub>
                  <m:r>
                    <w:rPr>
                      <w:rFonts w:ascii="Cambria Math" w:hAnsi="Cambria Math"/>
                    </w:rPr>
                    <m:t>i</m:t>
                  </m:r>
                </m:sub>
                <m:sup>
                  <m:r>
                    <w:rPr>
                      <w:rFonts w:ascii="Cambria Math" w:hAnsi="Cambria Math"/>
                    </w:rPr>
                    <m:t>V</m:t>
                  </m:r>
                </m:sup>
              </m:sSubSup>
            </m:den>
          </m:f>
        </m:oMath>
      </m:oMathPara>
    </w:p>
    <w:p w14:paraId="38A4F480" w14:textId="271FBCBB" w:rsidR="00DB4CF6" w:rsidRPr="00AC13E7" w:rsidRDefault="00DB4CF6" w:rsidP="00716D89">
      <w:pPr>
        <w:jc w:val="both"/>
        <w:rPr>
          <w:bCs/>
        </w:rPr>
      </w:pPr>
      <w:r w:rsidRPr="00AC13E7">
        <w:rPr>
          <w:bCs/>
        </w:rPr>
        <w:t>Then we formulate the problem as minimi</w:t>
      </w:r>
      <w:r w:rsidR="00802594" w:rsidRPr="00AC13E7">
        <w:rPr>
          <w:bCs/>
        </w:rPr>
        <w:t>sing</w:t>
      </w:r>
      <w:r w:rsidRPr="00AC13E7">
        <w:rPr>
          <w:bCs/>
        </w:rPr>
        <w:t xml:space="preserve"> a penali</w:t>
      </w:r>
      <w:r w:rsidR="00802594" w:rsidRPr="00AC13E7">
        <w:rPr>
          <w:bCs/>
        </w:rPr>
        <w:t>sed</w:t>
      </w:r>
      <w:r w:rsidRPr="00AC13E7">
        <w:rPr>
          <w:bCs/>
        </w:rPr>
        <w:t xml:space="preserve"> profile likelihood:</w:t>
      </w:r>
    </w:p>
    <w:p w14:paraId="2B449C28" w14:textId="2684335F" w:rsidR="00DB4CF6" w:rsidRPr="00AC13E7" w:rsidRDefault="0032764D" w:rsidP="000A41E4">
      <w:pPr>
        <w:jc w:val="both"/>
        <w:rPr>
          <w:bCs/>
        </w:rPr>
      </w:pPr>
      <m:oMathPara>
        <m:oMath>
          <m:r>
            <w:rPr>
              <w:rFonts w:ascii="Cambria Math" w:hAnsi="Cambria Math"/>
            </w:rPr>
            <m:t>argmi</m:t>
          </m:r>
          <m:sSub>
            <m:sSubPr>
              <m:ctrlPr>
                <w:rPr>
                  <w:rFonts w:ascii="Cambria Math" w:hAnsi="Cambria Math"/>
                  <w:bCs/>
                </w:rPr>
              </m:ctrlPr>
            </m:sSubPr>
            <m:e>
              <m:r>
                <w:rPr>
                  <w:rFonts w:ascii="Cambria Math" w:hAnsi="Cambria Math"/>
                </w:rPr>
                <m:t>n</m:t>
              </m:r>
            </m:e>
            <m:sub>
              <m:sSub>
                <m:sSubPr>
                  <m:ctrlPr>
                    <w:rPr>
                      <w:rFonts w:ascii="Cambria Math" w:hAnsi="Cambria Math"/>
                      <w:bCs/>
                    </w:rPr>
                  </m:ctrlPr>
                </m:sSubPr>
                <m:e>
                  <m:r>
                    <w:rPr>
                      <w:rFonts w:ascii="Cambria Math" w:hAnsi="Cambria Math"/>
                    </w:rPr>
                    <m:t>ω</m:t>
                  </m:r>
                </m:e>
                <m:sub>
                  <m:r>
                    <w:rPr>
                      <w:rFonts w:ascii="Cambria Math" w:hAnsi="Cambria Math"/>
                    </w:rPr>
                    <m:t>i</m:t>
                  </m:r>
                </m:sub>
              </m:sSub>
            </m:sub>
          </m:sSub>
          <m:r>
            <w:rPr>
              <w:rFonts w:ascii="Cambria Math" w:hAnsi="Cambria Math"/>
            </w:rPr>
            <m:t xml:space="preserve">{ </m:t>
          </m:r>
          <m:f>
            <m:fPr>
              <m:ctrlPr>
                <w:rPr>
                  <w:rFonts w:ascii="Cambria Math" w:hAnsi="Cambria Math"/>
                  <w:bCs/>
                </w:rPr>
              </m:ctrlPr>
            </m:fPr>
            <m:num>
              <m:r>
                <w:rPr>
                  <w:rFonts w:ascii="Cambria Math" w:hAnsi="Cambria Math"/>
                </w:rPr>
                <m:t>1</m:t>
              </m:r>
            </m:num>
            <m:den>
              <m:r>
                <w:rPr>
                  <w:rFonts w:ascii="Cambria Math" w:hAnsi="Cambria Math"/>
                </w:rPr>
                <m:t>2</m:t>
              </m:r>
            </m:den>
          </m:f>
          <m:nary>
            <m:naryPr>
              <m:chr m:val="∑"/>
              <m:ctrlPr>
                <w:rPr>
                  <w:rFonts w:ascii="Cambria Math" w:hAnsi="Cambria Math"/>
                  <w:bCs/>
                </w:rPr>
              </m:ctrlPr>
            </m:naryPr>
            <m:sub>
              <m:r>
                <w:rPr>
                  <w:rFonts w:ascii="Cambria Math" w:hAnsi="Cambria Math"/>
                </w:rPr>
                <m:t>i=1</m:t>
              </m:r>
            </m:sub>
            <m:sup>
              <m:r>
                <w:rPr>
                  <w:rFonts w:ascii="Cambria Math" w:hAnsi="Cambria Math"/>
                </w:rPr>
                <m:t>N</m:t>
              </m:r>
            </m:sup>
            <m:e>
              <m:f>
                <m:fPr>
                  <m:ctrlPr>
                    <w:rPr>
                      <w:rFonts w:ascii="Cambria Math" w:hAnsi="Cambria Math"/>
                      <w:bCs/>
                      <w:i/>
                    </w:rPr>
                  </m:ctrlPr>
                </m:fPr>
                <m:num>
                  <m:sSub>
                    <m:sSubPr>
                      <m:ctrlPr>
                        <w:rPr>
                          <w:rFonts w:ascii="Cambria Math" w:hAnsi="Cambria Math"/>
                          <w:bCs/>
                          <w:i/>
                        </w:rPr>
                      </m:ctrlPr>
                    </m:sSubPr>
                    <m:e>
                      <m:r>
                        <w:rPr>
                          <w:rFonts w:ascii="Cambria Math" w:hAnsi="Cambria Math"/>
                        </w:rPr>
                        <m:t>n</m:t>
                      </m:r>
                    </m:e>
                    <m:sub>
                      <m:r>
                        <w:rPr>
                          <w:rFonts w:ascii="Cambria Math" w:hAnsi="Cambria Math"/>
                        </w:rPr>
                        <m:t>i</m:t>
                      </m:r>
                    </m:sub>
                  </m:sSub>
                  <m:sSup>
                    <m:sSupPr>
                      <m:ctrlPr>
                        <w:rPr>
                          <w:rFonts w:ascii="Cambria Math" w:hAnsi="Cambria Math"/>
                          <w:bCs/>
                          <w:i/>
                        </w:rPr>
                      </m:ctrlPr>
                    </m:sSupPr>
                    <m:e>
                      <m:r>
                        <w:rPr>
                          <w:rFonts w:ascii="Cambria Math" w:hAnsi="Cambria Math"/>
                        </w:rPr>
                        <m:t>(</m:t>
                      </m:r>
                      <m:sSub>
                        <m:sSubPr>
                          <m:ctrlPr>
                            <w:rPr>
                              <w:rFonts w:ascii="Cambria Math" w:hAnsi="Cambria Math"/>
                              <w:bCs/>
                              <w:i/>
                            </w:rPr>
                          </m:ctrlPr>
                        </m:sSubPr>
                        <m:e>
                          <m:r>
                            <w:rPr>
                              <w:rFonts w:ascii="Cambria Math" w:hAnsi="Cambria Math"/>
                            </w:rPr>
                            <m:t>θ</m:t>
                          </m:r>
                        </m:e>
                        <m:sub>
                          <m:r>
                            <w:rPr>
                              <w:rFonts w:ascii="Cambria Math" w:hAnsi="Cambria Math"/>
                            </w:rPr>
                            <m:t>i</m:t>
                          </m:r>
                        </m:sub>
                      </m:sSub>
                      <m:r>
                        <w:rPr>
                          <w:rFonts w:ascii="Cambria Math" w:hAnsi="Cambria Math"/>
                        </w:rPr>
                        <m:t>-</m:t>
                      </m:r>
                      <m:sSub>
                        <m:sSubPr>
                          <m:ctrlPr>
                            <w:rPr>
                              <w:rFonts w:ascii="Cambria Math" w:hAnsi="Cambria Math"/>
                              <w:bCs/>
                              <w:i/>
                            </w:rPr>
                          </m:ctrlPr>
                        </m:sSubPr>
                        <m:e>
                          <m:acc>
                            <m:accPr>
                              <m:ctrlPr>
                                <w:rPr>
                                  <w:rFonts w:ascii="Cambria Math" w:hAnsi="Cambria Math"/>
                                  <w:bCs/>
                                  <w:i/>
                                </w:rPr>
                              </m:ctrlPr>
                            </m:accPr>
                            <m:e>
                              <m:r>
                                <w:rPr>
                                  <w:rFonts w:ascii="Cambria Math" w:hAnsi="Cambria Math"/>
                                </w:rPr>
                                <m:t>θ</m:t>
                              </m:r>
                            </m:e>
                          </m:acc>
                        </m:e>
                        <m:sub>
                          <m:r>
                            <w:rPr>
                              <w:rFonts w:ascii="Cambria Math" w:hAnsi="Cambria Math"/>
                            </w:rPr>
                            <m:t>i</m:t>
                          </m:r>
                        </m:sub>
                      </m:sSub>
                      <m:r>
                        <w:rPr>
                          <w:rFonts w:ascii="Cambria Math" w:hAnsi="Cambria Math"/>
                        </w:rPr>
                        <m:t>)</m:t>
                      </m:r>
                    </m:e>
                    <m:sup>
                      <m:r>
                        <w:rPr>
                          <w:rFonts w:ascii="Cambria Math" w:hAnsi="Cambria Math"/>
                        </w:rPr>
                        <m:t>2</m:t>
                      </m:r>
                    </m:sup>
                  </m:sSup>
                </m:num>
                <m:den>
                  <m:sSub>
                    <m:sSubPr>
                      <m:ctrlPr>
                        <w:rPr>
                          <w:rFonts w:ascii="Cambria Math" w:hAnsi="Cambria Math"/>
                          <w:bCs/>
                          <w:i/>
                        </w:rPr>
                      </m:ctrlPr>
                    </m:sSubPr>
                    <m:e>
                      <m:r>
                        <w:rPr>
                          <w:rFonts w:ascii="Cambria Math" w:hAnsi="Cambria Math"/>
                        </w:rPr>
                        <m:t>θ</m:t>
                      </m:r>
                    </m:e>
                    <m:sub>
                      <m:r>
                        <w:rPr>
                          <w:rFonts w:ascii="Cambria Math" w:hAnsi="Cambria Math"/>
                        </w:rPr>
                        <m:t>i</m:t>
                      </m:r>
                    </m:sub>
                  </m:sSub>
                  <m:r>
                    <w:rPr>
                      <w:rFonts w:ascii="Cambria Math" w:hAnsi="Cambria Math"/>
                    </w:rPr>
                    <m:t>(1-</m:t>
                  </m:r>
                  <m:sSub>
                    <m:sSubPr>
                      <m:ctrlPr>
                        <w:rPr>
                          <w:rFonts w:ascii="Cambria Math" w:hAnsi="Cambria Math"/>
                          <w:bCs/>
                          <w:i/>
                        </w:rPr>
                      </m:ctrlPr>
                    </m:sSubPr>
                    <m:e>
                      <m:r>
                        <w:rPr>
                          <w:rFonts w:ascii="Cambria Math" w:hAnsi="Cambria Math"/>
                        </w:rPr>
                        <m:t>θ</m:t>
                      </m:r>
                    </m:e>
                    <m:sub>
                      <m:r>
                        <w:rPr>
                          <w:rFonts w:ascii="Cambria Math" w:hAnsi="Cambria Math"/>
                        </w:rPr>
                        <m:t>i</m:t>
                      </m:r>
                    </m:sub>
                  </m:sSub>
                  <m:r>
                    <w:rPr>
                      <w:rFonts w:ascii="Cambria Math" w:hAnsi="Cambria Math"/>
                    </w:rPr>
                    <m:t>)</m:t>
                  </m:r>
                </m:den>
              </m:f>
            </m:e>
          </m:nary>
          <m:r>
            <w:rPr>
              <w:rFonts w:ascii="Cambria Math" w:hAnsi="Cambria Math"/>
            </w:rPr>
            <m:t xml:space="preserve"> + </m:t>
          </m:r>
          <m:nary>
            <m:naryPr>
              <m:chr m:val="∑"/>
              <m:limLoc m:val="undOvr"/>
              <m:supHide m:val="1"/>
              <m:ctrlPr>
                <w:rPr>
                  <w:rFonts w:ascii="Cambria Math" w:hAnsi="Cambria Math"/>
                  <w:i/>
                </w:rPr>
              </m:ctrlPr>
            </m:naryPr>
            <m:sub>
              <m:r>
                <w:rPr>
                  <w:rFonts w:ascii="Cambria Math" w:hAnsi="Cambria Math"/>
                </w:rPr>
                <m:t>1≤i≤j≤N</m:t>
              </m:r>
            </m:sub>
            <m:sup/>
            <m:e>
              <m:sSub>
                <m:sSubPr>
                  <m:ctrlPr>
                    <w:rPr>
                      <w:rFonts w:ascii="Cambria Math" w:hAnsi="Cambria Math"/>
                      <w:i/>
                    </w:rPr>
                  </m:ctrlPr>
                </m:sSubPr>
                <m:e>
                  <m:r>
                    <w:rPr>
                      <w:rFonts w:ascii="Cambria Math" w:hAnsi="Cambria Math"/>
                    </w:rPr>
                    <m:t>p</m:t>
                  </m:r>
                </m:e>
                <m:sub>
                  <m:r>
                    <w:rPr>
                      <w:rFonts w:ascii="Cambria Math" w:hAnsi="Cambria Math"/>
                    </w:rPr>
                    <m:t>λ</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j</m:t>
                  </m:r>
                </m:sub>
              </m:sSub>
              <m:r>
                <w:rPr>
                  <w:rFonts w:ascii="Cambria Math" w:hAnsi="Cambria Math"/>
                </w:rPr>
                <m:t>|)</m:t>
              </m:r>
            </m:e>
          </m:nary>
          <m:r>
            <w:rPr>
              <w:rFonts w:ascii="Cambria Math" w:hAnsi="Cambria Math"/>
            </w:rPr>
            <m:t xml:space="preserve"> },</m:t>
          </m:r>
        </m:oMath>
      </m:oMathPara>
    </w:p>
    <w:p w14:paraId="02277337" w14:textId="5ECFC470" w:rsidR="00DB4CF6" w:rsidRPr="00AC13E7" w:rsidRDefault="00DB4CF6" w:rsidP="00D86E26">
      <w:pPr>
        <w:jc w:val="both"/>
        <w:rPr>
          <w:bCs/>
        </w:rPr>
      </w:pPr>
      <w:r w:rsidRPr="00AC13E7">
        <w:rPr>
          <w:bCs/>
        </w:rPr>
        <w:t xml:space="preserve">Where </w:t>
      </w:r>
      <m:oMath>
        <m:sSub>
          <m:sSubPr>
            <m:ctrlPr>
              <w:rPr>
                <w:rFonts w:ascii="Cambria Math" w:hAnsi="Cambria Math"/>
                <w:bCs/>
              </w:rPr>
            </m:ctrlPr>
          </m:sSubPr>
          <m:e>
            <m:r>
              <w:rPr>
                <w:rFonts w:ascii="Cambria Math" w:hAnsi="Cambria Math"/>
              </w:rPr>
              <m:t>p</m:t>
            </m:r>
          </m:e>
          <m:sub>
            <m:r>
              <w:rPr>
                <w:rFonts w:ascii="Cambria Math" w:hAnsi="Cambria Math"/>
              </w:rPr>
              <m:t>λ</m:t>
            </m:r>
          </m:sub>
        </m:sSub>
        <m:d>
          <m:dPr>
            <m:ctrlPr>
              <w:rPr>
                <w:rFonts w:ascii="Cambria Math" w:hAnsi="Cambria Math"/>
                <w:i/>
              </w:rPr>
            </m:ctrlPr>
          </m:dPr>
          <m:e>
            <m:r>
              <w:rPr>
                <w:rFonts w:ascii="Cambria Math" w:hAnsi="Cambria Math"/>
              </w:rPr>
              <m:t>x</m:t>
            </m:r>
          </m:e>
        </m:d>
      </m:oMath>
      <w:r w:rsidR="009B20C9" w:rsidRPr="00AC13E7">
        <w:t xml:space="preserve"> </w:t>
      </w:r>
      <w:r w:rsidRPr="00AC13E7">
        <w:rPr>
          <w:bCs/>
        </w:rPr>
        <w:t>is a penali</w:t>
      </w:r>
      <w:r w:rsidR="00802594" w:rsidRPr="00AC13E7">
        <w:rPr>
          <w:bCs/>
        </w:rPr>
        <w:t>sing</w:t>
      </w:r>
      <w:r w:rsidRPr="00AC13E7">
        <w:rPr>
          <w:bCs/>
        </w:rPr>
        <w:t xml:space="preserve"> function, one may use </w:t>
      </w:r>
      <w:r w:rsidR="0048446D" w:rsidRPr="00AC13E7">
        <w:rPr>
          <w:bCs/>
        </w:rPr>
        <w:t xml:space="preserve">a </w:t>
      </w:r>
      <w:r w:rsidRPr="00AC13E7">
        <w:rPr>
          <w:bCs/>
        </w:rPr>
        <w:t>LASSO</w:t>
      </w:r>
      <w:r w:rsidR="00710CC9" w:rsidRPr="00AC13E7">
        <w:rPr>
          <w:bCs/>
        </w:rPr>
        <w:fldChar w:fldCharType="begin"/>
      </w:r>
      <w:r w:rsidR="00D86E26">
        <w:rPr>
          <w:bCs/>
        </w:rPr>
        <w:instrText xml:space="preserve"> ADDIN EN.CITE &lt;EndNote&gt;&lt;Cite&gt;&lt;Author&gt;Tibshirani&lt;/Author&gt;&lt;Year&gt;1996&lt;/Year&gt;&lt;RecNum&gt;18&lt;/RecNum&gt;&lt;DisplayText&gt;&lt;style face="superscript"&gt;29&lt;/style&gt;&lt;/DisplayText&gt;&lt;record&gt;&lt;rec-number&gt;18&lt;/rec-number&gt;&lt;foreign-keys&gt;&lt;key app="EN" db-id="swsz0f55g50w9yex0aqvtfdxarrpzt5z00pd" timestamp="1494430601"&gt;18&lt;/key&gt;&lt;/foreign-keys&gt;&lt;ref-type name="Journal Article"&gt;17&lt;/ref-type&gt;&lt;contributors&gt;&lt;authors&gt;&lt;author&gt;Tibshirani, R.&lt;/author&gt;&lt;/authors&gt;&lt;/contributors&gt;&lt;titles&gt;&lt;title&gt;Regression shrinkage and selection via the Lasso&lt;/title&gt;&lt;secondary-title&gt;Journal of the Royal Statistical Society Series B-Methodological&lt;/secondary-title&gt;&lt;alt-title&gt;J Roy Stat Soc B Met&lt;/alt-title&gt;&lt;/titles&gt;&lt;periodical&gt;&lt;full-title&gt;Journal of the Royal Statistical Society Series B-Methodological&lt;/full-title&gt;&lt;abbr-1&gt;J Roy Stat Soc B Met&lt;/abbr-1&gt;&lt;/periodical&gt;&lt;alt-periodical&gt;&lt;full-title&gt;Journal of the Royal Statistical Society Series B-Methodological&lt;/full-title&gt;&lt;abbr-1&gt;J Roy Stat Soc B Met&lt;/abbr-1&gt;&lt;/alt-periodical&gt;&lt;pages&gt;267-288&lt;/pages&gt;&lt;volume&gt;58&lt;/volume&gt;&lt;number&gt;1&lt;/number&gt;&lt;keywords&gt;&lt;keyword&gt;quadratic programming&lt;/keyword&gt;&lt;keyword&gt;regression&lt;/keyword&gt;&lt;keyword&gt;shrinkage&lt;/keyword&gt;&lt;keyword&gt;subset selection&lt;/keyword&gt;&lt;/keywords&gt;&lt;dates&gt;&lt;year&gt;1996&lt;/year&gt;&lt;/dates&gt;&lt;isbn&gt;0035-9246&lt;/isbn&gt;&lt;accession-num&gt;WOS:A1996TU31400017&lt;/accession-num&gt;&lt;urls&gt;&lt;related-urls&gt;&lt;url&gt;&amp;lt;Go to ISI&amp;gt;://WOS:A1996TU31400017&lt;/url&gt;&lt;/related-urls&gt;&lt;/urls&gt;&lt;language&gt;English&lt;/language&gt;&lt;/record&gt;&lt;/Cite&gt;&lt;/EndNote&gt;</w:instrText>
      </w:r>
      <w:r w:rsidR="00710CC9" w:rsidRPr="00AC13E7">
        <w:rPr>
          <w:bCs/>
        </w:rPr>
        <w:fldChar w:fldCharType="separate"/>
      </w:r>
      <w:r w:rsidR="00D86E26" w:rsidRPr="00D86E26">
        <w:rPr>
          <w:bCs/>
          <w:noProof/>
          <w:vertAlign w:val="superscript"/>
        </w:rPr>
        <w:t>29</w:t>
      </w:r>
      <w:r w:rsidR="00710CC9" w:rsidRPr="00AC13E7">
        <w:rPr>
          <w:bCs/>
        </w:rPr>
        <w:fldChar w:fldCharType="end"/>
      </w:r>
      <w:r w:rsidR="00710CC9" w:rsidRPr="00AC13E7">
        <w:rPr>
          <w:bCs/>
        </w:rPr>
        <w:t xml:space="preserve"> </w:t>
      </w:r>
      <w:r w:rsidRPr="00AC13E7">
        <w:rPr>
          <w:bCs/>
        </w:rPr>
        <w:t>type penalty (L1), MCP</w:t>
      </w:r>
      <w:r w:rsidR="00710CC9" w:rsidRPr="00AC13E7">
        <w:rPr>
          <w:bCs/>
        </w:rPr>
        <w:fldChar w:fldCharType="begin">
          <w:fldData xml:space="preserve">PEVuZE5vdGU+PENpdGU+PEF1dGhvcj5aaGFuZzwvQXV0aG9yPjxZZWFyPjIwMTA8L1llYXI+PFJl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</w:fldData>
        </w:fldChar>
      </w:r>
      <w:r w:rsidR="00D86E26">
        <w:rPr>
          <w:bCs/>
        </w:rPr>
        <w:instrText xml:space="preserve"> ADDIN EN.CITE </w:instrText>
      </w:r>
      <w:r w:rsidR="00D86E26">
        <w:rPr>
          <w:bCs/>
        </w:rPr>
        <w:fldChar w:fldCharType="begin">
          <w:fldData xml:space="preserve">PEVuZE5vdGU+PENpdGU+PEF1dGhvcj5aaGFuZzwvQXV0aG9yPjxZZWFyPjIwMTA8L1llYXI+PFJl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</w:fldData>
        </w:fldChar>
      </w:r>
      <w:r w:rsidR="00D86E26">
        <w:rPr>
          <w:bCs/>
        </w:rPr>
        <w:instrText xml:space="preserve"> ADDIN EN.CITE.DATA </w:instrText>
      </w:r>
      <w:r w:rsidR="00D86E26">
        <w:rPr>
          <w:bCs/>
        </w:rPr>
      </w:r>
      <w:r w:rsidR="00D86E26">
        <w:rPr>
          <w:bCs/>
        </w:rPr>
        <w:fldChar w:fldCharType="end"/>
      </w:r>
      <w:r w:rsidR="00710CC9" w:rsidRPr="00AC13E7">
        <w:rPr>
          <w:bCs/>
        </w:rPr>
      </w:r>
      <w:r w:rsidR="00710CC9" w:rsidRPr="00AC13E7">
        <w:rPr>
          <w:bCs/>
        </w:rPr>
        <w:fldChar w:fldCharType="separate"/>
      </w:r>
      <w:r w:rsidR="00D86E26" w:rsidRPr="00D86E26">
        <w:rPr>
          <w:bCs/>
          <w:noProof/>
          <w:vertAlign w:val="superscript"/>
        </w:rPr>
        <w:t>30</w:t>
      </w:r>
      <w:r w:rsidR="00710CC9" w:rsidRPr="00AC13E7">
        <w:rPr>
          <w:bCs/>
        </w:rPr>
        <w:fldChar w:fldCharType="end"/>
      </w:r>
      <w:r w:rsidRPr="00AC13E7">
        <w:rPr>
          <w:bCs/>
        </w:rPr>
        <w:t>, SCAD</w:t>
      </w:r>
      <w:r w:rsidR="00710CC9" w:rsidRPr="00AC13E7">
        <w:rPr>
          <w:bCs/>
        </w:rPr>
        <w:fldChar w:fldCharType="begin"/>
      </w:r>
      <w:r w:rsidR="00D86E26">
        <w:rPr>
          <w:bCs/>
        </w:rPr>
        <w:instrText xml:space="preserve"> ADDIN EN.CITE &lt;EndNote&gt;&lt;Cite&gt;&lt;Author&gt;Fan&lt;/Author&gt;&lt;Year&gt;2001&lt;/Year&gt;&lt;RecNum&gt;20&lt;/RecNum&gt;&lt;DisplayText&gt;&lt;style face="superscript"&gt;31&lt;/style&gt;&lt;/DisplayText&gt;&lt;record&gt;&lt;rec-number&gt;20&lt;/rec-number&gt;&lt;foreign-keys&gt;&lt;key app="EN" db-id="swsz0f55g50w9yex0aqvtfdxarrpzt5z00pd" timestamp="1494430662"&gt;20&lt;/key&gt;&lt;/foreign-keys&gt;&lt;ref-type name="Journal Article"&gt;17&lt;/ref-type&gt;&lt;contributors&gt;&lt;authors&gt;&lt;author&gt;Fan, J. Q.&lt;/author&gt;&lt;author&gt;Li, R. Z.&lt;/author&gt;&lt;/authors&gt;&lt;/contributors&gt;&lt;auth-address&gt;Chinese Univ Hong Kong, Dept Stat, Sha Tin 100083, Peoples R China&amp;#xD;Univ Calif Los Angeles, Dept Stat, Los Angeles, CA 90095 USA&amp;#xD;Penn State Univ, Dept Stat, University Pk, PA 16802 USA&lt;/auth-address&gt;&lt;titles&gt;&lt;title&gt;Variable selection via nonconcave penalized likelihood and its oracle properties&lt;/title&gt;&lt;secondary-title&gt;Journal of the American Statistical Association&lt;/secondary-title&gt;&lt;alt-title&gt;J Am Stat Assoc&lt;/alt-title&gt;&lt;/titles&gt;&lt;periodical&gt;&lt;full-title&gt;Journal of the American Statistical Association&lt;/full-title&gt;&lt;abbr-1&gt;J Am Stat Assoc&lt;/abbr-1&gt;&lt;/periodical&gt;&lt;alt-periodical&gt;&lt;full-title&gt;Journal of the American Statistical Association&lt;/full-title&gt;&lt;abbr-1&gt;J Am Stat Assoc&lt;/abbr-1&gt;&lt;/alt-periodical&gt;&lt;pages&gt;1348-1360&lt;/pages&gt;&lt;volume&gt;96&lt;/volume&gt;&lt;number&gt;456&lt;/number&gt;&lt;keywords&gt;&lt;keyword&gt;hard thresholding&lt;/keyword&gt;&lt;keyword&gt;lasso&lt;/keyword&gt;&lt;keyword&gt;nonnegative garrote&lt;/keyword&gt;&lt;keyword&gt;penalized likelihood&lt;/keyword&gt;&lt;keyword&gt;oracle estimator&lt;/keyword&gt;&lt;keyword&gt;scad&lt;/keyword&gt;&lt;keyword&gt;soft thresholding&lt;/keyword&gt;&lt;keyword&gt;regression&lt;/keyword&gt;&lt;keyword&gt;shrinkage&lt;/keyword&gt;&lt;keyword&gt;model&lt;/keyword&gt;&lt;keyword&gt;lasso&lt;/keyword&gt;&lt;keyword&gt;risk&lt;/keyword&gt;&lt;/keywords&gt;&lt;dates&gt;&lt;year&gt;2001&lt;/year&gt;&lt;pub-dates&gt;&lt;date&gt;Dec&lt;/date&gt;&lt;/pub-dates&gt;&lt;/dates&gt;&lt;isbn&gt;0162-1459&lt;/isbn&gt;&lt;accession-num&gt;WOS:000172728000028&lt;/accession-num&gt;&lt;urls&gt;&lt;related-urls&gt;&lt;url&gt;&amp;lt;Go to ISI&amp;gt;://WOS:000172728000028&lt;/url&gt;&lt;/related-urls&gt;&lt;/urls&gt;&lt;electronic-resource-num&gt;10.1198/016214501753382273&lt;/electronic-resource-num&gt;&lt;language&gt;English&lt;/language&gt;&lt;/record&gt;&lt;/Cite&gt;&lt;/EndNote&gt;</w:instrText>
      </w:r>
      <w:r w:rsidR="00710CC9" w:rsidRPr="00AC13E7">
        <w:rPr>
          <w:bCs/>
        </w:rPr>
        <w:fldChar w:fldCharType="separate"/>
      </w:r>
      <w:r w:rsidR="00D86E26" w:rsidRPr="00D86E26">
        <w:rPr>
          <w:bCs/>
          <w:noProof/>
          <w:vertAlign w:val="superscript"/>
        </w:rPr>
        <w:t>31</w:t>
      </w:r>
      <w:r w:rsidR="00710CC9" w:rsidRPr="00AC13E7">
        <w:rPr>
          <w:bCs/>
        </w:rPr>
        <w:fldChar w:fldCharType="end"/>
      </w:r>
      <w:r w:rsidRPr="00AC13E7">
        <w:rPr>
          <w:bCs/>
        </w:rPr>
        <w:t>, etc.</w:t>
      </w:r>
    </w:p>
    <w:p w14:paraId="3E7BBFCD" w14:textId="367F265D" w:rsidR="00DB4CF6" w:rsidRPr="00AC13E7" w:rsidRDefault="00DB4CF6" w:rsidP="00B42F73">
      <w:pPr>
        <w:jc w:val="both"/>
        <w:rPr>
          <w:bCs/>
        </w:rPr>
      </w:pPr>
      <w:r w:rsidRPr="00AC13E7">
        <w:rPr>
          <w:bCs/>
        </w:rPr>
        <w:t>The minimi</w:t>
      </w:r>
      <w:r w:rsidR="00802594" w:rsidRPr="00AC13E7">
        <w:rPr>
          <w:bCs/>
        </w:rPr>
        <w:t>s</w:t>
      </w:r>
      <w:r w:rsidR="00C37CA8" w:rsidRPr="00AC13E7">
        <w:rPr>
          <w:bCs/>
        </w:rPr>
        <w:t>ation</w:t>
      </w:r>
      <w:r w:rsidRPr="00AC13E7">
        <w:rPr>
          <w:bCs/>
        </w:rPr>
        <w:t xml:space="preserve"> problem is solved by Alternating Direction Method of Multipliers (ADMM). </w:t>
      </w:r>
      <w:r w:rsidR="00B42F73" w:rsidRPr="00AC13E7">
        <w:rPr>
          <w:bCs/>
        </w:rPr>
        <w:t>D</w:t>
      </w:r>
      <w:r w:rsidRPr="00AC13E7">
        <w:rPr>
          <w:bCs/>
        </w:rPr>
        <w:t xml:space="preserve">istinct </w:t>
      </w:r>
      <m:oMath>
        <m:sSub>
          <m:sSubPr>
            <m:ctrlPr>
              <w:rPr>
                <w:rFonts w:ascii="Cambria Math" w:hAnsi="Cambria Math"/>
                <w:bCs/>
              </w:rPr>
            </m:ctrlPr>
          </m:sSubPr>
          <m:e>
            <m:r>
              <w:rPr>
                <w:rFonts w:ascii="Cambria Math" w:hAnsi="Cambria Math"/>
              </w:rPr>
              <m:t>ϕ</m:t>
            </m:r>
          </m:e>
          <m:sub>
            <m:r>
              <w:rPr>
                <w:rFonts w:ascii="Cambria Math" w:hAnsi="Cambria Math"/>
              </w:rPr>
              <m:t>i</m:t>
            </m:r>
          </m:sub>
        </m:sSub>
        <m:r>
          <w:rPr>
            <w:rFonts w:ascii="Cambria Math" w:hAnsi="Cambria Math"/>
          </w:rPr>
          <m:t xml:space="preserve">'s </m:t>
        </m:r>
        <m:d>
          <m:dPr>
            <m:ctrlPr>
              <w:rPr>
                <w:rFonts w:ascii="Cambria Math" w:hAnsi="Cambria Math"/>
                <w:bCs/>
                <w:i/>
              </w:rPr>
            </m:ctrlPr>
          </m:dPr>
          <m:e>
            <m:sSub>
              <m:sSubPr>
                <m:ctrlPr>
                  <w:rPr>
                    <w:rFonts w:ascii="Cambria Math" w:hAnsi="Cambria Math"/>
                    <w:bCs/>
                  </w:rPr>
                </m:ctrlPr>
              </m:sSubPr>
              <m:e>
                <m:r>
                  <w:rPr>
                    <w:rFonts w:ascii="Cambria Math" w:hAnsi="Cambria Math"/>
                  </w:rPr>
                  <m:t>ω</m:t>
                </m:r>
              </m:e>
              <m:sub>
                <m:r>
                  <w:rPr>
                    <w:rFonts w:ascii="Cambria Math" w:hAnsi="Cambria Math"/>
                  </w:rPr>
                  <m:t>i</m:t>
                </m:r>
              </m:sub>
            </m:sSub>
            <m:r>
              <w:rPr>
                <w:rFonts w:ascii="Cambria Math" w:hAnsi="Cambria Math"/>
              </w:rPr>
              <m:t>'s</m:t>
            </m:r>
          </m:e>
        </m:d>
        <m:r>
          <w:rPr>
            <w:rFonts w:ascii="Cambria Math" w:hAnsi="Cambria Math"/>
          </w:rPr>
          <m:t xml:space="preserve"> </m:t>
        </m:r>
      </m:oMath>
      <w:r w:rsidRPr="00AC13E7">
        <w:rPr>
          <w:bCs/>
        </w:rPr>
        <w:t>represent different clusters.</w:t>
      </w:r>
    </w:p>
    <w:p w14:paraId="4C4CB9FA" w14:textId="77777777" w:rsidR="00DB4CF6" w:rsidRPr="00AC13E7" w:rsidRDefault="00DB4CF6" w:rsidP="00716D89">
      <w:pPr>
        <w:jc w:val="both"/>
        <w:rPr>
          <w:bCs/>
        </w:rPr>
      </w:pPr>
    </w:p>
    <w:p w14:paraId="2C79E581" w14:textId="77777777" w:rsidR="00DB4CF6" w:rsidRPr="00AC13E7" w:rsidRDefault="00DB4CF6" w:rsidP="00716D89">
      <w:pPr>
        <w:jc w:val="both"/>
        <w:rPr>
          <w:b/>
        </w:rPr>
      </w:pPr>
      <w:r w:rsidRPr="00AC13E7">
        <w:rPr>
          <w:b/>
        </w:rPr>
        <w:t>Postprocessing</w:t>
      </w:r>
    </w:p>
    <w:p w14:paraId="5B666206" w14:textId="3B021B18" w:rsidR="00DB4CF6" w:rsidRPr="00AC13E7" w:rsidRDefault="00DB4CF6" w:rsidP="00E90023">
      <w:pPr>
        <w:jc w:val="both"/>
        <w:rPr>
          <w:bCs/>
        </w:rPr>
      </w:pPr>
      <w:r w:rsidRPr="00AC13E7">
        <w:rPr>
          <w:bCs/>
        </w:rPr>
        <w:t xml:space="preserve">A series of </w:t>
      </w:r>
      <m:oMath>
        <m:r>
          <w:rPr>
            <w:rFonts w:ascii="Cambria Math" w:hAnsi="Cambria Math"/>
          </w:rPr>
          <m:t>λ's</m:t>
        </m:r>
      </m:oMath>
      <w:r w:rsidRPr="00AC13E7">
        <w:rPr>
          <w:bCs/>
        </w:rPr>
        <w:t xml:space="preserve"> are used to generate solutions, selecting an appropriate </w:t>
      </w:r>
      <m:oMath>
        <m:r>
          <w:rPr>
            <w:rFonts w:ascii="Cambria Math" w:hAnsi="Cambria Math"/>
          </w:rPr>
          <m:t>λ</m:t>
        </m:r>
      </m:oMath>
      <w:r w:rsidRPr="00AC13E7">
        <w:rPr>
          <w:bCs/>
        </w:rPr>
        <w:t xml:space="preserve"> can be roughly achieved by information criterions (such as BIC, AIC) very fast, but we also proposed a bootstrap log-likelihood ratio test to select the penali</w:t>
      </w:r>
      <w:r w:rsidR="00802594" w:rsidRPr="00AC13E7">
        <w:rPr>
          <w:bCs/>
        </w:rPr>
        <w:t>sing</w:t>
      </w:r>
      <w:r w:rsidRPr="00AC13E7">
        <w:rPr>
          <w:bCs/>
        </w:rPr>
        <w:t xml:space="preserve"> parameter </w:t>
      </w:r>
      <m:oMath>
        <m:r>
          <w:rPr>
            <w:rFonts w:ascii="Cambria Math" w:hAnsi="Cambria Math"/>
          </w:rPr>
          <m:t>λ</m:t>
        </m:r>
      </m:oMath>
      <w:r w:rsidRPr="00AC13E7">
        <w:rPr>
          <w:bCs/>
        </w:rPr>
        <w:t xml:space="preserve">. </w:t>
      </w:r>
      <w:r w:rsidR="000A4118" w:rsidRPr="00AC13E7">
        <w:rPr>
          <w:bCs/>
        </w:rPr>
        <w:t xml:space="preserve">When </w:t>
      </w:r>
      <w:r w:rsidRPr="00AC13E7">
        <w:rPr>
          <w:bCs/>
        </w:rPr>
        <w:t xml:space="preserve">an appropriate </w:t>
      </w:r>
      <m:oMath>
        <m:r>
          <w:rPr>
            <w:rFonts w:ascii="Cambria Math" w:hAnsi="Cambria Math"/>
          </w:rPr>
          <m:t>λ</m:t>
        </m:r>
      </m:oMath>
      <w:r w:rsidRPr="00AC13E7">
        <w:rPr>
          <w:bCs/>
        </w:rPr>
        <w:t xml:space="preserve"> is selected, a filtering </w:t>
      </w:r>
      <w:r w:rsidR="000A4118" w:rsidRPr="00AC13E7">
        <w:rPr>
          <w:bCs/>
        </w:rPr>
        <w:t xml:space="preserve">step </w:t>
      </w:r>
      <w:r w:rsidRPr="00AC13E7">
        <w:rPr>
          <w:bCs/>
        </w:rPr>
        <w:t xml:space="preserve">of small subclones </w:t>
      </w:r>
      <w:r w:rsidR="00A74418" w:rsidRPr="00AC13E7">
        <w:rPr>
          <w:bCs/>
        </w:rPr>
        <w:t xml:space="preserve">is </w:t>
      </w:r>
      <w:r w:rsidRPr="00AC13E7">
        <w:rPr>
          <w:bCs/>
        </w:rPr>
        <w:t xml:space="preserve">conducted, </w:t>
      </w:r>
      <w:r w:rsidR="000A4118" w:rsidRPr="00AC13E7">
        <w:rPr>
          <w:bCs/>
        </w:rPr>
        <w:t xml:space="preserve">in which </w:t>
      </w:r>
      <w:r w:rsidRPr="00AC13E7">
        <w:rPr>
          <w:bCs/>
        </w:rPr>
        <w:t xml:space="preserve">a cluster with fewer than 1% SNVs is merged </w:t>
      </w:r>
      <w:r w:rsidR="00E90023" w:rsidRPr="00AC13E7">
        <w:rPr>
          <w:bCs/>
        </w:rPr>
        <w:t xml:space="preserve">with </w:t>
      </w:r>
      <w:r w:rsidRPr="00AC13E7">
        <w:rPr>
          <w:bCs/>
        </w:rPr>
        <w:t xml:space="preserve">the closest larger cluster. </w:t>
      </w:r>
    </w:p>
    <w:p w14:paraId="01CB6A0F" w14:textId="57FED7FE" w:rsidR="00DB4CF6" w:rsidRPr="00AC13E7" w:rsidRDefault="00DB4CF6" w:rsidP="00DA4E82">
      <w:pPr>
        <w:jc w:val="both"/>
        <w:rPr>
          <w:bCs/>
        </w:rPr>
      </w:pPr>
      <w:r w:rsidRPr="00AC13E7">
        <w:rPr>
          <w:bCs/>
        </w:rPr>
        <w:t xml:space="preserve">    The purity can be estimated if we further make the assumption that the clonal cancer cell frequency (CCF) is 1. Under such an assumption, the purity is set to be the largest </w:t>
      </w:r>
      <m:oMath>
        <m:sSub>
          <m:sSubPr>
            <m:ctrlPr>
              <w:rPr>
                <w:rFonts w:ascii="Cambria Math" w:hAnsi="Cambria Math"/>
                <w:bCs/>
              </w:rPr>
            </m:ctrlPr>
          </m:sSubPr>
          <m:e>
            <m:r>
              <w:rPr>
                <w:rFonts w:ascii="Cambria Math" w:hAnsi="Cambria Math"/>
              </w:rPr>
              <m:t>ϕ</m:t>
            </m:r>
          </m:e>
          <m:sub>
            <m:r>
              <w:rPr>
                <w:rFonts w:ascii="Cambria Math" w:hAnsi="Cambria Math"/>
              </w:rPr>
              <m:t>i</m:t>
            </m:r>
          </m:sub>
        </m:sSub>
      </m:oMath>
      <w:r w:rsidRPr="00AC13E7">
        <w:rPr>
          <w:bCs/>
        </w:rPr>
        <w:t xml:space="preserve">. If the estimated purity is different </w:t>
      </w:r>
      <w:r w:rsidR="00A371EA" w:rsidRPr="00AC13E7">
        <w:rPr>
          <w:bCs/>
        </w:rPr>
        <w:t xml:space="preserve">from </w:t>
      </w:r>
      <w:r w:rsidRPr="00AC13E7">
        <w:rPr>
          <w:bCs/>
        </w:rPr>
        <w:t xml:space="preserve">the initial input purity, </w:t>
      </w:r>
      <w:r w:rsidR="00AB036B" w:rsidRPr="00AC13E7">
        <w:rPr>
          <w:bCs/>
        </w:rPr>
        <w:t xml:space="preserve">i.e. </w:t>
      </w:r>
      <w:r w:rsidRPr="00AC13E7">
        <w:rPr>
          <w:bCs/>
        </w:rPr>
        <w:t xml:space="preserve">larger than 0.01 in actual implementation, a rerun of the whole pipeline </w:t>
      </w:r>
      <w:r w:rsidR="003E2B29" w:rsidRPr="00AC13E7">
        <w:rPr>
          <w:bCs/>
        </w:rPr>
        <w:t xml:space="preserve">is performed </w:t>
      </w:r>
      <w:r w:rsidRPr="00AC13E7">
        <w:rPr>
          <w:bCs/>
        </w:rPr>
        <w:t>with this new estimated purity</w:t>
      </w:r>
      <w:r w:rsidR="00DA4E82" w:rsidRPr="00AC13E7">
        <w:rPr>
          <w:bCs/>
        </w:rPr>
        <w:t xml:space="preserve"> </w:t>
      </w:r>
      <w:r w:rsidRPr="00AC13E7">
        <w:rPr>
          <w:bCs/>
        </w:rPr>
        <w:t xml:space="preserve">until </w:t>
      </w:r>
      <w:r w:rsidR="00A74418" w:rsidRPr="00AC13E7">
        <w:rPr>
          <w:bCs/>
        </w:rPr>
        <w:t xml:space="preserve">the </w:t>
      </w:r>
      <w:r w:rsidRPr="00AC13E7">
        <w:rPr>
          <w:bCs/>
        </w:rPr>
        <w:t>difference between two consecutive estimate</w:t>
      </w:r>
      <w:r w:rsidR="00DA4E82" w:rsidRPr="00AC13E7">
        <w:rPr>
          <w:bCs/>
        </w:rPr>
        <w:t xml:space="preserve">s </w:t>
      </w:r>
      <w:r w:rsidRPr="00AC13E7">
        <w:rPr>
          <w:bCs/>
        </w:rPr>
        <w:t xml:space="preserve">is less than 0.01. </w:t>
      </w:r>
    </w:p>
    <w:p w14:paraId="68035420" w14:textId="77777777" w:rsidR="006F1803" w:rsidRPr="00AC13E7" w:rsidRDefault="006F1803" w:rsidP="00DB4CF6">
      <w:pPr>
        <w:rPr>
          <w:bCs/>
        </w:rPr>
      </w:pPr>
    </w:p>
    <w:p w14:paraId="59945C20" w14:textId="53E88855" w:rsidR="00B467F2" w:rsidRPr="00AC13E7" w:rsidRDefault="00AC1EF3" w:rsidP="00B467F2">
      <w:pPr>
        <w:pStyle w:val="Heading3"/>
        <w:rPr>
          <w:rFonts w:ascii="Times New Roman" w:hAnsi="Times New Roman" w:cs="Times New Roman"/>
          <w:b w:val="0"/>
          <w:bCs/>
          <w:sz w:val="32"/>
          <w:szCs w:val="32"/>
          <w:lang w:val="en-GB"/>
        </w:rPr>
      </w:pPr>
      <w:bookmarkStart w:id="109" w:name="_Toc499569274"/>
      <w:bookmarkStart w:id="110" w:name="_Toc499571739"/>
      <w:bookmarkStart w:id="111" w:name="_Toc391905019"/>
      <w:r w:rsidRPr="00AC13E7">
        <w:rPr>
          <w:rFonts w:ascii="Times New Roman" w:hAnsi="Times New Roman" w:cs="Times New Roman"/>
          <w:b w:val="0"/>
          <w:bCs/>
          <w:sz w:val="32"/>
          <w:szCs w:val="32"/>
          <w:lang w:val="en-GB"/>
        </w:rPr>
        <w:t>2.1.4 c</w:t>
      </w:r>
      <w:r w:rsidR="00B467F2" w:rsidRPr="00AC13E7">
        <w:rPr>
          <w:rFonts w:ascii="Times New Roman" w:hAnsi="Times New Roman" w:cs="Times New Roman"/>
          <w:b w:val="0"/>
          <w:bCs/>
          <w:sz w:val="32"/>
          <w:szCs w:val="32"/>
          <w:lang w:val="en-GB"/>
        </w:rPr>
        <w:t>loneHD</w:t>
      </w:r>
      <w:bookmarkEnd w:id="109"/>
      <w:bookmarkEnd w:id="110"/>
      <w:bookmarkEnd w:id="111"/>
    </w:p>
    <w:p w14:paraId="2265A932" w14:textId="77777777" w:rsidR="00133E2D" w:rsidRPr="00AC13E7" w:rsidRDefault="00133E2D" w:rsidP="00133E2D">
      <w:pPr>
        <w:jc w:val="both"/>
      </w:pPr>
      <w:r w:rsidRPr="00AC13E7">
        <w:t>Ignacio Vázquez García, Ville Mustonen</w:t>
      </w:r>
    </w:p>
    <w:p w14:paraId="7E2C10F8" w14:textId="77777777" w:rsidR="00133E2D" w:rsidRPr="00AC13E7" w:rsidRDefault="00133E2D" w:rsidP="009B65DB">
      <w:pPr>
        <w:jc w:val="both"/>
      </w:pPr>
    </w:p>
    <w:p w14:paraId="1B68580B" w14:textId="32AA7DDA" w:rsidR="008A74E3" w:rsidRPr="00AC13E7" w:rsidRDefault="008A74E3" w:rsidP="00BD263D">
      <w:pPr>
        <w:jc w:val="both"/>
      </w:pPr>
      <w:r w:rsidRPr="00AC13E7">
        <w:t>Given a mixed sample of the genomes of clones that have accrued single-nucleotide variants (SNV</w:t>
      </w:r>
      <w:r w:rsidR="00CE07D2" w:rsidRPr="00AC13E7">
        <w:t>s</w:t>
      </w:r>
      <w:r w:rsidRPr="00AC13E7">
        <w:t xml:space="preserve">), </w:t>
      </w:r>
      <w:r w:rsidR="00BD263D" w:rsidRPr="00AC13E7">
        <w:t xml:space="preserve">cloneHD </w:t>
      </w:r>
      <w:r w:rsidRPr="00AC13E7">
        <w:t>reconstruct</w:t>
      </w:r>
      <w:r w:rsidR="00BD263D" w:rsidRPr="00AC13E7">
        <w:t>s</w:t>
      </w:r>
      <w:r w:rsidRPr="00AC13E7">
        <w:t xml:space="preserve"> their evolutionary history from bulk DNA sequencing</w:t>
      </w:r>
      <w:r w:rsidR="00DF697A" w:rsidRPr="00AC13E7">
        <w:t xml:space="preserve">. </w:t>
      </w:r>
      <w:r w:rsidRPr="00AC13E7">
        <w:t>This problem consists of three parts: (i) identification of subclones, (ii) reconstruction of subclone-specific profiles, and (iii) inference of evolutionary relationships between subclones.</w:t>
      </w:r>
    </w:p>
    <w:p w14:paraId="0D066136" w14:textId="77777777" w:rsidR="008A74E3" w:rsidRPr="00AC13E7" w:rsidRDefault="008A74E3" w:rsidP="009B65DB">
      <w:pPr>
        <w:jc w:val="both"/>
      </w:pPr>
    </w:p>
    <w:p w14:paraId="48CC0578" w14:textId="77777777" w:rsidR="008A74E3" w:rsidRPr="00AC13E7" w:rsidRDefault="008A74E3" w:rsidP="009B65DB">
      <w:pPr>
        <w:jc w:val="both"/>
        <w:rPr>
          <w:b/>
          <w:bCs/>
        </w:rPr>
      </w:pPr>
      <w:bookmarkStart w:id="112" w:name="_j3f4bh680t5b" w:colFirst="0" w:colLast="0"/>
      <w:bookmarkEnd w:id="112"/>
      <w:r w:rsidRPr="00AC13E7">
        <w:rPr>
          <w:b/>
          <w:bCs/>
        </w:rPr>
        <w:t>Preprocessing</w:t>
      </w:r>
    </w:p>
    <w:p w14:paraId="55FAB6EA" w14:textId="36D9E1A3" w:rsidR="008A74E3" w:rsidRPr="00AC13E7" w:rsidRDefault="008A74E3" w:rsidP="009B65DB">
      <w:pPr>
        <w:jc w:val="both"/>
      </w:pPr>
      <w:r w:rsidRPr="00AC13E7">
        <w:t xml:space="preserve">We used consensus copy number and consensus purity as priors for cloneHD SNV clustering. The priors that cloneHD can use are the mean total copy number and the available copy number per locus. The mean total copy number is the mean copy number for each SNV locus of the entire sample, including both tumour and normal parts. The available copy number prior depends on the major allele state of the locus and allows mutations to be in states from zero </w:t>
      </w:r>
      <w:r w:rsidR="00DE5704" w:rsidRPr="00AC13E7">
        <w:t xml:space="preserve">up </w:t>
      </w:r>
      <w:r w:rsidRPr="00AC13E7">
        <w:t>to the major allele state. For example, if a mutation was present before a chromosome underwent copy number gains</w:t>
      </w:r>
      <w:r w:rsidR="00BB3DB3" w:rsidRPr="00AC13E7">
        <w:t>,</w:t>
      </w:r>
      <w:r w:rsidRPr="00AC13E7">
        <w:t xml:space="preserve"> it would be present in all </w:t>
      </w:r>
      <w:r w:rsidR="00CE22E2" w:rsidRPr="00AC13E7">
        <w:t xml:space="preserve">gained </w:t>
      </w:r>
      <w:r w:rsidRPr="00AC13E7">
        <w:t>copies, whereas if it happened after the gain it would be present in fewer copies.</w:t>
      </w:r>
    </w:p>
    <w:p w14:paraId="2FDF3E54" w14:textId="77777777" w:rsidR="008A74E3" w:rsidRPr="00AC13E7" w:rsidRDefault="008A74E3" w:rsidP="009B65DB">
      <w:pPr>
        <w:jc w:val="both"/>
      </w:pPr>
    </w:p>
    <w:p w14:paraId="0E48258C" w14:textId="77777777" w:rsidR="008A74E3" w:rsidRPr="00AC13E7" w:rsidRDefault="008A74E3" w:rsidP="009B65DB">
      <w:pPr>
        <w:jc w:val="both"/>
        <w:rPr>
          <w:b/>
          <w:bCs/>
        </w:rPr>
      </w:pPr>
      <w:bookmarkStart w:id="113" w:name="_4w62g5of3afu" w:colFirst="0" w:colLast="0"/>
      <w:bookmarkEnd w:id="113"/>
      <w:r w:rsidRPr="00AC13E7">
        <w:rPr>
          <w:b/>
          <w:bCs/>
        </w:rPr>
        <w:t xml:space="preserve">Algorithm </w:t>
      </w:r>
    </w:p>
    <w:p w14:paraId="00D52CFA" w14:textId="5D2FE7D4" w:rsidR="008A74E3" w:rsidRPr="00AC13E7" w:rsidRDefault="008A74E3" w:rsidP="00D86E26">
      <w:pPr>
        <w:jc w:val="both"/>
      </w:pPr>
      <w:r w:rsidRPr="00AC13E7">
        <w:t>The cloneHD algorithm described in</w:t>
      </w:r>
      <w:r w:rsidR="000D2F93" w:rsidRPr="00AC13E7">
        <w:t xml:space="preserve"> Fischer </w:t>
      </w:r>
      <w:r w:rsidR="000D2F93" w:rsidRPr="00AC13E7">
        <w:rPr>
          <w:i/>
        </w:rPr>
        <w:t>et al</w:t>
      </w:r>
      <w:r w:rsidR="000D2F93" w:rsidRPr="00AC13E7">
        <w:t>. (</w:t>
      </w:r>
      <w:r w:rsidR="00FC7B4B" w:rsidRPr="00AC13E7">
        <w:t>2014</w:t>
      </w:r>
      <w:r w:rsidR="000D2F93" w:rsidRPr="00AC13E7">
        <w:t>)</w:t>
      </w:r>
      <w:r w:rsidR="00FC7B4B" w:rsidRPr="00AC13E7">
        <w:fldChar w:fldCharType="begin">
          <w:fldData xml:space="preserve">PEVuZE5vdGU+PENpdGU+PEF1dGhvcj5GaXNjaGVyPC9BdXRob3I+PFllYXI+MjAxNDwvWWVhcj48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</w:fldData>
        </w:fldChar>
      </w:r>
      <w:r w:rsidR="00D86E26">
        <w:instrText xml:space="preserve"> ADDIN EN.CITE </w:instrText>
      </w:r>
      <w:r w:rsidR="00D86E26">
        <w:fldChar w:fldCharType="begin">
          <w:fldData xml:space="preserve">PEVuZE5vdGU+PENpdGU+PEF1dGhvcj5GaXNjaGVyPC9BdXRob3I+PFllYXI+MjAxNDwvWWVhcj48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</w:fldData>
        </w:fldChar>
      </w:r>
      <w:r w:rsidR="00D86E26">
        <w:instrText xml:space="preserve"> ADDIN EN.CITE.DATA </w:instrText>
      </w:r>
      <w:r w:rsidR="00D86E26">
        <w:fldChar w:fldCharType="end"/>
      </w:r>
      <w:r w:rsidR="00FC7B4B" w:rsidRPr="00AC13E7">
        <w:fldChar w:fldCharType="separate"/>
      </w:r>
      <w:r w:rsidR="00D86E26" w:rsidRPr="00D86E26">
        <w:rPr>
          <w:noProof/>
          <w:vertAlign w:val="superscript"/>
        </w:rPr>
        <w:t>14</w:t>
      </w:r>
      <w:r w:rsidR="00FC7B4B" w:rsidRPr="00AC13E7">
        <w:fldChar w:fldCharType="end"/>
      </w:r>
      <w:r w:rsidRPr="00AC13E7">
        <w:t xml:space="preserve"> identifies subclones and infers a subclone-specific posterior probability of SNV genotypes using a discrete state space HMM. The algorithm uses a genotype-based description, where the SNV genotypes of each subclone are encoded as hidden variables. Each subclone has an </w:t>
      </w:r>
      <w:r w:rsidRPr="00AC13E7">
        <w:lastRenderedPageBreak/>
        <w:t>identity across the whole genome without a tree constraint on the relationship of the subclones. Mapping between subclones and clusters implies that when the model dimensions are increased by one subclone, two possible subclonal clusters are added at once (</w:t>
      </w:r>
      <w:r w:rsidR="008E4AAE" w:rsidRPr="00AC13E7">
        <w:fldChar w:fldCharType="begin"/>
      </w:r>
      <w:r w:rsidR="008E4AAE" w:rsidRPr="00AC13E7">
        <w:instrText xml:space="preserve"> REF _Ref379537076 \h </w:instrText>
      </w:r>
      <w:r w:rsidR="008E4AAE" w:rsidRPr="00AC13E7">
        <w:fldChar w:fldCharType="separate"/>
      </w:r>
      <w:r w:rsidR="00673FBD" w:rsidRPr="00AC13E7">
        <w:t xml:space="preserve">Fig. </w:t>
      </w:r>
      <w:r w:rsidR="00673FBD">
        <w:rPr>
          <w:noProof/>
        </w:rPr>
        <w:t>22</w:t>
      </w:r>
      <w:r w:rsidR="008E4AAE" w:rsidRPr="00AC13E7">
        <w:fldChar w:fldCharType="end"/>
      </w:r>
      <w:r w:rsidRPr="00AC13E7">
        <w:t>). As a result, alternative subclonal architectures can be problematic to resolve based on single samples from a tumour. To alleviate this problem</w:t>
      </w:r>
      <w:r w:rsidR="00BB3DB3" w:rsidRPr="00AC13E7">
        <w:t>,</w:t>
      </w:r>
      <w:r w:rsidRPr="00AC13E7">
        <w:t xml:space="preserve"> we extended cloneHD to allow for an SNV prior (‘tree prior’) to be learned from the data. This optionally enforces a tree structure on the SNVs and addresses the relationships between subclones. The other priors used in SNV mode reflect copy number and are described in the Supplementary Information of the cloneHD paper, </w:t>
      </w:r>
      <w:r w:rsidR="00651FF0" w:rsidRPr="00AC13E7">
        <w:t>equations</w:t>
      </w:r>
      <w:r w:rsidRPr="00AC13E7">
        <w:t xml:space="preserve"> 34-35</w:t>
      </w:r>
      <w:r w:rsidR="00FC7B4B" w:rsidRPr="00AC13E7">
        <w:fldChar w:fldCharType="begin">
          <w:fldData xml:space="preserve">PEVuZE5vdGU+PENpdGU+PEF1dGhvcj5GaXNjaGVyPC9BdXRob3I+PFllYXI+MjAxNDwvWWVhcj48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</w:fldData>
        </w:fldChar>
      </w:r>
      <w:r w:rsidR="00D86E26">
        <w:instrText xml:space="preserve"> ADDIN EN.CITE </w:instrText>
      </w:r>
      <w:r w:rsidR="00D86E26">
        <w:fldChar w:fldCharType="begin">
          <w:fldData xml:space="preserve">PEVuZE5vdGU+PENpdGU+PEF1dGhvcj5GaXNjaGVyPC9BdXRob3I+PFllYXI+MjAxNDwvWWVhcj48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</w:fldData>
        </w:fldChar>
      </w:r>
      <w:r w:rsidR="00D86E26">
        <w:instrText xml:space="preserve"> ADDIN EN.CITE.DATA </w:instrText>
      </w:r>
      <w:r w:rsidR="00D86E26">
        <w:fldChar w:fldCharType="end"/>
      </w:r>
      <w:r w:rsidR="00FC7B4B" w:rsidRPr="00AC13E7">
        <w:fldChar w:fldCharType="separate"/>
      </w:r>
      <w:r w:rsidR="00D86E26" w:rsidRPr="00D86E26">
        <w:rPr>
          <w:noProof/>
          <w:vertAlign w:val="superscript"/>
        </w:rPr>
        <w:t>14</w:t>
      </w:r>
      <w:r w:rsidR="00FC7B4B" w:rsidRPr="00AC13E7">
        <w:fldChar w:fldCharType="end"/>
      </w:r>
      <w:r w:rsidR="00FC7B4B" w:rsidRPr="00AC13E7">
        <w:t>.</w:t>
      </w:r>
      <w:r w:rsidR="002E18D2" w:rsidRPr="00AC13E7">
        <w:t xml:space="preserve"> </w:t>
      </w:r>
      <w:r w:rsidRPr="00AC13E7">
        <w:t xml:space="preserve">They are </w:t>
      </w:r>
      <w:r w:rsidR="006F0236" w:rsidRPr="00AC13E7">
        <w:t xml:space="preserve">computed </w:t>
      </w:r>
      <w:r w:rsidRPr="00AC13E7">
        <w:t xml:space="preserve">from copy number and </w:t>
      </w:r>
      <w:r w:rsidR="00BB3DB3" w:rsidRPr="00AC13E7">
        <w:t>B allele frequency</w:t>
      </w:r>
      <w:r w:rsidRPr="00AC13E7">
        <w:t xml:space="preserve"> data</w:t>
      </w:r>
      <w:r w:rsidR="00BB3DB3" w:rsidRPr="00AC13E7">
        <w:t>,</w:t>
      </w:r>
      <w:r w:rsidRPr="00AC13E7">
        <w:t xml:space="preserve"> as described above.</w:t>
      </w:r>
    </w:p>
    <w:p w14:paraId="0D2B2061" w14:textId="77777777" w:rsidR="008A74E3" w:rsidRPr="00AC13E7" w:rsidRDefault="008A74E3" w:rsidP="009B65DB">
      <w:pPr>
        <w:jc w:val="both"/>
      </w:pPr>
      <w:r w:rsidRPr="00AC13E7">
        <w:t xml:space="preserve"> </w:t>
      </w:r>
    </w:p>
    <w:p w14:paraId="4A85ED80" w14:textId="7862509C" w:rsidR="008A74E3" w:rsidRPr="00AC13E7" w:rsidRDefault="008A74E3" w:rsidP="001B5650">
      <w:pPr>
        <w:jc w:val="both"/>
      </w:pPr>
      <w:r w:rsidRPr="00AC13E7">
        <w:t>To build an informative SNV prior</w:t>
      </w:r>
      <w:r w:rsidR="00BB3DB3" w:rsidRPr="00AC13E7">
        <w:t>,</w:t>
      </w:r>
      <w:r w:rsidRPr="00AC13E7">
        <w:t xml:space="preserve"> we take into account the lineage relations between subclones. Therefore, we treat the relation between subclones as a rooted tree, where the normal tissue is taken as the root, from which the clonal mutations of the sample are derived. Each node in the tree represents a cluster of mutations. On the way from this root to the terminal nodes, we assume that a cell may acquire a new mutation exactly once. Each of the connecting edges then represents mutations that distinguish the child from the parent node. In the subtree below this state switch, the genotype always remains mutated. This is commonly referred to as the 'infinite sites' assumption, because </w:t>
      </w:r>
      <w:r w:rsidR="001B5650" w:rsidRPr="00AC13E7">
        <w:t>it is unlikely for the same mutation to occur twice.</w:t>
      </w:r>
    </w:p>
    <w:p w14:paraId="0EF518B0" w14:textId="77777777" w:rsidR="008A74E3" w:rsidRPr="00AC13E7" w:rsidRDefault="008A74E3" w:rsidP="009B65DB">
      <w:pPr>
        <w:jc w:val="both"/>
      </w:pPr>
      <w:r w:rsidRPr="00AC13E7">
        <w:t xml:space="preserve"> </w:t>
      </w:r>
    </w:p>
    <w:p w14:paraId="6BC0D72D" w14:textId="0FC5688B" w:rsidR="008A74E3" w:rsidRPr="00AC13E7" w:rsidRDefault="008A74E3" w:rsidP="009B65DB">
      <w:pPr>
        <w:jc w:val="both"/>
      </w:pPr>
      <w:r w:rsidRPr="00AC13E7">
        <w:t>We can describe the tree by the SNV genotype prior. The constraints on the tree phylogeny restrict the SNV genotype prior and thus the family of lineage trees that are possible. Here we im</w:t>
      </w:r>
      <w:r w:rsidR="00BB3DB3" w:rsidRPr="00AC13E7">
        <w:t xml:space="preserve">plemented a set of tree priors </w:t>
      </w:r>
      <w:r w:rsidRPr="00AC13E7">
        <w:t xml:space="preserve">shown in </w:t>
      </w:r>
      <w:r w:rsidR="008E4AAE" w:rsidRPr="00AC13E7">
        <w:fldChar w:fldCharType="begin"/>
      </w:r>
      <w:r w:rsidR="008E4AAE" w:rsidRPr="00AC13E7">
        <w:instrText xml:space="preserve"> REF _Ref379537076 \h </w:instrText>
      </w:r>
      <w:r w:rsidR="008E4AAE" w:rsidRPr="00AC13E7">
        <w:fldChar w:fldCharType="separate"/>
      </w:r>
      <w:r w:rsidR="00673FBD" w:rsidRPr="00AC13E7">
        <w:t xml:space="preserve">Fig. </w:t>
      </w:r>
      <w:r w:rsidR="00673FBD">
        <w:rPr>
          <w:noProof/>
        </w:rPr>
        <w:t>22</w:t>
      </w:r>
      <w:r w:rsidR="008E4AAE" w:rsidRPr="00AC13E7">
        <w:fldChar w:fldCharType="end"/>
      </w:r>
      <w:r w:rsidRPr="00AC13E7">
        <w:t>. Resolving the complete space of tree topologies is currently limited by the resolution of the data, but it may be possible to implement a generative model of tree structures, instead of constraints on the prior, which would require an integration over all possible trees.</w:t>
      </w:r>
    </w:p>
    <w:p w14:paraId="3ED792F6" w14:textId="77777777" w:rsidR="00C50429" w:rsidRPr="00AC13E7" w:rsidRDefault="00C50429" w:rsidP="009B65DB">
      <w:pPr>
        <w:jc w:val="both"/>
      </w:pPr>
    </w:p>
    <w:p w14:paraId="600BBEE0" w14:textId="77777777" w:rsidR="008A74E3" w:rsidRPr="00AC13E7" w:rsidRDefault="008A74E3" w:rsidP="009B65DB">
      <w:pPr>
        <w:jc w:val="both"/>
        <w:rPr>
          <w:b/>
          <w:bCs/>
        </w:rPr>
      </w:pPr>
      <w:bookmarkStart w:id="114" w:name="_q5l9q6uixl3t" w:colFirst="0" w:colLast="0"/>
      <w:bookmarkEnd w:id="114"/>
      <w:r w:rsidRPr="00AC13E7">
        <w:rPr>
          <w:b/>
          <w:bCs/>
        </w:rPr>
        <w:t>Postprocessing</w:t>
      </w:r>
    </w:p>
    <w:p w14:paraId="3DA67603" w14:textId="4A62B96B" w:rsidR="008A74E3" w:rsidRPr="00AC13E7" w:rsidRDefault="008A74E3" w:rsidP="00D86E26">
      <w:pPr>
        <w:jc w:val="both"/>
      </w:pPr>
      <w:r w:rsidRPr="00AC13E7">
        <w:t>Finally, we carried out model selection to determine the number of subclones that best explain the data. We required an improvement of 50 units of log-likelihood (for details of the scoring see the Supplementary Information in</w:t>
      </w:r>
      <w:r w:rsidR="00DA2DBD" w:rsidRPr="00AC13E7">
        <w:t xml:space="preserve"> Fischer et al., 2014</w:t>
      </w:r>
      <w:r w:rsidR="00DA2DBD" w:rsidRPr="00AC13E7">
        <w:fldChar w:fldCharType="begin">
          <w:fldData xml:space="preserve">PEVuZE5vdGU+PENpdGU+PEF1dGhvcj5GaXNjaGVyPC9BdXRob3I+PFllYXI+MjAxNDwvWWVhcj48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</w:fldData>
        </w:fldChar>
      </w:r>
      <w:r w:rsidR="00D86E26">
        <w:instrText xml:space="preserve"> ADDIN EN.CITE </w:instrText>
      </w:r>
      <w:r w:rsidR="00D86E26">
        <w:fldChar w:fldCharType="begin">
          <w:fldData xml:space="preserve">PEVuZE5vdGU+PENpdGU+PEF1dGhvcj5GaXNjaGVyPC9BdXRob3I+PFllYXI+MjAxNDwvWWVhcj48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</w:fldData>
        </w:fldChar>
      </w:r>
      <w:r w:rsidR="00D86E26">
        <w:instrText xml:space="preserve"> ADDIN EN.CITE.DATA </w:instrText>
      </w:r>
      <w:r w:rsidR="00D86E26">
        <w:fldChar w:fldCharType="end"/>
      </w:r>
      <w:r w:rsidR="00DA2DBD" w:rsidRPr="00AC13E7">
        <w:fldChar w:fldCharType="separate"/>
      </w:r>
      <w:r w:rsidR="00D86E26" w:rsidRPr="00D86E26">
        <w:rPr>
          <w:noProof/>
          <w:vertAlign w:val="superscript"/>
        </w:rPr>
        <w:t>14</w:t>
      </w:r>
      <w:r w:rsidR="00DA2DBD" w:rsidRPr="00AC13E7">
        <w:fldChar w:fldCharType="end"/>
      </w:r>
      <w:r w:rsidR="00DA2DBD" w:rsidRPr="00AC13E7">
        <w:t>)</w:t>
      </w:r>
      <w:r w:rsidR="00BB3DB3" w:rsidRPr="00AC13E7">
        <w:t xml:space="preserve">. We </w:t>
      </w:r>
      <w:r w:rsidRPr="00AC13E7">
        <w:t>then converted from a representation of subclone genotypes to mutation clusters. To remove clusters that are not supported by sufficient high-confidence mutations, we required that the total sum of posterior probability of mutations to belong to a given cluster at 0.9 or higher probability was required to be &gt;10. This corresponds to a minimum of ~10 high confidence mutations assigned to each cluster.</w:t>
      </w:r>
    </w:p>
    <w:p w14:paraId="21F5DAA7" w14:textId="77777777" w:rsidR="00BB3DB3" w:rsidRPr="00AC13E7" w:rsidRDefault="00BB3DB3" w:rsidP="00D62891">
      <w:pPr>
        <w:jc w:val="both"/>
      </w:pPr>
    </w:p>
    <w:p w14:paraId="360A1460" w14:textId="77777777" w:rsidR="008A74E3" w:rsidRPr="00AC13E7" w:rsidRDefault="008A74E3" w:rsidP="009B65DB">
      <w:pPr>
        <w:jc w:val="both"/>
      </w:pPr>
    </w:p>
    <w:p w14:paraId="3ED6E419" w14:textId="77777777" w:rsidR="0030138E" w:rsidRPr="00AC13E7" w:rsidRDefault="0032764D" w:rsidP="000668D6">
      <w:pPr>
        <w:keepNext/>
        <w:jc w:val="center"/>
      </w:pPr>
      <w:r w:rsidRPr="00AC13E7">
        <w:rPr>
          <w:noProof/>
          <w:lang w:eastAsia="en-GB"/>
        </w:rPr>
        <w:lastRenderedPageBreak/>
        <w:drawing>
          <wp:inline distT="0" distB="0" distL="0" distR="0" wp14:anchorId="1667541F" wp14:editId="395491A7">
            <wp:extent cx="4597400" cy="2446655"/>
            <wp:effectExtent l="0" t="0" r="0" b="0"/>
            <wp:docPr id="108" name="image2.png" descr="schematic_tree_pr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chematic_tree_prior.png"/>
                    <pic:cNvPicPr>
                      <a:picLocks noChangeAspect="1" noChangeArrowheads="1"/>
                    </pic:cNvPicPr>
                  </pic:nvPicPr>
                  <pic:blipFill>
                    <a:blip r:embed="rId32">
                      <a:extLst>
                        <a:ext uri="{28A0092B-C50C-407E-A947-70E740481C1C}">
                          <a14:useLocalDpi xmlns:a14="http://schemas.microsoft.com/office/drawing/2010/main" val="0"/>
                        </a:ext>
                      </a:extLst>
                    </a:blip>
                    <a:srcRect r="19778"/>
                    <a:stretch>
                      <a:fillRect/>
                    </a:stretch>
                  </pic:blipFill>
                  <pic:spPr bwMode="auto">
                    <a:xfrm>
                      <a:off x="0" y="0"/>
                      <a:ext cx="4597400" cy="2446655"/>
                    </a:xfrm>
                    <a:prstGeom prst="rect">
                      <a:avLst/>
                    </a:prstGeom>
                    <a:noFill/>
                    <a:ln>
                      <a:noFill/>
                    </a:ln>
                  </pic:spPr>
                </pic:pic>
              </a:graphicData>
            </a:graphic>
          </wp:inline>
        </w:drawing>
      </w:r>
    </w:p>
    <w:p w14:paraId="3BBC850F" w14:textId="159D9C08" w:rsidR="008A74E3" w:rsidRPr="00AC13E7" w:rsidRDefault="0030138E" w:rsidP="004916C9">
      <w:pPr>
        <w:pStyle w:val="Caption"/>
      </w:pPr>
      <w:bookmarkStart w:id="115" w:name="_Ref379537076"/>
      <w:bookmarkStart w:id="116" w:name="_Toc384459593"/>
      <w:r w:rsidRPr="00AC13E7">
        <w:t xml:space="preserve">Fig. </w:t>
      </w:r>
      <w:r w:rsidR="001003E9">
        <w:fldChar w:fldCharType="begin"/>
      </w:r>
      <w:r w:rsidR="001003E9">
        <w:instrText xml:space="preserve"> SEQ Fig. \* ARABIC </w:instrText>
      </w:r>
      <w:r w:rsidR="001003E9">
        <w:fldChar w:fldCharType="separate"/>
      </w:r>
      <w:r w:rsidR="00673FBD">
        <w:rPr>
          <w:noProof/>
        </w:rPr>
        <w:t>22</w:t>
      </w:r>
      <w:r w:rsidR="001003E9">
        <w:rPr>
          <w:noProof/>
        </w:rPr>
        <w:fldChar w:fldCharType="end"/>
      </w:r>
      <w:bookmarkEnd w:id="115"/>
      <w:r w:rsidRPr="00AC13E7">
        <w:t xml:space="preserve"> Mapping between subclone genotypes and clusters. There is a correspondence between subclonal genotypes and mutation clusters. Each node in a tree is a cluster, and mutations are acquired along the edges of the tree, from the root (top) to the leaves (bottom). Each node is labelled by the cluster genotype. The ancestral node linking to the clonal cluster is also shown. SNV genotype priors that are compliant with the infinite sites assumption constrain the set of tree topologies. The examples show families of trees compliant with this assumption relating </w:t>
      </w:r>
      <w:r w:rsidRPr="00AC13E7">
        <w:rPr>
          <w:b/>
        </w:rPr>
        <w:t>(A)</w:t>
      </w:r>
      <w:r w:rsidRPr="00AC13E7">
        <w:t xml:space="preserve"> </w:t>
      </w:r>
      <m:oMath>
        <m:sSub>
          <m:sSubPr>
            <m:ctrlPr>
              <w:rPr>
                <w:rFonts w:ascii="Cambria Math" w:hAnsi="Cambria Math"/>
              </w:rPr>
            </m:ctrlPr>
          </m:sSubPr>
          <m:e>
            <m:r>
              <w:rPr>
                <w:rFonts w:ascii="Cambria Math" w:hAnsi="Cambria Math"/>
              </w:rPr>
              <m:t>N</m:t>
            </m:r>
          </m:e>
          <m:sub>
            <m:r>
              <w:rPr>
                <w:rFonts w:ascii="Cambria Math" w:hAnsi="Cambria Math"/>
              </w:rPr>
              <m:t>s</m:t>
            </m:r>
          </m:sub>
        </m:sSub>
        <m:r>
          <w:rPr>
            <w:rFonts w:ascii="Cambria Math" w:hAnsi="Cambria Math"/>
          </w:rPr>
          <m:t>=1</m:t>
        </m:r>
      </m:oMath>
      <w:r w:rsidRPr="00AC13E7">
        <w:t xml:space="preserve">, </w:t>
      </w:r>
      <w:r w:rsidRPr="00AC13E7">
        <w:rPr>
          <w:b/>
        </w:rPr>
        <w:t>(B)</w:t>
      </w:r>
      <w:r w:rsidRPr="00AC13E7">
        <w:t xml:space="preserve"> </w:t>
      </w:r>
      <m:oMath>
        <m:sSub>
          <m:sSubPr>
            <m:ctrlPr>
              <w:rPr>
                <w:rFonts w:ascii="Cambria Math" w:hAnsi="Cambria Math"/>
              </w:rPr>
            </m:ctrlPr>
          </m:sSubPr>
          <m:e>
            <m:r>
              <w:rPr>
                <w:rFonts w:ascii="Cambria Math" w:hAnsi="Cambria Math"/>
              </w:rPr>
              <m:t>N</m:t>
            </m:r>
          </m:e>
          <m:sub>
            <m:r>
              <w:rPr>
                <w:rFonts w:ascii="Cambria Math" w:hAnsi="Cambria Math"/>
              </w:rPr>
              <m:t>s</m:t>
            </m:r>
          </m:sub>
        </m:sSub>
        <m:r>
          <w:rPr>
            <w:rFonts w:ascii="Cambria Math" w:hAnsi="Cambria Math"/>
          </w:rPr>
          <m:t>=2</m:t>
        </m:r>
      </m:oMath>
      <w:r w:rsidRPr="00AC13E7">
        <w:t xml:space="preserve"> and, </w:t>
      </w:r>
      <w:r w:rsidRPr="00AC13E7">
        <w:rPr>
          <w:b/>
        </w:rPr>
        <w:t>(C)</w:t>
      </w:r>
      <w:r w:rsidRPr="00AC13E7">
        <w:t xml:space="preserve"> </w:t>
      </w:r>
      <m:oMath>
        <m:sSub>
          <m:sSubPr>
            <m:ctrlPr>
              <w:rPr>
                <w:rFonts w:ascii="Cambria Math" w:hAnsi="Cambria Math"/>
              </w:rPr>
            </m:ctrlPr>
          </m:sSubPr>
          <m:e>
            <m:r>
              <w:rPr>
                <w:rFonts w:ascii="Cambria Math" w:hAnsi="Cambria Math"/>
              </w:rPr>
              <m:t>N</m:t>
            </m:r>
          </m:e>
          <m:sub>
            <m:r>
              <w:rPr>
                <w:rFonts w:ascii="Cambria Math" w:hAnsi="Cambria Math"/>
              </w:rPr>
              <m:t>s</m:t>
            </m:r>
          </m:sub>
        </m:sSub>
        <m:r>
          <w:rPr>
            <w:rFonts w:ascii="Cambria Math" w:hAnsi="Cambria Math"/>
          </w:rPr>
          <m:t>=3</m:t>
        </m:r>
      </m:oMath>
      <w:r w:rsidRPr="00AC13E7">
        <w:t xml:space="preserve"> genotypes, each of which contains </w:t>
      </w:r>
      <m:oMath>
        <m:sSub>
          <m:sSubPr>
            <m:ctrlPr>
              <w:rPr>
                <w:rFonts w:ascii="Cambria Math" w:hAnsi="Cambria Math"/>
              </w:rPr>
            </m:ctrlPr>
          </m:sSubPr>
          <m:e>
            <m:r>
              <w:rPr>
                <w:rFonts w:ascii="Cambria Math" w:hAnsi="Cambria Math"/>
              </w:rPr>
              <m:t>N</m:t>
            </m:r>
          </m:e>
          <m:sub>
            <m:r>
              <w:rPr>
                <w:rFonts w:ascii="Cambria Math" w:hAnsi="Cambria Math"/>
              </w:rPr>
              <m:t>c</m:t>
            </m:r>
          </m:sub>
        </m:sSub>
      </m:oMath>
      <w:r w:rsidRPr="00AC13E7">
        <w:t xml:space="preserve"> mutation clusters. </w:t>
      </w:r>
      <m:oMath>
        <m:sSub>
          <m:sSubPr>
            <m:ctrlPr>
              <w:rPr>
                <w:rFonts w:ascii="Cambria Math" w:hAnsi="Cambria Math"/>
              </w:rPr>
            </m:ctrlPr>
          </m:sSubPr>
          <m:e>
            <m:r>
              <w:rPr>
                <w:rFonts w:ascii="Cambria Math" w:hAnsi="Cambria Math"/>
              </w:rPr>
              <m:t>N</m:t>
            </m:r>
          </m:e>
          <m:sub>
            <m:r>
              <w:rPr>
                <w:rFonts w:ascii="Cambria Math" w:hAnsi="Cambria Math"/>
              </w:rPr>
              <m:t>s</m:t>
            </m:r>
          </m:sub>
        </m:sSub>
        <m:r>
          <w:rPr>
            <w:rFonts w:ascii="Cambria Math" w:hAnsi="Cambria Math"/>
          </w:rPr>
          <m:t>=1</m:t>
        </m:r>
      </m:oMath>
      <w:r w:rsidRPr="00AC13E7">
        <w:t xml:space="preserve"> corresponds to a scenario where there are no subclones in the sample, so all mutations belong to the clonal cluster denoted as a grey node. The </w:t>
      </w:r>
      <m:oMath>
        <m:sSub>
          <m:sSubPr>
            <m:ctrlPr>
              <w:rPr>
                <w:rFonts w:ascii="Cambria Math" w:hAnsi="Cambria Math"/>
              </w:rPr>
            </m:ctrlPr>
          </m:sSubPr>
          <m:e>
            <m:r>
              <w:rPr>
                <w:rFonts w:ascii="Cambria Math" w:hAnsi="Cambria Math"/>
              </w:rPr>
              <m:t>N</m:t>
            </m:r>
          </m:e>
          <m:sub>
            <m:r>
              <w:rPr>
                <w:rFonts w:ascii="Cambria Math" w:hAnsi="Cambria Math"/>
              </w:rPr>
              <m:t>s</m:t>
            </m:r>
          </m:sub>
        </m:sSub>
        <m:r>
          <w:rPr>
            <w:rFonts w:ascii="Cambria Math" w:hAnsi="Cambria Math"/>
          </w:rPr>
          <m:t>=2</m:t>
        </m:r>
      </m:oMath>
      <w:r w:rsidRPr="00AC13E7">
        <w:t xml:space="preserve"> scenario has a single subclone corresponding to one clonal and one or several subclonal clusters and </w:t>
      </w:r>
      <m:oMath>
        <m:sSub>
          <m:sSubPr>
            <m:ctrlPr>
              <w:rPr>
                <w:rFonts w:ascii="Cambria Math" w:hAnsi="Cambria Math"/>
              </w:rPr>
            </m:ctrlPr>
          </m:sSubPr>
          <m:e>
            <m:r>
              <w:rPr>
                <w:rFonts w:ascii="Cambria Math" w:hAnsi="Cambria Math"/>
              </w:rPr>
              <m:t>N</m:t>
            </m:r>
          </m:e>
          <m:sub>
            <m:r>
              <w:rPr>
                <w:rFonts w:ascii="Cambria Math" w:hAnsi="Cambria Math"/>
              </w:rPr>
              <m:t>s</m:t>
            </m:r>
          </m:sub>
        </m:sSub>
        <m:r>
          <w:rPr>
            <w:rFonts w:ascii="Cambria Math" w:hAnsi="Cambria Math"/>
          </w:rPr>
          <m:t xml:space="preserve">=3 </m:t>
        </m:r>
      </m:oMath>
      <w:r w:rsidRPr="00AC13E7">
        <w:t xml:space="preserve">more than one subclone describing linear or branched evolution. For example, with </w:t>
      </w:r>
      <m:oMath>
        <m:sSub>
          <m:sSubPr>
            <m:ctrlPr>
              <w:rPr>
                <w:rFonts w:ascii="Cambria Math" w:hAnsi="Cambria Math"/>
              </w:rPr>
            </m:ctrlPr>
          </m:sSubPr>
          <m:e>
            <m:r>
              <w:rPr>
                <w:rFonts w:ascii="Cambria Math" w:hAnsi="Cambria Math"/>
              </w:rPr>
              <m:t>N</m:t>
            </m:r>
          </m:e>
          <m:sub>
            <m:r>
              <w:rPr>
                <w:rFonts w:ascii="Cambria Math" w:hAnsi="Cambria Math"/>
              </w:rPr>
              <m:t>s</m:t>
            </m:r>
          </m:sub>
        </m:sSub>
        <m:r>
          <w:rPr>
            <w:rFonts w:ascii="Cambria Math" w:hAnsi="Cambria Math"/>
          </w:rPr>
          <m:t>=2</m:t>
        </m:r>
      </m:oMath>
      <w:r w:rsidRPr="00AC13E7">
        <w:t xml:space="preserve"> subclones, genotype </w:t>
      </w:r>
      <m:oMath>
        <m:r>
          <w:rPr>
            <w:rFonts w:ascii="Cambria Math" w:hAnsi="Cambria Math"/>
          </w:rPr>
          <m:t>g=00</m:t>
        </m:r>
      </m:oMath>
      <w:r w:rsidRPr="00AC13E7">
        <w:t xml:space="preserve"> denotes all clonal mutations, </w:t>
      </w:r>
      <m:oMath>
        <m:r>
          <w:rPr>
            <w:rFonts w:ascii="Cambria Math" w:hAnsi="Cambria Math"/>
          </w:rPr>
          <m:t>g=10</m:t>
        </m:r>
      </m:oMath>
      <w:r w:rsidRPr="00AC13E7">
        <w:t xml:space="preserve"> mutations that are private to the blue cluster and </w:t>
      </w:r>
      <m:oMath>
        <m:r>
          <w:rPr>
            <w:rFonts w:ascii="Cambria Math" w:hAnsi="Cambria Math"/>
          </w:rPr>
          <m:t>g=01</m:t>
        </m:r>
      </m:oMath>
      <w:r w:rsidRPr="00AC13E7">
        <w:t xml:space="preserve"> mutations that are private to the red cluster. The tree prior extends cloneHD by inferring a prior for a mutation to belong to one of the clusters shown. Assuming a uniform mutation rate the prior weights can be interpreted to relate to the branch lengths of the tree leading to each node.</w:t>
      </w:r>
      <w:bookmarkEnd w:id="116"/>
    </w:p>
    <w:p w14:paraId="4DC75238" w14:textId="77777777" w:rsidR="008A74E3" w:rsidRPr="00AC13E7" w:rsidRDefault="008A74E3" w:rsidP="008A74E3"/>
    <w:p w14:paraId="44A50C00" w14:textId="44221312" w:rsidR="00B467F2" w:rsidRPr="00AC13E7" w:rsidRDefault="00B467F2" w:rsidP="00B467F2">
      <w:pPr>
        <w:pStyle w:val="Heading3"/>
        <w:rPr>
          <w:rFonts w:ascii="Times New Roman" w:hAnsi="Times New Roman" w:cs="Times New Roman"/>
          <w:b w:val="0"/>
          <w:bCs/>
          <w:sz w:val="32"/>
          <w:szCs w:val="32"/>
          <w:lang w:val="en-GB"/>
        </w:rPr>
      </w:pPr>
      <w:bookmarkStart w:id="117" w:name="_Toc499569275"/>
      <w:bookmarkStart w:id="118" w:name="_Toc499571740"/>
      <w:bookmarkStart w:id="119" w:name="_Toc391905020"/>
      <w:r w:rsidRPr="00AC13E7">
        <w:rPr>
          <w:rFonts w:ascii="Times New Roman" w:hAnsi="Times New Roman" w:cs="Times New Roman"/>
          <w:b w:val="0"/>
          <w:bCs/>
          <w:sz w:val="32"/>
          <w:szCs w:val="32"/>
          <w:lang w:val="en-GB"/>
        </w:rPr>
        <w:t>2.1.5 CTPsingle</w:t>
      </w:r>
      <w:bookmarkEnd w:id="117"/>
      <w:bookmarkEnd w:id="118"/>
      <w:bookmarkEnd w:id="119"/>
    </w:p>
    <w:p w14:paraId="3723140D" w14:textId="1B656919" w:rsidR="00B062F2" w:rsidRPr="00AC13E7" w:rsidRDefault="00B062F2" w:rsidP="00E905E4">
      <w:pPr>
        <w:rPr>
          <w:bCs/>
        </w:rPr>
      </w:pPr>
      <w:r w:rsidRPr="00AC13E7">
        <w:rPr>
          <w:bCs/>
        </w:rPr>
        <w:t>Salem Malikic</w:t>
      </w:r>
      <w:r w:rsidR="00637108" w:rsidRPr="00AC13E7">
        <w:rPr>
          <w:bCs/>
        </w:rPr>
        <w:t>, Nilgun Do</w:t>
      </w:r>
      <w:r w:rsidR="00AA7613" w:rsidRPr="00AC13E7">
        <w:rPr>
          <w:bCs/>
        </w:rPr>
        <w:t>n</w:t>
      </w:r>
      <w:r w:rsidR="00637108" w:rsidRPr="00AC13E7">
        <w:rPr>
          <w:bCs/>
        </w:rPr>
        <w:t>mez, Cenk Sahinalp</w:t>
      </w:r>
    </w:p>
    <w:p w14:paraId="57C5094B" w14:textId="77777777" w:rsidR="00B062F2" w:rsidRPr="00AC13E7" w:rsidRDefault="00B062F2" w:rsidP="00E905E4">
      <w:pPr>
        <w:rPr>
          <w:b/>
        </w:rPr>
      </w:pPr>
    </w:p>
    <w:p w14:paraId="172B3446" w14:textId="77777777" w:rsidR="00E905E4" w:rsidRPr="00AC13E7" w:rsidRDefault="00E905E4" w:rsidP="00E905E4">
      <w:pPr>
        <w:rPr>
          <w:b/>
        </w:rPr>
      </w:pPr>
      <w:r w:rsidRPr="00AC13E7">
        <w:rPr>
          <w:b/>
        </w:rPr>
        <w:t>Preprocessing</w:t>
      </w:r>
    </w:p>
    <w:p w14:paraId="6F8116ED" w14:textId="3CA9E4F9" w:rsidR="00E905E4" w:rsidRPr="00AC13E7" w:rsidRDefault="00E905E4" w:rsidP="00D86E26">
      <w:pPr>
        <w:jc w:val="both"/>
      </w:pPr>
      <w:r w:rsidRPr="00AC13E7">
        <w:t>As input, CTPsingle</w:t>
      </w:r>
      <w:r w:rsidR="000803BF" w:rsidRPr="00AC13E7">
        <w:fldChar w:fldCharType="begin"/>
      </w:r>
      <w:r w:rsidR="00D86E26">
        <w:instrText xml:space="preserve"> ADDIN EN.CITE &lt;EndNote&gt;&lt;Cite&gt;&lt;Author&gt;Donmez&lt;/Author&gt;&lt;Year&gt;2017&lt;/Year&gt;&lt;RecNum&gt;33&lt;/RecNum&gt;&lt;DisplayText&gt;&lt;style face="superscript"&gt;32&lt;/style&gt;&lt;/DisplayText&gt;&lt;record&gt;&lt;rec-number&gt;33&lt;/rec-number&gt;&lt;foreign-keys&gt;&lt;key app="EN" db-id="swsz0f55g50w9yex0aqvtfdxarrpzt5z00pd" timestamp="1500654177"&gt;33&lt;/key&gt;&lt;/foreign-keys&gt;&lt;ref-type name="Journal Article"&gt;17&lt;/ref-type&gt;&lt;contributors&gt;&lt;authors&gt;&lt;author&gt;Donmez, N.&lt;/author&gt;&lt;author&gt;Malikic, S.&lt;/author&gt;&lt;author&gt;Wyatt, A. W.&lt;/author&gt;&lt;author&gt;Gleave, M. E.&lt;/author&gt;&lt;author&gt;Collins, C. C.&lt;/author&gt;&lt;author&gt;Sahinalp, S. C.&lt;/author&gt;&lt;/authors&gt;&lt;/contributors&gt;&lt;auth-address&gt;1 School of Computing Science, Simon Fraser University , Burnaby, Canada .&amp;#xD;2 Vancouver Prostate Centre , Vancouver, Canada .&amp;#xD;3 Department of Urologic Sciences, University of British Columbia , Vancouver, Canada .&amp;#xD;4 School of Informatics and Computing, Indiana University , Bloomington, Indiana.&lt;/auth-address&gt;&lt;titles&gt;&lt;title&gt;Clonality Inference from Single Tumor Samples Using Low-Coverage Sequence Data&lt;/title&gt;&lt;secondary-title&gt;J Comput Biol&lt;/secondary-title&gt;&lt;/titles&gt;&lt;periodical&gt;&lt;full-title&gt;J Comput Biol&lt;/full-title&gt;&lt;/periodical&gt;&lt;pages&gt;515-523&lt;/pages&gt;&lt;volume&gt;24&lt;/volume&gt;&lt;number&gt;6&lt;/number&gt;&lt;keywords&gt;&lt;keyword&gt;DNA sequencing&lt;/keyword&gt;&lt;keyword&gt;cancer progression&lt;/keyword&gt;&lt;keyword&gt;intra-tumor heterogeneity&lt;/keyword&gt;&lt;/keywords&gt;&lt;dates&gt;&lt;year&gt;2017&lt;/year&gt;&lt;pub-dates&gt;&lt;date&gt;Jun&lt;/date&gt;&lt;/pub-dates&gt;&lt;/dates&gt;&lt;isbn&gt;1557-8666 (Electronic)&amp;#xD;1066-5277 (Linking)&lt;/isbn&gt;&lt;accession-num&gt;28056180&lt;/accession-num&gt;&lt;urls&gt;&lt;related-urls&gt;&lt;url&gt;https://www.ncbi.nlm.nih.gov/pubmed/28056180&lt;/url&gt;&lt;/related-urls&gt;&lt;/urls&gt;&lt;electronic-resource-num&gt;10.1089/cmb.2016.0148&lt;/electronic-resource-num&gt;&lt;/record&gt;&lt;/Cite&gt;&lt;/EndNote&gt;</w:instrText>
      </w:r>
      <w:r w:rsidR="000803BF" w:rsidRPr="00AC13E7">
        <w:fldChar w:fldCharType="separate"/>
      </w:r>
      <w:r w:rsidR="00D86E26" w:rsidRPr="00D86E26">
        <w:rPr>
          <w:noProof/>
          <w:vertAlign w:val="superscript"/>
        </w:rPr>
        <w:t>32</w:t>
      </w:r>
      <w:r w:rsidR="000803BF" w:rsidRPr="00AC13E7">
        <w:fldChar w:fldCharType="end"/>
      </w:r>
      <w:r w:rsidR="000803BF" w:rsidRPr="00AC13E7">
        <w:t xml:space="preserve"> </w:t>
      </w:r>
      <w:r w:rsidRPr="00AC13E7">
        <w:t xml:space="preserve">takes reference and variant read counts for single nucleotide variant (SNV) calls. CTPsingle expects only somatic SNVs in its input; all germline </w:t>
      </w:r>
      <w:r w:rsidR="00BB3DB3" w:rsidRPr="00AC13E7">
        <w:t>SNP</w:t>
      </w:r>
      <w:r w:rsidRPr="00AC13E7">
        <w:t xml:space="preserve">s should be discarded in advance. It also expects the mutations to reside in copy number neutral regions of the genome. In other words, CTPsingle assumes that all mutations in the input are heterozygous SNVs belonging to the regions that have not been affected by copy number aberrations. Mutations on non-autosomal (i.e. X and Y) chromosomes can be included if the gender of the patient is given. Tri-allelic </w:t>
      </w:r>
      <w:r w:rsidR="0009738F" w:rsidRPr="00AC13E7">
        <w:t>variants</w:t>
      </w:r>
      <w:r w:rsidRPr="00AC13E7">
        <w:t xml:space="preserve"> are also discarded from the input. For each SNV</w:t>
      </w:r>
      <w:r w:rsidR="0009738F" w:rsidRPr="00AC13E7">
        <w:t>, the</w:t>
      </w:r>
      <w:r w:rsidRPr="00AC13E7">
        <w:t xml:space="preserve"> numbers of reads supporting variant and reference allele </w:t>
      </w:r>
      <w:r w:rsidR="0009738F" w:rsidRPr="00AC13E7">
        <w:t>are</w:t>
      </w:r>
      <w:r w:rsidRPr="00AC13E7">
        <w:t xml:space="preserve"> used to obtain </w:t>
      </w:r>
      <w:r w:rsidR="009F1E1A" w:rsidRPr="00AC13E7">
        <w:t xml:space="preserve">a </w:t>
      </w:r>
      <w:r w:rsidRPr="00AC13E7">
        <w:t xml:space="preserve">clustering of mutations </w:t>
      </w:r>
      <w:r w:rsidR="009F1E1A" w:rsidRPr="00AC13E7">
        <w:t xml:space="preserve">as </w:t>
      </w:r>
      <w:r w:rsidRPr="00AC13E7">
        <w:t>described in the next section.</w:t>
      </w:r>
    </w:p>
    <w:p w14:paraId="7F952BCC" w14:textId="77777777" w:rsidR="00E905E4" w:rsidRPr="00AC13E7" w:rsidRDefault="00E905E4" w:rsidP="009B65DB">
      <w:pPr>
        <w:jc w:val="both"/>
      </w:pPr>
    </w:p>
    <w:p w14:paraId="46BBCE0C" w14:textId="77777777" w:rsidR="000668D6" w:rsidRPr="00AC13E7" w:rsidRDefault="000668D6">
      <w:pPr>
        <w:rPr>
          <w:b/>
        </w:rPr>
      </w:pPr>
      <w:bookmarkStart w:id="120" w:name="_pxbx8yiy5hxh" w:colFirst="0" w:colLast="0"/>
      <w:bookmarkEnd w:id="120"/>
      <w:r w:rsidRPr="00AC13E7">
        <w:rPr>
          <w:b/>
        </w:rPr>
        <w:br w:type="page"/>
      </w:r>
    </w:p>
    <w:p w14:paraId="46597676" w14:textId="6DCF59FA" w:rsidR="00E905E4" w:rsidRPr="00AC13E7" w:rsidRDefault="00E905E4" w:rsidP="009B65DB">
      <w:pPr>
        <w:jc w:val="both"/>
        <w:rPr>
          <w:b/>
        </w:rPr>
      </w:pPr>
      <w:r w:rsidRPr="00AC13E7">
        <w:rPr>
          <w:b/>
        </w:rPr>
        <w:lastRenderedPageBreak/>
        <w:t>Algorithm</w:t>
      </w:r>
    </w:p>
    <w:p w14:paraId="71226A26" w14:textId="585B9FCF" w:rsidR="00E905E4" w:rsidRPr="00AC13E7" w:rsidRDefault="00E905E4" w:rsidP="009B65DB">
      <w:pPr>
        <w:jc w:val="both"/>
      </w:pPr>
      <w:r w:rsidRPr="00AC13E7">
        <w:t xml:space="preserve">For the given set of SNVs, CTPsingle uses </w:t>
      </w:r>
      <w:r w:rsidR="0009738F" w:rsidRPr="00AC13E7">
        <w:t xml:space="preserve">a </w:t>
      </w:r>
      <w:r w:rsidRPr="00AC13E7">
        <w:t>beta-binomial model to perform clustering of mutations in read count space</w:t>
      </w:r>
      <m:oMath>
        <m:r>
          <w:rPr>
            <w:rFonts w:ascii="Cambria Math" w:hAnsi="Cambria Math"/>
          </w:rPr>
          <m:t>.</m:t>
        </m:r>
      </m:oMath>
      <w:r w:rsidRPr="00AC13E7">
        <w:t xml:space="preserve"> Denoting the number of variant reads and the total number of reads covering an arbitrary mutation </w:t>
      </w:r>
      <m:oMath>
        <m:r>
          <w:rPr>
            <w:rFonts w:ascii="Cambria Math" w:hAnsi="Cambria Math"/>
          </w:rPr>
          <m:t>i</m:t>
        </m:r>
      </m:oMath>
      <w:r w:rsidRPr="00AC13E7">
        <w:t xml:space="preserve"> as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Pr="00AC13E7">
        <w:t xml:space="preserve"> and </w:t>
      </w:r>
      <m:oMath>
        <m:sSub>
          <m:sSubPr>
            <m:ctrlPr>
              <w:rPr>
                <w:rFonts w:ascii="Cambria Math" w:hAnsi="Cambria Math"/>
                <w:i/>
              </w:rPr>
            </m:ctrlPr>
          </m:sSubPr>
          <m:e>
            <m:r>
              <w:rPr>
                <w:rFonts w:ascii="Cambria Math" w:hAnsi="Cambria Math"/>
              </w:rPr>
              <m:t>n</m:t>
            </m:r>
          </m:e>
          <m:sub>
            <m:r>
              <w:rPr>
                <w:rFonts w:ascii="Cambria Math" w:hAnsi="Cambria Math"/>
              </w:rPr>
              <m:t>i</m:t>
            </m:r>
          </m:sub>
        </m:sSub>
      </m:oMath>
      <w:r w:rsidRPr="00AC13E7">
        <w:t xml:space="preserve">, respectively, we assume that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Pr="00AC13E7">
        <w:t xml:space="preserve"> is binomial</w:t>
      </w:r>
      <w:r w:rsidR="007446B2" w:rsidRPr="00AC13E7">
        <w:t>ly</w:t>
      </w:r>
      <w:r w:rsidRPr="00AC13E7">
        <w:t xml:space="preserve"> distributed with unknown probability of success </w:t>
      </w: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AC13E7">
        <w:t xml:space="preserve"> </w:t>
      </w:r>
    </w:p>
    <w:p w14:paraId="4EB25448" w14:textId="77777777" w:rsidR="0009738F" w:rsidRPr="00AC13E7" w:rsidRDefault="0009738F" w:rsidP="009B65DB">
      <w:pPr>
        <w:jc w:val="both"/>
      </w:pPr>
    </w:p>
    <w:p w14:paraId="504F397A" w14:textId="40EF07EA" w:rsidR="00E905E4" w:rsidRPr="00AC13E7" w:rsidRDefault="0036299C" w:rsidP="009B65DB">
      <w:pPr>
        <w:jc w:val="both"/>
      </w:pPr>
      <m:oMathPara>
        <m:oMath>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m:t>
                  </m:r>
                </m:sub>
              </m:sSub>
            </m:e>
          </m:d>
          <m:r>
            <w:rPr>
              <w:rFonts w:ascii="Cambria Math" w:hAnsi="Cambria Math"/>
            </w:rPr>
            <m:t>∼Binom</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m:t>
                  </m:r>
                </m:sub>
              </m:sSub>
            </m:e>
          </m:d>
          <m:r>
            <w:rPr>
              <w:rFonts w:ascii="Cambria Math" w:hAnsi="Cambria Math"/>
            </w:rPr>
            <m:t>.</m:t>
          </m:r>
        </m:oMath>
      </m:oMathPara>
    </w:p>
    <w:p w14:paraId="3F8C57B1" w14:textId="77777777" w:rsidR="0009738F" w:rsidRPr="00AC13E7" w:rsidRDefault="0009738F" w:rsidP="009B65DB">
      <w:pPr>
        <w:jc w:val="both"/>
      </w:pPr>
    </w:p>
    <w:p w14:paraId="0A5CD8F6" w14:textId="573606DE" w:rsidR="00E905E4" w:rsidRPr="00AC13E7" w:rsidRDefault="0009738F" w:rsidP="009B65DB">
      <w:pPr>
        <w:jc w:val="both"/>
      </w:pPr>
      <w:r w:rsidRPr="00AC13E7">
        <w:t>The p</w:t>
      </w:r>
      <w:r w:rsidR="00E905E4" w:rsidRPr="00AC13E7">
        <w:t xml:space="preserve">robability parameter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rsidR="00E905E4" w:rsidRPr="00AC13E7">
        <w:t xml:space="preserve"> is assumed to be generated from a Dirichlet process as given below: </w:t>
      </w:r>
    </w:p>
    <w:p w14:paraId="1128E8A7" w14:textId="77777777" w:rsidR="0009738F" w:rsidRPr="00AC13E7" w:rsidRDefault="0009738F" w:rsidP="009B65DB">
      <w:pPr>
        <w:jc w:val="both"/>
      </w:pPr>
    </w:p>
    <w:p w14:paraId="26FC0E77" w14:textId="11E66680" w:rsidR="00E905E4" w:rsidRPr="00AC13E7" w:rsidRDefault="0036299C" w:rsidP="009B65DB">
      <w:pPr>
        <w:jc w:val="both"/>
      </w:pPr>
      <m:oMathPara>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∣G∼G</m:t>
          </m:r>
        </m:oMath>
      </m:oMathPara>
    </w:p>
    <w:p w14:paraId="2EC3AE71" w14:textId="2C41E7DE" w:rsidR="00E905E4" w:rsidRPr="00AC13E7" w:rsidRDefault="0032764D" w:rsidP="009B65DB">
      <w:pPr>
        <w:jc w:val="both"/>
      </w:pPr>
      <m:oMathPara>
        <m:oMath>
          <m:r>
            <w:rPr>
              <w:rFonts w:ascii="Cambria Math" w:hAnsi="Cambria Math"/>
            </w:rPr>
            <m:t>G∣</m:t>
          </m:r>
          <m:d>
            <m:dPr>
              <m:ctrlPr>
                <w:rPr>
                  <w:rFonts w:ascii="Cambria Math" w:hAnsi="Cambria Math"/>
                  <w:i/>
                </w:rPr>
              </m:ctrlPr>
            </m:dPr>
            <m:e>
              <m:r>
                <w:rPr>
                  <w:rFonts w:ascii="Cambria Math" w:hAnsi="Cambria Math"/>
                </w:rPr>
                <m:t xml:space="preserve">α, </m:t>
              </m:r>
              <m:sSub>
                <m:sSubPr>
                  <m:ctrlPr>
                    <w:rPr>
                      <w:rFonts w:ascii="Cambria Math" w:hAnsi="Cambria Math"/>
                      <w:i/>
                    </w:rPr>
                  </m:ctrlPr>
                </m:sSubPr>
                <m:e>
                  <m:r>
                    <w:rPr>
                      <w:rFonts w:ascii="Cambria Math" w:hAnsi="Cambria Math"/>
                    </w:rPr>
                    <m:t>G</m:t>
                  </m:r>
                </m:e>
                <m:sub>
                  <m:r>
                    <w:rPr>
                      <w:rFonts w:ascii="Cambria Math" w:hAnsi="Cambria Math"/>
                    </w:rPr>
                    <m:t>0</m:t>
                  </m:r>
                </m:sub>
              </m:sSub>
            </m:e>
          </m:d>
          <m:r>
            <w:rPr>
              <w:rFonts w:ascii="Cambria Math" w:hAnsi="Cambria Math"/>
            </w:rPr>
            <m:t xml:space="preserve">∼Dir(α, </m:t>
          </m:r>
          <m:sSub>
            <m:sSubPr>
              <m:ctrlPr>
                <w:rPr>
                  <w:rFonts w:ascii="Cambria Math" w:hAnsi="Cambria Math"/>
                  <w:i/>
                </w:rPr>
              </m:ctrlPr>
            </m:sSubPr>
            <m:e>
              <m:r>
                <w:rPr>
                  <w:rFonts w:ascii="Cambria Math" w:hAnsi="Cambria Math"/>
                </w:rPr>
                <m:t>G</m:t>
              </m:r>
            </m:e>
            <m:sub>
              <m:r>
                <w:rPr>
                  <w:rFonts w:ascii="Cambria Math" w:hAnsi="Cambria Math"/>
                </w:rPr>
                <m:t>0</m:t>
              </m:r>
            </m:sub>
          </m:sSub>
          <m:r>
            <w:rPr>
              <w:rFonts w:ascii="Cambria Math" w:hAnsi="Cambria Math"/>
            </w:rPr>
            <m:t>)</m:t>
          </m:r>
        </m:oMath>
      </m:oMathPara>
    </w:p>
    <w:p w14:paraId="2A581BA2" w14:textId="77777777" w:rsidR="0009738F" w:rsidRPr="00AC13E7" w:rsidRDefault="0009738F" w:rsidP="00D05EAE">
      <w:pPr>
        <w:jc w:val="both"/>
      </w:pPr>
    </w:p>
    <w:p w14:paraId="46434EFA" w14:textId="10EA2CE0" w:rsidR="0034400F" w:rsidRPr="00AC13E7" w:rsidRDefault="00E905E4" w:rsidP="00D86E26">
      <w:pPr>
        <w:jc w:val="both"/>
      </w:pPr>
      <w:r w:rsidRPr="00AC13E7">
        <w:t xml:space="preserve">The baseline distribution </w:t>
      </w:r>
      <m:oMath>
        <m:sSub>
          <m:sSubPr>
            <m:ctrlPr>
              <w:rPr>
                <w:rFonts w:ascii="Cambria Math" w:hAnsi="Cambria Math"/>
                <w:i/>
              </w:rPr>
            </m:ctrlPr>
          </m:sSubPr>
          <m:e>
            <m:r>
              <w:rPr>
                <w:rFonts w:ascii="Cambria Math" w:hAnsi="Cambria Math"/>
              </w:rPr>
              <m:t>G</m:t>
            </m:r>
          </m:e>
          <m:sub>
            <m:r>
              <w:rPr>
                <w:rFonts w:ascii="Cambria Math" w:hAnsi="Cambria Math"/>
              </w:rPr>
              <m:t>0</m:t>
            </m:r>
          </m:sub>
        </m:sSub>
      </m:oMath>
      <w:r w:rsidR="0009738F" w:rsidRPr="00AC13E7">
        <w:t xml:space="preserve"> is taken to be </w:t>
      </w:r>
      <w:r w:rsidR="00283BC9" w:rsidRPr="00AC13E7">
        <w:t xml:space="preserve">a </w:t>
      </w:r>
      <w:r w:rsidR="0009738F" w:rsidRPr="00AC13E7">
        <w:t>Beta-</w:t>
      </w:r>
      <w:r w:rsidRPr="00AC13E7">
        <w:t xml:space="preserve">binomial distribution with parameters </w:t>
      </w:r>
      <m:oMath>
        <m:sSub>
          <m:sSubPr>
            <m:ctrlPr>
              <w:rPr>
                <w:rFonts w:ascii="Cambria Math" w:hAnsi="Cambria Math"/>
                <w:i/>
              </w:rPr>
            </m:ctrlPr>
          </m:sSubPr>
          <m:e>
            <m:r>
              <w:rPr>
                <w:rFonts w:ascii="Cambria Math" w:hAnsi="Cambria Math"/>
              </w:rPr>
              <m:t>a</m:t>
            </m:r>
          </m:e>
          <m:sub>
            <m:r>
              <w:rPr>
                <w:rFonts w:ascii="Cambria Math" w:hAnsi="Cambria Math"/>
              </w:rPr>
              <m:t>1</m:t>
            </m:r>
          </m:sub>
        </m:sSub>
      </m:oMath>
      <w:r w:rsidRPr="00AC13E7">
        <w:t xml:space="preserve"> and </w:t>
      </w:r>
      <m:oMath>
        <m:sSub>
          <m:sSubPr>
            <m:ctrlPr>
              <w:rPr>
                <w:rFonts w:ascii="Cambria Math" w:hAnsi="Cambria Math"/>
                <w:i/>
              </w:rPr>
            </m:ctrlPr>
          </m:sSubPr>
          <m:e>
            <m:r>
              <w:rPr>
                <w:rFonts w:ascii="Cambria Math" w:hAnsi="Cambria Math"/>
              </w:rPr>
              <m:t>b</m:t>
            </m:r>
          </m:e>
          <m:sub>
            <m:r>
              <w:rPr>
                <w:rFonts w:ascii="Cambria Math" w:hAnsi="Cambria Math"/>
              </w:rPr>
              <m:t>1</m:t>
            </m:r>
          </m:sub>
        </m:sSub>
      </m:oMath>
      <w:r w:rsidRPr="00AC13E7">
        <w:t>. Since the Beta</w:t>
      </w:r>
      <w:r w:rsidR="00283BC9" w:rsidRPr="00AC13E7">
        <w:t xml:space="preserve"> prior</w:t>
      </w:r>
      <w:r w:rsidR="00CB48BB" w:rsidRPr="00AC13E7">
        <w:t xml:space="preserve"> </w:t>
      </w:r>
      <w:r w:rsidRPr="00AC13E7">
        <w:t>is conjugate to the Binomial di</w:t>
      </w:r>
      <w:r w:rsidR="0009738F" w:rsidRPr="00AC13E7">
        <w:t>stribution, resulting in a B</w:t>
      </w:r>
      <w:r w:rsidRPr="00AC13E7">
        <w:t>eta-binomial posterior, inference can be performed using a standard Markov Chain Monte Carlo (MCMC) method as described in</w:t>
      </w:r>
      <w:r w:rsidR="000B34B6" w:rsidRPr="00AC13E7">
        <w:t xml:space="preserve"> M</w:t>
      </w:r>
      <w:r w:rsidR="009E3249" w:rsidRPr="00AC13E7">
        <w:t>acEachern (</w:t>
      </w:r>
      <w:r w:rsidR="000B34B6" w:rsidRPr="00AC13E7">
        <w:t>1998</w:t>
      </w:r>
      <w:r w:rsidR="009E3249" w:rsidRPr="00AC13E7">
        <w:t>)</w:t>
      </w:r>
      <w:r w:rsidR="000B34B6" w:rsidRPr="00AC13E7">
        <w:fldChar w:fldCharType="begin"/>
      </w:r>
      <w:r w:rsidR="00D86E26">
        <w:instrText xml:space="preserve"> ADDIN EN.CITE &lt;EndNote&gt;&lt;Cite&gt;&lt;Author&gt;MacEachern&lt;/Author&gt;&lt;Year&gt;1998&lt;/Year&gt;&lt;RecNum&gt;21&lt;/RecNum&gt;&lt;DisplayText&gt;&lt;style face="superscript"&gt;33&lt;/style&gt;&lt;/DisplayText&gt;&lt;record&gt;&lt;rec-number&gt;21&lt;/rec-number&gt;&lt;foreign-keys&gt;&lt;key app="EN" db-id="swsz0f55g50w9yex0aqvtfdxarrpzt5z00pd" timestamp="1494518098"&gt;21&lt;/key&gt;&lt;/foreign-keys&gt;&lt;ref-type name="Book Section"&gt;5&lt;/ref-type&gt;&lt;contributors&gt;&lt;authors&gt;&lt;author&gt;MacEachern, Steven N.&lt;/author&gt;&lt;/authors&gt;&lt;secondary-authors&gt;&lt;author&gt;Dey, Dipak&lt;/author&gt;&lt;author&gt;Müller, Peter&lt;/author&gt;&lt;author&gt;Sinha, Debajyoti&lt;/author&gt;&lt;/secondary-authors&gt;&lt;/contributors&gt;&lt;titles&gt;&lt;title&gt;Computational Methods for Mixture of Dirichlet Process Models&lt;/title&gt;&lt;secondary-title&gt;Practical Nonparametric and Semiparametric Bayesian Statistics&lt;/secondary-title&gt;&lt;/titles&gt;&lt;pages&gt;23-43&lt;/pages&gt;&lt;dates&gt;&lt;year&gt;1998&lt;/year&gt;&lt;/dates&gt;&lt;pub-location&gt;New York, NY&lt;/pub-location&gt;&lt;publisher&gt;Springer New York&lt;/publisher&gt;&lt;isbn&gt;978-1-4612-1732-9&lt;/isbn&gt;&lt;label&gt;MacEachern1998&lt;/label&gt;&lt;urls&gt;&lt;related-urls&gt;&lt;url&gt;http://dx.doi.org/10.1007/978-1-4612-1732-9_2&lt;/url&gt;&lt;/related-urls&gt;&lt;/urls&gt;&lt;electronic-resource-num&gt;10.1007/978-1-4612-1732-9_2&lt;/electronic-resource-num&gt;&lt;/record&gt;&lt;/Cite&gt;&lt;/EndNote&gt;</w:instrText>
      </w:r>
      <w:r w:rsidR="000B34B6" w:rsidRPr="00AC13E7">
        <w:fldChar w:fldCharType="separate"/>
      </w:r>
      <w:r w:rsidR="00D86E26" w:rsidRPr="00D86E26">
        <w:rPr>
          <w:noProof/>
          <w:vertAlign w:val="superscript"/>
        </w:rPr>
        <w:t>33</w:t>
      </w:r>
      <w:r w:rsidR="000B34B6" w:rsidRPr="00AC13E7">
        <w:fldChar w:fldCharType="end"/>
      </w:r>
      <w:r w:rsidR="004C2FC7" w:rsidRPr="00AC13E7">
        <w:t xml:space="preserve">. </w:t>
      </w:r>
      <w:r w:rsidRPr="00AC13E7">
        <w:t xml:space="preserve">Based on our earlier observations on simulated and real data, parameters </w:t>
      </w:r>
      <m:oMath>
        <m:r>
          <w:rPr>
            <w:rFonts w:ascii="Cambria Math" w:hAnsi="Cambria Math"/>
          </w:rPr>
          <m:t>α,</m:t>
        </m:r>
      </m:oMath>
      <w:r w:rsidRPr="00AC13E7">
        <w:t xml:space="preserve"> </w:t>
      </w:r>
      <m:oMath>
        <m:sSub>
          <m:sSubPr>
            <m:ctrlPr>
              <w:rPr>
                <w:rFonts w:ascii="Cambria Math" w:hAnsi="Cambria Math"/>
                <w:i/>
              </w:rPr>
            </m:ctrlPr>
          </m:sSubPr>
          <m:e>
            <m:r>
              <w:rPr>
                <w:rFonts w:ascii="Cambria Math" w:hAnsi="Cambria Math"/>
              </w:rPr>
              <m:t>a</m:t>
            </m:r>
          </m:e>
          <m:sub>
            <m:r>
              <w:rPr>
                <w:rFonts w:ascii="Cambria Math" w:hAnsi="Cambria Math"/>
              </w:rPr>
              <m:t>1</m:t>
            </m:r>
          </m:sub>
        </m:sSub>
      </m:oMath>
      <w:r w:rsidRPr="00AC13E7">
        <w:t xml:space="preserve"> and </w:t>
      </w:r>
      <m:oMath>
        <m:sSub>
          <m:sSubPr>
            <m:ctrlPr>
              <w:rPr>
                <w:rFonts w:ascii="Cambria Math" w:hAnsi="Cambria Math"/>
                <w:i/>
              </w:rPr>
            </m:ctrlPr>
          </m:sSubPr>
          <m:e>
            <m:r>
              <w:rPr>
                <w:rFonts w:ascii="Cambria Math" w:hAnsi="Cambria Math"/>
              </w:rPr>
              <m:t>b</m:t>
            </m:r>
          </m:e>
          <m:sub>
            <m:r>
              <w:rPr>
                <w:rFonts w:ascii="Cambria Math" w:hAnsi="Cambria Math"/>
              </w:rPr>
              <m:t>1</m:t>
            </m:r>
          </m:sub>
        </m:sSub>
      </m:oMath>
      <w:r w:rsidRPr="00AC13E7">
        <w:t xml:space="preserve"> were set to 0.001, 5.0, 5.0, respectively. In order to mitigate overclustering due to </w:t>
      </w:r>
      <w:r w:rsidR="005832A3" w:rsidRPr="00AC13E7">
        <w:t xml:space="preserve">a </w:t>
      </w:r>
      <w:r w:rsidRPr="00AC13E7">
        <w:t>fraction of noisy mutation calls, we weak</w:t>
      </w:r>
      <w:r w:rsidR="00604651" w:rsidRPr="00AC13E7">
        <w:t>ly</w:t>
      </w:r>
      <w:r w:rsidRPr="00AC13E7">
        <w:t xml:space="preserve"> constrain</w:t>
      </w:r>
      <w:r w:rsidR="00604651" w:rsidRPr="00AC13E7">
        <w:t>ed</w:t>
      </w:r>
      <w:r w:rsidRPr="00AC13E7">
        <w:t xml:space="preserve"> the minimum cluster size</w:t>
      </w:r>
      <w:r w:rsidR="005832A3" w:rsidRPr="00AC13E7">
        <w:t xml:space="preserve"> to </w:t>
      </w:r>
      <w:r w:rsidRPr="00AC13E7">
        <w:t xml:space="preserve">at least 2% of the total number of mutations. </w:t>
      </w:r>
    </w:p>
    <w:p w14:paraId="2407FC45" w14:textId="1F39A144" w:rsidR="00E905E4" w:rsidRPr="00AC13E7" w:rsidRDefault="00E905E4" w:rsidP="009B65DB">
      <w:pPr>
        <w:jc w:val="both"/>
      </w:pPr>
      <w:r w:rsidRPr="00AC13E7">
        <w:t xml:space="preserve">  </w:t>
      </w:r>
    </w:p>
    <w:p w14:paraId="6165A706" w14:textId="77777777" w:rsidR="00E905E4" w:rsidRPr="00AC13E7" w:rsidRDefault="00E905E4" w:rsidP="009B65DB">
      <w:pPr>
        <w:jc w:val="both"/>
        <w:rPr>
          <w:b/>
        </w:rPr>
      </w:pPr>
      <w:bookmarkStart w:id="121" w:name="_sx4qwlt4wsr6" w:colFirst="0" w:colLast="0"/>
      <w:bookmarkEnd w:id="121"/>
      <w:r w:rsidRPr="00AC13E7">
        <w:rPr>
          <w:b/>
        </w:rPr>
        <w:t>Postprocessing</w:t>
      </w:r>
    </w:p>
    <w:p w14:paraId="08EBB0ED" w14:textId="1A29BCE1" w:rsidR="00E905E4" w:rsidRPr="00AC13E7" w:rsidRDefault="00E905E4" w:rsidP="009B65DB">
      <w:pPr>
        <w:jc w:val="both"/>
      </w:pPr>
      <w:r w:rsidRPr="00AC13E7">
        <w:t xml:space="preserve">From the clustering step, we obtain the number of subclones (i.e. clusters) </w:t>
      </w:r>
      <m:oMath>
        <m:r>
          <w:rPr>
            <w:rFonts w:ascii="Cambria Math" w:hAnsi="Cambria Math"/>
          </w:rPr>
          <m:t>k</m:t>
        </m:r>
      </m:oMath>
      <w:r w:rsidRPr="00AC13E7">
        <w:t xml:space="preserve"> and the assignment of mutations to subclones. After the clustering step, the mean allelic frequency </w:t>
      </w:r>
      <m:oMath>
        <m:sSub>
          <m:sSubPr>
            <m:ctrlPr>
              <w:rPr>
                <w:rFonts w:ascii="Cambria Math" w:hAnsi="Cambria Math"/>
                <w:i/>
              </w:rPr>
            </m:ctrlPr>
          </m:sSubPr>
          <m:e>
            <m:r>
              <w:rPr>
                <w:rFonts w:ascii="Cambria Math" w:hAnsi="Cambria Math"/>
              </w:rPr>
              <m:t>s</m:t>
            </m:r>
          </m:e>
          <m:sub>
            <m:r>
              <w:rPr>
                <w:rFonts w:ascii="Cambria Math" w:hAnsi="Cambria Math"/>
              </w:rPr>
              <m:t>j</m:t>
            </m:r>
          </m:sub>
        </m:sSub>
      </m:oMath>
      <w:r w:rsidRPr="00AC13E7">
        <w:t xml:space="preserve"> for each subclone </w:t>
      </w:r>
      <m:oMath>
        <m:r>
          <w:rPr>
            <w:rFonts w:ascii="Cambria Math" w:hAnsi="Cambria Math"/>
          </w:rPr>
          <m:t>j=1, 2,…,k</m:t>
        </m:r>
      </m:oMath>
      <w:r w:rsidRPr="00AC13E7">
        <w:t xml:space="preserve"> is calculated as the average of allelic frequencies </w:t>
      </w:r>
      <m:oMath>
        <m:sSub>
          <m:sSubPr>
            <m:ctrlPr>
              <w:rPr>
                <w:rFonts w:ascii="Cambria Math" w:hAnsi="Cambria Math"/>
                <w:i/>
              </w:rPr>
            </m:ctrlPr>
          </m:sSubPr>
          <m:e>
            <m:r>
              <w:rPr>
                <w:rFonts w:ascii="Cambria Math" w:hAnsi="Cambria Math"/>
              </w:rPr>
              <m:t>y</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v</m:t>
            </m:r>
          </m:sub>
        </m:sSub>
      </m:oMath>
      <w:r w:rsidRPr="00AC13E7">
        <w:t xml:space="preserve"> of all mutations </w:t>
      </w:r>
      <m:oMath>
        <m:r>
          <w:rPr>
            <w:rFonts w:ascii="Cambria Math" w:hAnsi="Cambria Math"/>
          </w:rPr>
          <m:t>v</m:t>
        </m:r>
      </m:oMath>
      <w:r w:rsidRPr="00AC13E7">
        <w:t xml:space="preserve"> belonging to the cluster </w:t>
      </w:r>
      <m:oMath>
        <m:r>
          <w:rPr>
            <w:rFonts w:ascii="Cambria Math" w:hAnsi="Cambria Math"/>
          </w:rPr>
          <m:t>j.</m:t>
        </m:r>
      </m:oMath>
      <w:r w:rsidRPr="00AC13E7">
        <w:t xml:space="preserve"> As the clustering is performed using variant read counts of heterozygous SNVs, cellular prevalence </w:t>
      </w:r>
      <m:oMath>
        <m:sSubSup>
          <m:sSubSupPr>
            <m:ctrlPr>
              <w:rPr>
                <w:rFonts w:ascii="Cambria Math" w:hAnsi="Cambria Math"/>
                <w:i/>
              </w:rPr>
            </m:ctrlPr>
          </m:sSubSupPr>
          <m:e>
            <m:r>
              <w:rPr>
                <w:rFonts w:ascii="Cambria Math" w:hAnsi="Cambria Math"/>
              </w:rPr>
              <m:t>s</m:t>
            </m:r>
          </m:e>
          <m:sub>
            <m:r>
              <w:rPr>
                <w:rFonts w:ascii="Cambria Math" w:hAnsi="Cambria Math"/>
              </w:rPr>
              <m:t>j</m:t>
            </m:r>
          </m:sub>
          <m:sup>
            <m:r>
              <w:rPr>
                <w:rFonts w:ascii="Cambria Math" w:hAnsi="Cambria Math"/>
              </w:rPr>
              <m:t>*</m:t>
            </m:r>
          </m:sup>
        </m:sSubSup>
      </m:oMath>
      <w:r w:rsidRPr="00AC13E7">
        <w:t xml:space="preserve"> of subclone </w:t>
      </w:r>
      <m:oMath>
        <m:r>
          <w:rPr>
            <w:rFonts w:ascii="Cambria Math" w:hAnsi="Cambria Math"/>
          </w:rPr>
          <m:t>j</m:t>
        </m:r>
      </m:oMath>
      <w:r w:rsidRPr="00AC13E7">
        <w:t xml:space="preserve"> is obtained as </w:t>
      </w:r>
      <m:oMath>
        <m:sSubSup>
          <m:sSubSupPr>
            <m:ctrlPr>
              <w:rPr>
                <w:rFonts w:ascii="Cambria Math" w:hAnsi="Cambria Math"/>
                <w:i/>
              </w:rPr>
            </m:ctrlPr>
          </m:sSubSupPr>
          <m:e>
            <m:r>
              <w:rPr>
                <w:rFonts w:ascii="Cambria Math" w:hAnsi="Cambria Math"/>
              </w:rPr>
              <m:t>s</m:t>
            </m:r>
          </m:e>
          <m:sub>
            <m:r>
              <w:rPr>
                <w:rFonts w:ascii="Cambria Math" w:hAnsi="Cambria Math"/>
              </w:rPr>
              <m:t>j</m:t>
            </m:r>
          </m:sub>
          <m:sup>
            <m:r>
              <w:rPr>
                <w:rFonts w:ascii="Cambria Math" w:hAnsi="Cambria Math"/>
              </w:rPr>
              <m:t>*</m:t>
            </m:r>
          </m:sup>
        </m:sSubSup>
        <m:r>
          <w:rPr>
            <w:rFonts w:ascii="Cambria Math" w:hAnsi="Cambria Math"/>
          </w:rPr>
          <m:t>=2</m:t>
        </m:r>
        <m:sSub>
          <m:sSubPr>
            <m:ctrlPr>
              <w:rPr>
                <w:rFonts w:ascii="Cambria Math" w:hAnsi="Cambria Math"/>
                <w:i/>
              </w:rPr>
            </m:ctrlPr>
          </m:sSubPr>
          <m:e>
            <m:r>
              <w:rPr>
                <w:rFonts w:ascii="Cambria Math" w:hAnsi="Cambria Math"/>
              </w:rPr>
              <m:t>s</m:t>
            </m:r>
          </m:e>
          <m:sub>
            <m:r>
              <w:rPr>
                <w:rFonts w:ascii="Cambria Math" w:hAnsi="Cambria Math"/>
              </w:rPr>
              <m:t>j</m:t>
            </m:r>
          </m:sub>
        </m:sSub>
        <m:r>
          <w:rPr>
            <w:rFonts w:ascii="Cambria Math" w:hAnsi="Cambria Math"/>
          </w:rPr>
          <m:t>.</m:t>
        </m:r>
      </m:oMath>
      <w:r w:rsidRPr="00AC13E7">
        <w:t xml:space="preserve"> Given the cellular prevalence of each subclone, the purity of the sample is inferred as </w:t>
      </w:r>
      <m:oMath>
        <m:r>
          <w:rPr>
            <w:rFonts w:ascii="Cambria Math" w:hAnsi="Cambria Math"/>
          </w:rPr>
          <m:t>p=</m:t>
        </m:r>
        <m:r>
          <m:rPr>
            <m:sty m:val="p"/>
          </m:rPr>
          <w:rPr>
            <w:rFonts w:ascii="Cambria Math" w:hAnsi="Cambria Math"/>
          </w:rPr>
          <m:t>max⁡</m:t>
        </m:r>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j</m:t>
            </m:r>
          </m:sub>
          <m:sup>
            <m:r>
              <w:rPr>
                <w:rFonts w:ascii="Cambria Math" w:hAnsi="Cambria Math"/>
              </w:rPr>
              <m:t>*</m:t>
            </m:r>
          </m:sup>
        </m:sSubSup>
        <m:r>
          <w:rPr>
            <w:rFonts w:ascii="Cambria Math" w:hAnsi="Cambria Math"/>
          </w:rPr>
          <m:t>)</m:t>
        </m:r>
      </m:oMath>
      <w:r w:rsidRPr="00AC13E7">
        <w:t xml:space="preserve"> where the maximum is taken over all indices </w:t>
      </w:r>
      <m:oMath>
        <m:r>
          <w:rPr>
            <w:rFonts w:ascii="Cambria Math" w:hAnsi="Cambria Math"/>
          </w:rPr>
          <m:t>j∈</m:t>
        </m:r>
        <m:d>
          <m:dPr>
            <m:begChr m:val="{"/>
            <m:endChr m:val="}"/>
            <m:ctrlPr>
              <w:rPr>
                <w:rFonts w:ascii="Cambria Math" w:hAnsi="Cambria Math"/>
                <w:i/>
              </w:rPr>
            </m:ctrlPr>
          </m:dPr>
          <m:e>
            <m:r>
              <w:rPr>
                <w:rFonts w:ascii="Cambria Math" w:hAnsi="Cambria Math"/>
              </w:rPr>
              <m:t>1, 2,…,k</m:t>
            </m:r>
          </m:e>
        </m:d>
        <m:r>
          <w:rPr>
            <w:rFonts w:ascii="Cambria Math" w:hAnsi="Cambria Math"/>
          </w:rPr>
          <m:t>.</m:t>
        </m:r>
      </m:oMath>
      <w:r w:rsidRPr="00AC13E7">
        <w:t xml:space="preserve"> The output of the clustering step is illustrated in </w:t>
      </w:r>
      <w:r w:rsidR="008E4AAE" w:rsidRPr="00AC13E7">
        <w:fldChar w:fldCharType="begin"/>
      </w:r>
      <w:r w:rsidR="008E4AAE" w:rsidRPr="00AC13E7">
        <w:instrText xml:space="preserve"> REF _Ref379537112 \h </w:instrText>
      </w:r>
      <w:r w:rsidR="008E4AAE" w:rsidRPr="00AC13E7">
        <w:fldChar w:fldCharType="separate"/>
      </w:r>
      <w:r w:rsidR="00673FBD" w:rsidRPr="00AC13E7">
        <w:t xml:space="preserve">Fig. </w:t>
      </w:r>
      <w:r w:rsidR="00673FBD">
        <w:rPr>
          <w:noProof/>
        </w:rPr>
        <w:t>23</w:t>
      </w:r>
      <w:r w:rsidR="008E4AAE" w:rsidRPr="00AC13E7">
        <w:fldChar w:fldCharType="end"/>
      </w:r>
      <w:r w:rsidR="00ED71E1" w:rsidRPr="00AC13E7">
        <w:t xml:space="preserve"> </w:t>
      </w:r>
      <w:r w:rsidRPr="00AC13E7">
        <w:t xml:space="preserve">where mutations are merged together and their counts are shown based on the values of </w:t>
      </w:r>
      <m:oMath>
        <m:r>
          <w:rPr>
            <w:rFonts w:ascii="Cambria Math" w:hAnsi="Cambria Math"/>
          </w:rPr>
          <m:t>2</m:t>
        </m:r>
        <m:sSub>
          <m:sSubPr>
            <m:ctrlPr>
              <w:rPr>
                <w:rFonts w:ascii="Cambria Math" w:hAnsi="Cambria Math"/>
                <w:i/>
              </w:rPr>
            </m:ctrlPr>
          </m:sSubPr>
          <m:e>
            <m:r>
              <w:rPr>
                <w:rFonts w:ascii="Cambria Math" w:hAnsi="Cambria Math"/>
              </w:rPr>
              <m:t>y</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v</m:t>
            </m:r>
          </m:sub>
        </m:sSub>
      </m:oMath>
      <w:r w:rsidRPr="00AC13E7">
        <w:t xml:space="preserve"> that reflect their cellular prevalence.</w:t>
      </w:r>
    </w:p>
    <w:p w14:paraId="10C14BFF" w14:textId="77777777" w:rsidR="0030138E" w:rsidRPr="00AC13E7" w:rsidRDefault="0032764D" w:rsidP="0030138E">
      <w:pPr>
        <w:keepNext/>
        <w:jc w:val="both"/>
      </w:pPr>
      <w:bookmarkStart w:id="122" w:name="_rqcbg4hupbgy" w:colFirst="0" w:colLast="0"/>
      <w:bookmarkEnd w:id="122"/>
      <w:r w:rsidRPr="00AC13E7">
        <w:rPr>
          <w:b/>
          <w:noProof/>
          <w:lang w:eastAsia="en-GB"/>
        </w:rPr>
        <w:lastRenderedPageBreak/>
        <w:drawing>
          <wp:inline distT="0" distB="0" distL="0" distR="0" wp14:anchorId="08510095" wp14:editId="450B5FC6">
            <wp:extent cx="5266055" cy="3937000"/>
            <wp:effectExtent l="0" t="0" r="0" b="0"/>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6055" cy="3937000"/>
                    </a:xfrm>
                    <a:prstGeom prst="rect">
                      <a:avLst/>
                    </a:prstGeom>
                    <a:noFill/>
                    <a:ln>
                      <a:noFill/>
                    </a:ln>
                  </pic:spPr>
                </pic:pic>
              </a:graphicData>
            </a:graphic>
          </wp:inline>
        </w:drawing>
      </w:r>
    </w:p>
    <w:p w14:paraId="064B58A9" w14:textId="4E4B3921" w:rsidR="00E905E4" w:rsidRPr="00AC13E7" w:rsidRDefault="0030138E" w:rsidP="004916C9">
      <w:pPr>
        <w:pStyle w:val="Caption"/>
        <w:rPr>
          <w:b/>
        </w:rPr>
      </w:pPr>
      <w:bookmarkStart w:id="123" w:name="_Ref379537112"/>
      <w:bookmarkStart w:id="124" w:name="_Toc384459594"/>
      <w:r w:rsidRPr="00AC13E7">
        <w:t xml:space="preserve">Fig. </w:t>
      </w:r>
      <w:r w:rsidR="001003E9">
        <w:fldChar w:fldCharType="begin"/>
      </w:r>
      <w:r w:rsidR="001003E9">
        <w:instrText xml:space="preserve"> SEQ Fig. \* ARABIC </w:instrText>
      </w:r>
      <w:r w:rsidR="001003E9">
        <w:fldChar w:fldCharType="separate"/>
      </w:r>
      <w:r w:rsidR="00673FBD">
        <w:rPr>
          <w:noProof/>
        </w:rPr>
        <w:t>23</w:t>
      </w:r>
      <w:r w:rsidR="001003E9">
        <w:rPr>
          <w:noProof/>
        </w:rPr>
        <w:fldChar w:fldCharType="end"/>
      </w:r>
      <w:bookmarkEnd w:id="123"/>
      <w:r w:rsidRPr="00AC13E7">
        <w:t xml:space="preserve"> Barplot of CTPsingle clustering result for sample SA530652. Different colours represent different subclones. Although clustering is performed in read counts space, for the sake of visualisation, mutations are merged based on the ratios of variant and total reads shown on the x-axis and scaled to the interval [0,100]. For each integral value on the x-axis the number of mutations having the considered ratio is shown on the y-axis.</w:t>
      </w:r>
      <w:bookmarkStart w:id="125" w:name="_30zlljy6we94" w:colFirst="0" w:colLast="0"/>
      <w:bookmarkEnd w:id="124"/>
      <w:bookmarkEnd w:id="125"/>
    </w:p>
    <w:p w14:paraId="08BCCECD" w14:textId="77777777" w:rsidR="0009738F" w:rsidRPr="00AC13E7" w:rsidRDefault="0009738F" w:rsidP="009B65DB">
      <w:pPr>
        <w:pStyle w:val="Heading3"/>
        <w:jc w:val="both"/>
        <w:rPr>
          <w:rFonts w:ascii="Times New Roman" w:hAnsi="Times New Roman" w:cs="Times New Roman"/>
          <w:b w:val="0"/>
          <w:bCs/>
          <w:sz w:val="32"/>
          <w:szCs w:val="32"/>
          <w:lang w:val="en-GB"/>
        </w:rPr>
      </w:pPr>
    </w:p>
    <w:p w14:paraId="7F9049EC" w14:textId="3CDC6AFB" w:rsidR="00B467F2" w:rsidRPr="00AC13E7" w:rsidRDefault="00B467F2" w:rsidP="00AC36B1">
      <w:pPr>
        <w:pStyle w:val="Heading3"/>
        <w:rPr>
          <w:rFonts w:ascii="Times New Roman" w:hAnsi="Times New Roman" w:cs="Times New Roman"/>
          <w:b w:val="0"/>
          <w:bCs/>
          <w:sz w:val="32"/>
          <w:szCs w:val="32"/>
          <w:lang w:val="en-GB"/>
        </w:rPr>
      </w:pPr>
      <w:bookmarkStart w:id="126" w:name="_Toc499569276"/>
      <w:bookmarkStart w:id="127" w:name="_Toc499571741"/>
      <w:bookmarkStart w:id="128" w:name="_Toc499641862"/>
      <w:bookmarkStart w:id="129" w:name="_Toc391905021"/>
      <w:r w:rsidRPr="00AC13E7">
        <w:rPr>
          <w:rFonts w:ascii="Times New Roman" w:hAnsi="Times New Roman" w:cs="Times New Roman"/>
          <w:b w:val="0"/>
          <w:bCs/>
          <w:sz w:val="32"/>
          <w:szCs w:val="32"/>
          <w:lang w:val="en-GB"/>
        </w:rPr>
        <w:t>2.1.6 DPClust</w:t>
      </w:r>
      <w:bookmarkEnd w:id="126"/>
      <w:bookmarkEnd w:id="127"/>
      <w:bookmarkEnd w:id="128"/>
      <w:bookmarkEnd w:id="129"/>
    </w:p>
    <w:p w14:paraId="5D471EC0" w14:textId="79D8B437" w:rsidR="00565A51" w:rsidRPr="00AC13E7" w:rsidRDefault="00833EC4" w:rsidP="009B65DB">
      <w:pPr>
        <w:jc w:val="both"/>
        <w:rPr>
          <w:bCs/>
        </w:rPr>
      </w:pPr>
      <w:r w:rsidRPr="00AC13E7">
        <w:rPr>
          <w:bCs/>
        </w:rPr>
        <w:t xml:space="preserve">Stefan Dentro, David Wedge, </w:t>
      </w:r>
      <w:r w:rsidR="00182752" w:rsidRPr="00AC13E7">
        <w:rPr>
          <w:bCs/>
        </w:rPr>
        <w:t xml:space="preserve">Kevin Dawson, Peter Campbell, </w:t>
      </w:r>
      <w:r w:rsidRPr="00AC13E7">
        <w:rPr>
          <w:bCs/>
        </w:rPr>
        <w:t>Peter Van Loo</w:t>
      </w:r>
    </w:p>
    <w:p w14:paraId="6BEB4316" w14:textId="77777777" w:rsidR="00833EC4" w:rsidRPr="00AC13E7" w:rsidRDefault="00833EC4" w:rsidP="009B65DB">
      <w:pPr>
        <w:jc w:val="both"/>
        <w:rPr>
          <w:b/>
        </w:rPr>
      </w:pPr>
    </w:p>
    <w:p w14:paraId="067CAC37" w14:textId="77777777" w:rsidR="00092CC5" w:rsidRPr="00AC13E7" w:rsidRDefault="00092CC5" w:rsidP="009B65DB">
      <w:pPr>
        <w:jc w:val="both"/>
        <w:rPr>
          <w:b/>
        </w:rPr>
      </w:pPr>
      <w:r w:rsidRPr="00AC13E7">
        <w:rPr>
          <w:b/>
        </w:rPr>
        <w:t>Preprocessing</w:t>
      </w:r>
    </w:p>
    <w:p w14:paraId="77E75B78" w14:textId="2B141216" w:rsidR="00092CC5" w:rsidRPr="00AC13E7" w:rsidRDefault="00092CC5" w:rsidP="005A1D49">
      <w:pPr>
        <w:jc w:val="both"/>
      </w:pPr>
      <w:r w:rsidRPr="00AC13E7">
        <w:t>The DPClust pi</w:t>
      </w:r>
      <w:r w:rsidR="0009738F" w:rsidRPr="00AC13E7">
        <w:t>peline takes as input an allele-</w:t>
      </w:r>
      <w:r w:rsidRPr="00AC13E7">
        <w:t>specific (subclonal) copy number profile, a purity estimate and single nucleotide variants (SNVs) reported as chromosome, position and allele counts. The variant allele frequency (VAF) of each SNV is calculated through the reported allele counts using only the reads reporting the variant and wild-type alleles. With the VAF established</w:t>
      </w:r>
      <w:r w:rsidR="0009738F" w:rsidRPr="00AC13E7">
        <w:t>,</w:t>
      </w:r>
      <w:r w:rsidRPr="00AC13E7">
        <w:t xml:space="preserve"> we obtain an estimate of the cancer cell fraction (CCF) of each SNV in three steps: First we approximate the copy number state of the SNV, its multiplicity, through:</w:t>
      </w:r>
    </w:p>
    <w:p w14:paraId="55C6DE46" w14:textId="77777777" w:rsidR="00091178" w:rsidRPr="00AC13E7" w:rsidRDefault="00091178" w:rsidP="009B65DB">
      <w:pPr>
        <w:jc w:val="both"/>
      </w:pPr>
    </w:p>
    <w:p w14:paraId="76CF70E3" w14:textId="5CCB64CF" w:rsidR="00091178" w:rsidRPr="00AC13E7" w:rsidRDefault="0036299C" w:rsidP="009B65DB">
      <w:pPr>
        <w:jc w:val="both"/>
      </w:pPr>
      <m:oMathPara>
        <m:oMath>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i</m:t>
                  </m:r>
                </m:sub>
              </m:sSub>
            </m:num>
            <m:den>
              <m:r>
                <w:rPr>
                  <w:rFonts w:ascii="Cambria Math" w:hAnsi="Cambria Math"/>
                </w:rPr>
                <m:t>ρ</m:t>
              </m:r>
            </m:den>
          </m:f>
          <m:r>
            <w:rPr>
              <w:rFonts w:ascii="Cambria Math" w:hAnsi="Cambria Math"/>
            </w:rPr>
            <m:t xml:space="preserve"> </m:t>
          </m:r>
          <m:d>
            <m:dPr>
              <m:begChr m:val="["/>
              <m:endChr m:val="]"/>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n</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t</m:t>
                      </m:r>
                    </m:sub>
                  </m:sSub>
                </m:sub>
              </m:sSub>
              <m:r>
                <w:rPr>
                  <w:rFonts w:ascii="Cambria Math" w:hAnsi="Cambria Math"/>
                </w:rPr>
                <m:t>+</m:t>
              </m:r>
              <m:d>
                <m:dPr>
                  <m:ctrlPr>
                    <w:rPr>
                      <w:rFonts w:ascii="Cambria Math" w:hAnsi="Cambria Math"/>
                      <w:i/>
                    </w:rPr>
                  </m:ctrlPr>
                </m:dPr>
                <m:e>
                  <m:r>
                    <w:rPr>
                      <w:rFonts w:ascii="Cambria Math" w:hAnsi="Cambria Math"/>
                    </w:rPr>
                    <m:t>1-ρ</m:t>
                  </m:r>
                </m:e>
              </m:d>
              <m:sSub>
                <m:sSubPr>
                  <m:ctrlPr>
                    <w:rPr>
                      <w:rFonts w:ascii="Cambria Math" w:hAnsi="Cambria Math"/>
                      <w:i/>
                    </w:rPr>
                  </m:ctrlPr>
                </m:sSubPr>
                <m:e>
                  <m:r>
                    <w:rPr>
                      <w:rFonts w:ascii="Cambria Math" w:hAnsi="Cambria Math"/>
                    </w:rPr>
                    <m:t>n</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n</m:t>
                      </m:r>
                    </m:sub>
                  </m:sSub>
                </m:sub>
              </m:sSub>
            </m:e>
          </m:d>
        </m:oMath>
      </m:oMathPara>
    </w:p>
    <w:p w14:paraId="01AD1238" w14:textId="7621CA28" w:rsidR="00092CC5" w:rsidRPr="00AC13E7" w:rsidRDefault="00092CC5" w:rsidP="009B65DB">
      <w:pPr>
        <w:jc w:val="both"/>
      </w:pPr>
    </w:p>
    <w:p w14:paraId="67A09920" w14:textId="735BB47F" w:rsidR="00092CC5" w:rsidRPr="00AC13E7" w:rsidRDefault="00092CC5" w:rsidP="009B65DB">
      <w:pPr>
        <w:jc w:val="both"/>
      </w:pPr>
      <w:r w:rsidRPr="00AC13E7">
        <w:t xml:space="preserve">Where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sidRPr="00AC13E7">
        <w:t xml:space="preserve"> is the VAF of SNV </w:t>
      </w:r>
      <m:oMath>
        <m:r>
          <w:rPr>
            <w:rFonts w:ascii="Cambria Math" w:hAnsi="Cambria Math"/>
          </w:rPr>
          <m:t>i</m:t>
        </m:r>
      </m:oMath>
      <w:r w:rsidRPr="00AC13E7">
        <w:t xml:space="preserve">, </w:t>
      </w:r>
      <m:oMath>
        <m:r>
          <w:rPr>
            <w:rFonts w:ascii="Cambria Math" w:hAnsi="Cambria Math"/>
          </w:rPr>
          <m:t>ρ</m:t>
        </m:r>
      </m:oMath>
      <w:r w:rsidRPr="00AC13E7">
        <w:t xml:space="preserve"> represents the tumour purity and </w:t>
      </w:r>
      <m:oMath>
        <m:sSub>
          <m:sSubPr>
            <m:ctrlPr>
              <w:rPr>
                <w:rFonts w:ascii="Cambria Math" w:hAnsi="Cambria Math"/>
                <w:i/>
              </w:rPr>
            </m:ctrlPr>
          </m:sSubPr>
          <m:e>
            <m:r>
              <w:rPr>
                <w:rFonts w:ascii="Cambria Math" w:hAnsi="Cambria Math"/>
              </w:rPr>
              <m:t>n</m:t>
            </m:r>
          </m:e>
          <m:sub>
            <m:r>
              <w:rPr>
                <w:rFonts w:ascii="Cambria Math" w:hAnsi="Cambria Math"/>
              </w:rPr>
              <m:t>tot_t</m:t>
            </m:r>
          </m:sub>
        </m:sSub>
      </m:oMath>
      <w:r w:rsidRPr="00AC13E7">
        <w:t xml:space="preserve"> and </w:t>
      </w:r>
      <m:oMath>
        <m:sSub>
          <m:sSubPr>
            <m:ctrlPr>
              <w:rPr>
                <w:rFonts w:ascii="Cambria Math" w:hAnsi="Cambria Math"/>
                <w:i/>
              </w:rPr>
            </m:ctrlPr>
          </m:sSubPr>
          <m:e>
            <m:r>
              <w:rPr>
                <w:rFonts w:ascii="Cambria Math" w:hAnsi="Cambria Math"/>
              </w:rPr>
              <m:t>n</m:t>
            </m:r>
          </m:e>
          <m:sub>
            <m:r>
              <w:rPr>
                <w:rFonts w:ascii="Cambria Math" w:hAnsi="Cambria Math"/>
              </w:rPr>
              <m:t>tot_n</m:t>
            </m:r>
          </m:sub>
        </m:sSub>
      </m:oMath>
      <w:r w:rsidRPr="00AC13E7">
        <w:t xml:space="preserve"> is the total copy number at the locus of SNV </w:t>
      </w:r>
      <m:oMath>
        <m:r>
          <w:rPr>
            <w:rFonts w:ascii="Cambria Math" w:hAnsi="Cambria Math"/>
          </w:rPr>
          <m:t>i</m:t>
        </m:r>
      </m:oMath>
      <w:r w:rsidRPr="00AC13E7">
        <w:t xml:space="preserve"> in tumour and normal cells respectively. The multiplicity is established by rounding the approximate mutation copy number state </w:t>
      </w:r>
      <m:oMath>
        <m:sSub>
          <m:sSubPr>
            <m:ctrlPr>
              <w:rPr>
                <w:rFonts w:ascii="Cambria Math" w:hAnsi="Cambria Math"/>
                <w:i/>
              </w:rPr>
            </m:ctrlPr>
          </m:sSubPr>
          <m:e>
            <m:r>
              <w:rPr>
                <w:rFonts w:ascii="Cambria Math" w:hAnsi="Cambria Math"/>
              </w:rPr>
              <m:t>u</m:t>
            </m:r>
          </m:e>
          <m:sub>
            <m:r>
              <w:rPr>
                <w:rFonts w:ascii="Cambria Math" w:hAnsi="Cambria Math"/>
              </w:rPr>
              <m:t>i</m:t>
            </m:r>
          </m:sub>
        </m:sSub>
      </m:oMath>
      <w:r w:rsidRPr="00AC13E7">
        <w:t>:</w:t>
      </w:r>
    </w:p>
    <w:p w14:paraId="71610FB3" w14:textId="3A76D3EF" w:rsidR="00091178" w:rsidRPr="00AC13E7" w:rsidRDefault="0036299C" w:rsidP="009B65DB">
      <w:pPr>
        <w:jc w:val="both"/>
      </w:pPr>
      <m:oMathPara>
        <m:oMath>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1,  &amp;</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&lt;1</m:t>
                  </m:r>
                </m:e>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i</m:t>
                          </m:r>
                        </m:sub>
                      </m:sSub>
                    </m:e>
                  </m:d>
                  <m:r>
                    <w:rPr>
                      <w:rFonts w:ascii="Cambria Math" w:hAnsi="Cambria Math"/>
                    </w:rPr>
                    <m:t>,  &amp;</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≥1</m:t>
                  </m:r>
                </m:e>
              </m:eqArr>
            </m:e>
          </m:d>
        </m:oMath>
      </m:oMathPara>
    </w:p>
    <w:p w14:paraId="171F55F8" w14:textId="506A246F" w:rsidR="00092CC5" w:rsidRPr="00AC13E7" w:rsidRDefault="00092CC5" w:rsidP="009B65DB">
      <w:pPr>
        <w:jc w:val="both"/>
      </w:pPr>
    </w:p>
    <w:p w14:paraId="2831C072" w14:textId="77777777" w:rsidR="00092CC5" w:rsidRPr="00AC13E7" w:rsidRDefault="00092CC5" w:rsidP="009B65DB">
      <w:pPr>
        <w:jc w:val="both"/>
      </w:pPr>
      <w:r w:rsidRPr="00AC13E7">
        <w:t xml:space="preserve">Finally, the CCF estimate of each SNV is obtained through </w:t>
      </w:r>
    </w:p>
    <w:p w14:paraId="3EFF046D" w14:textId="77777777" w:rsidR="00091178" w:rsidRPr="00AC13E7" w:rsidRDefault="00091178" w:rsidP="009B65DB">
      <w:pPr>
        <w:jc w:val="both"/>
      </w:pPr>
    </w:p>
    <w:p w14:paraId="17B0957B" w14:textId="595F7C88" w:rsidR="00092CC5" w:rsidRPr="00AC13E7" w:rsidRDefault="0032764D" w:rsidP="009B65DB">
      <w:pPr>
        <w:jc w:val="both"/>
      </w:pPr>
      <m:oMathPara>
        <m:oMath>
          <m:r>
            <w:rPr>
              <w:rFonts w:ascii="Cambria Math" w:hAnsi="Cambria Math"/>
            </w:rPr>
            <m:t>CC</m:t>
          </m:r>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i</m:t>
                  </m:r>
                </m:sub>
              </m:sSub>
            </m:num>
            <m:den>
              <m:sSub>
                <m:sSubPr>
                  <m:ctrlPr>
                    <w:rPr>
                      <w:rFonts w:ascii="Cambria Math" w:hAnsi="Cambria Math"/>
                      <w:i/>
                    </w:rPr>
                  </m:ctrlPr>
                </m:sSubPr>
                <m:e>
                  <m:r>
                    <w:rPr>
                      <w:rFonts w:ascii="Cambria Math" w:hAnsi="Cambria Math"/>
                    </w:rPr>
                    <m:t>m</m:t>
                  </m:r>
                </m:e>
                <m:sub>
                  <m:r>
                    <w:rPr>
                      <w:rFonts w:ascii="Cambria Math" w:hAnsi="Cambria Math"/>
                    </w:rPr>
                    <m:t>i</m:t>
                  </m:r>
                </m:sub>
              </m:sSub>
            </m:den>
          </m:f>
        </m:oMath>
      </m:oMathPara>
    </w:p>
    <w:p w14:paraId="4270DB8B" w14:textId="77777777" w:rsidR="00092CC5" w:rsidRPr="00AC13E7" w:rsidRDefault="00092CC5" w:rsidP="009B65DB">
      <w:pPr>
        <w:jc w:val="both"/>
      </w:pPr>
    </w:p>
    <w:p w14:paraId="6C634EC5" w14:textId="77777777" w:rsidR="00092CC5" w:rsidRPr="00AC13E7" w:rsidRDefault="00092CC5" w:rsidP="009B65DB">
      <w:pPr>
        <w:jc w:val="both"/>
        <w:rPr>
          <w:b/>
        </w:rPr>
      </w:pPr>
      <w:r w:rsidRPr="00AC13E7">
        <w:rPr>
          <w:b/>
        </w:rPr>
        <w:t>Algorithm</w:t>
      </w:r>
    </w:p>
    <w:p w14:paraId="38D1D986" w14:textId="7E481756" w:rsidR="00092CC5" w:rsidRPr="00AC13E7" w:rsidRDefault="00092CC5" w:rsidP="00D86E26">
      <w:pPr>
        <w:jc w:val="both"/>
      </w:pPr>
      <w:r w:rsidRPr="00AC13E7">
        <w:t>DPClust is based on a Dirichlet Process (DP) that models the SNVs as drawn from a statistical distribution that consists of an unknown number of distributions. A posterior estimate of the number of internal distributions is obtained through Markov Chain Monte Carlo (MCMC) using stick-breaking. To account for read sampling variation on the number of observed reads</w:t>
      </w:r>
      <w:r w:rsidR="0009738F" w:rsidRPr="00AC13E7">
        <w:t>,</w:t>
      </w:r>
      <w:r w:rsidR="00684E86" w:rsidRPr="00AC13E7">
        <w:t xml:space="preserve"> </w:t>
      </w:r>
      <w:r w:rsidRPr="00AC13E7">
        <w:t>each variant is modelled as a draw from a binomial distribution. A description of the algorithm</w:t>
      </w:r>
      <w:r w:rsidR="00535F21" w:rsidRPr="00AC13E7">
        <w:t>’</w:t>
      </w:r>
      <w:r w:rsidRPr="00AC13E7">
        <w:t xml:space="preserve">s characteristics is provided in Bolli </w:t>
      </w:r>
      <w:r w:rsidRPr="00AC13E7">
        <w:rPr>
          <w:i/>
        </w:rPr>
        <w:t>et al</w:t>
      </w:r>
      <w:r w:rsidRPr="00AC13E7">
        <w:t>.</w:t>
      </w:r>
      <w:r w:rsidR="00BF7393" w:rsidRPr="00AC13E7">
        <w:t xml:space="preserve"> (</w:t>
      </w:r>
      <w:r w:rsidRPr="00AC13E7">
        <w:t>2014</w:t>
      </w:r>
      <w:r w:rsidR="00BF7393" w:rsidRPr="00AC13E7">
        <w:t>)</w:t>
      </w:r>
      <w:r w:rsidR="00FF3CBE" w:rsidRPr="00AC13E7">
        <w:fldChar w:fldCharType="begin">
          <w:fldData xml:space="preserve">PEVuZE5vdGU+PENpdGU+PEF1dGhvcj5Cb2xsaTwvQXV0aG9yPjxZZWFyPjIwMTQ8L1llYXI+PFJl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=
</w:fldData>
        </w:fldChar>
      </w:r>
      <w:r w:rsidR="00D86E26">
        <w:instrText xml:space="preserve"> ADDIN EN.CITE </w:instrText>
      </w:r>
      <w:r w:rsidR="00D86E26">
        <w:fldChar w:fldCharType="begin">
          <w:fldData xml:space="preserve">PEVuZE5vdGU+PENpdGU+PEF1dGhvcj5Cb2xsaTwvQXV0aG9yPjxZZWFyPjIwMTQ8L1llYXI+PFJl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=
</w:fldData>
        </w:fldChar>
      </w:r>
      <w:r w:rsidR="00D86E26">
        <w:instrText xml:space="preserve"> ADDIN EN.CITE.DATA </w:instrText>
      </w:r>
      <w:r w:rsidR="00D86E26">
        <w:fldChar w:fldCharType="end"/>
      </w:r>
      <w:r w:rsidR="00FF3CBE" w:rsidRPr="00AC13E7">
        <w:fldChar w:fldCharType="separate"/>
      </w:r>
      <w:r w:rsidR="00D86E26" w:rsidRPr="00D86E26">
        <w:rPr>
          <w:noProof/>
          <w:vertAlign w:val="superscript"/>
        </w:rPr>
        <w:t>34</w:t>
      </w:r>
      <w:r w:rsidR="00FF3CBE" w:rsidRPr="00AC13E7">
        <w:fldChar w:fldCharType="end"/>
      </w:r>
      <w:r w:rsidRPr="00AC13E7">
        <w:t>.</w:t>
      </w:r>
    </w:p>
    <w:p w14:paraId="2814D660" w14:textId="77777777" w:rsidR="00092CC5" w:rsidRPr="00AC13E7" w:rsidRDefault="00092CC5" w:rsidP="009B65DB">
      <w:pPr>
        <w:jc w:val="both"/>
      </w:pPr>
    </w:p>
    <w:p w14:paraId="6592AA31" w14:textId="77777777" w:rsidR="00092CC5" w:rsidRPr="00AC13E7" w:rsidRDefault="00092CC5" w:rsidP="009B65DB">
      <w:pPr>
        <w:jc w:val="both"/>
        <w:rPr>
          <w:b/>
        </w:rPr>
      </w:pPr>
      <w:r w:rsidRPr="00AC13E7">
        <w:rPr>
          <w:b/>
        </w:rPr>
        <w:t>Postprocessing</w:t>
      </w:r>
    </w:p>
    <w:p w14:paraId="469802B3" w14:textId="5F07EBDB" w:rsidR="00092CC5" w:rsidRPr="00AC13E7" w:rsidRDefault="00092CC5" w:rsidP="00034B29">
      <w:pPr>
        <w:jc w:val="both"/>
      </w:pPr>
      <w:r w:rsidRPr="00AC13E7">
        <w:t>After completing the MCMC iterations</w:t>
      </w:r>
      <w:r w:rsidR="0009738F" w:rsidRPr="00AC13E7">
        <w:t>,</w:t>
      </w:r>
      <w:r w:rsidRPr="00AC13E7">
        <w:t xml:space="preserve"> we aim to obtain three estimates: (1) An estimate of the finite number of distributions (cell populations), </w:t>
      </w:r>
      <w:r w:rsidRPr="00AC13E7">
        <w:rPr>
          <w:i/>
        </w:rPr>
        <w:t>K</w:t>
      </w:r>
      <w:r w:rsidRPr="00AC13E7">
        <w:t>, that are present in the input data, (2) the proportion of tumour cells that each population consists of (</w:t>
      </w:r>
      <m:oMath>
        <m:r>
          <w:rPr>
            <w:rFonts w:ascii="Cambria Math" w:hAnsi="Cambria Math"/>
          </w:rPr>
          <m:t>CC</m:t>
        </m:r>
        <m:sSub>
          <m:sSubPr>
            <m:ctrlPr>
              <w:rPr>
                <w:rFonts w:ascii="Cambria Math" w:hAnsi="Cambria Math"/>
                <w:i/>
              </w:rPr>
            </m:ctrlPr>
          </m:sSubPr>
          <m:e>
            <m:r>
              <w:rPr>
                <w:rFonts w:ascii="Cambria Math" w:hAnsi="Cambria Math"/>
              </w:rPr>
              <m:t>F</m:t>
            </m:r>
          </m:e>
          <m:sub>
            <m:r>
              <w:rPr>
                <w:rFonts w:ascii="Cambria Math" w:hAnsi="Cambria Math"/>
              </w:rPr>
              <m:t>k</m:t>
            </m:r>
          </m:sub>
        </m:sSub>
      </m:oMath>
      <w:r w:rsidRPr="00AC13E7">
        <w:t xml:space="preserve">) and (3) likelihoods of each SNV belonging to each population. The number of cell populations </w:t>
      </w:r>
      <w:r w:rsidRPr="00AC13E7">
        <w:rPr>
          <w:i/>
          <w:iCs/>
        </w:rPr>
        <w:t>K</w:t>
      </w:r>
      <w:r w:rsidRPr="00AC13E7">
        <w:t xml:space="preserve"> is determined by finding peaks in the posterior weight density (</w:t>
      </w:r>
      <w:r w:rsidR="008E4AAE" w:rsidRPr="00AC13E7">
        <w:fldChar w:fldCharType="begin"/>
      </w:r>
      <w:r w:rsidR="008E4AAE" w:rsidRPr="00AC13E7">
        <w:instrText xml:space="preserve"> REF _Ref379537135 \h </w:instrText>
      </w:r>
      <w:r w:rsidR="008E4AAE" w:rsidRPr="00AC13E7">
        <w:fldChar w:fldCharType="separate"/>
      </w:r>
      <w:r w:rsidR="00673FBD" w:rsidRPr="00AC13E7">
        <w:t xml:space="preserve">Fig. </w:t>
      </w:r>
      <w:r w:rsidR="00673FBD">
        <w:rPr>
          <w:noProof/>
        </w:rPr>
        <w:t>24</w:t>
      </w:r>
      <w:r w:rsidR="008E4AAE" w:rsidRPr="00AC13E7">
        <w:fldChar w:fldCharType="end"/>
      </w:r>
      <w:r w:rsidRPr="00AC13E7">
        <w:t xml:space="preserve">). In each iteration </w:t>
      </w:r>
      <w:r w:rsidRPr="00AC13E7">
        <w:rPr>
          <w:i/>
        </w:rPr>
        <w:t>j</w:t>
      </w:r>
      <w:r w:rsidR="0009738F" w:rsidRPr="00AC13E7">
        <w:t xml:space="preserve">, </w:t>
      </w:r>
      <w:r w:rsidRPr="00AC13E7">
        <w:t xml:space="preserve">the stick-breaking procedure assigns a weight </w:t>
      </w:r>
      <m:oMath>
        <m:sSub>
          <m:sSubPr>
            <m:ctrlPr>
              <w:rPr>
                <w:rFonts w:ascii="Cambria Math" w:hAnsi="Cambria Math"/>
                <w:i/>
              </w:rPr>
            </m:ctrlPr>
          </m:sSubPr>
          <m:e>
            <m:r>
              <w:rPr>
                <w:rFonts w:ascii="Cambria Math" w:hAnsi="Cambria Math"/>
              </w:rPr>
              <m:t>ω</m:t>
            </m:r>
          </m:e>
          <m:sub>
            <m:r>
              <w:rPr>
                <w:rFonts w:ascii="Cambria Math" w:hAnsi="Cambria Math"/>
              </w:rPr>
              <m:t>k_j</m:t>
            </m:r>
          </m:sub>
        </m:sSub>
      </m:oMath>
      <w:r w:rsidRPr="00AC13E7">
        <w:t xml:space="preserve"> to each cluster that represents its size and the cluster has a </w:t>
      </w:r>
      <m:oMath>
        <m:r>
          <w:rPr>
            <w:rFonts w:ascii="Cambria Math" w:hAnsi="Cambria Math"/>
          </w:rPr>
          <m:t>CC</m:t>
        </m:r>
        <m:sSub>
          <m:sSubPr>
            <m:ctrlPr>
              <w:rPr>
                <w:rFonts w:ascii="Cambria Math" w:hAnsi="Cambria Math"/>
                <w:i/>
              </w:rPr>
            </m:ctrlPr>
          </m:sSubPr>
          <m:e>
            <m:r>
              <w:rPr>
                <w:rFonts w:ascii="Cambria Math" w:hAnsi="Cambria Math"/>
              </w:rPr>
              <m:t>F</m:t>
            </m:r>
          </m:e>
          <m:sub>
            <m:r>
              <w:rPr>
                <w:rFonts w:ascii="Cambria Math" w:hAnsi="Cambria Math"/>
              </w:rPr>
              <m:t>k_j</m:t>
            </m:r>
          </m:sub>
        </m:sSub>
      </m:oMath>
      <w:r w:rsidRPr="00AC13E7">
        <w:t>. Over many iterations</w:t>
      </w:r>
      <w:r w:rsidR="0009738F" w:rsidRPr="00AC13E7">
        <w:t>,</w:t>
      </w:r>
      <w:r w:rsidRPr="00AC13E7">
        <w:t xml:space="preserve"> weight accumulates in the CCF space, where a large amount of weight corresponds to a high likelihood of the existence of a mutation cluster. We then obtain an estimate of </w:t>
      </w:r>
      <w:r w:rsidRPr="00AC13E7">
        <w:rPr>
          <w:i/>
        </w:rPr>
        <w:t>K</w:t>
      </w:r>
      <w:r w:rsidRPr="00AC13E7">
        <w:t xml:space="preserve"> by obtaining all local maxima in the weight density.</w:t>
      </w:r>
    </w:p>
    <w:p w14:paraId="50AC7241" w14:textId="32E7968A" w:rsidR="00092CC5" w:rsidRPr="00AC13E7" w:rsidRDefault="00092CC5" w:rsidP="009B65DB">
      <w:pPr>
        <w:jc w:val="both"/>
      </w:pPr>
      <w:r w:rsidRPr="00AC13E7">
        <w:t xml:space="preserve">With the </w:t>
      </w:r>
      <w:r w:rsidRPr="00AC13E7">
        <w:rPr>
          <w:i/>
        </w:rPr>
        <w:t>K</w:t>
      </w:r>
      <w:r w:rsidRPr="00AC13E7">
        <w:t xml:space="preserve"> clusters and their locations (</w:t>
      </w:r>
      <m:oMath>
        <m:r>
          <w:rPr>
            <w:rFonts w:ascii="Cambria Math" w:hAnsi="Cambria Math"/>
          </w:rPr>
          <m:t>CC</m:t>
        </m:r>
        <m:sSub>
          <m:sSubPr>
            <m:ctrlPr>
              <w:rPr>
                <w:rFonts w:ascii="Cambria Math" w:hAnsi="Cambria Math"/>
                <w:i/>
              </w:rPr>
            </m:ctrlPr>
          </m:sSubPr>
          <m:e>
            <m:r>
              <w:rPr>
                <w:rFonts w:ascii="Cambria Math" w:hAnsi="Cambria Math"/>
              </w:rPr>
              <m:t>F</m:t>
            </m:r>
          </m:e>
          <m:sub>
            <m:r>
              <w:rPr>
                <w:rFonts w:ascii="Cambria Math" w:hAnsi="Cambria Math"/>
              </w:rPr>
              <m:t>k</m:t>
            </m:r>
          </m:sub>
        </m:sSub>
      </m:oMath>
      <w:r w:rsidRPr="00AC13E7">
        <w:t xml:space="preserve">) established, SNVs can be assigned to clusters. </w:t>
      </w:r>
      <w:r w:rsidR="0009738F" w:rsidRPr="00AC13E7">
        <w:t xml:space="preserve">We first establish the CCF area </w:t>
      </w:r>
      <w:r w:rsidRPr="00AC13E7">
        <w:t xml:space="preserve">covered by each </w:t>
      </w:r>
      <m:oMath>
        <m:r>
          <w:rPr>
            <w:rFonts w:ascii="Cambria Math" w:hAnsi="Cambria Math"/>
          </w:rPr>
          <m:t>k∈K</m:t>
        </m:r>
      </m:oMath>
      <w:r w:rsidRPr="00AC13E7">
        <w:t xml:space="preserve"> by finding the CCF location between each pair of neighbouring clusters that corresponds to the minimum density. The minimum density on either side of a cluster represents its upper and lower CCF bound. Probabilities of a mutation belonging to a cluster are then established by accounting how often a SNV would have been assigned to each </w:t>
      </w:r>
      <w:r w:rsidRPr="00AC13E7">
        <w:rPr>
          <w:i/>
        </w:rPr>
        <w:t xml:space="preserve">k </w:t>
      </w:r>
      <w:r w:rsidRPr="00AC13E7">
        <w:t>throughout the MCMC iterations. Finally, small clusters are removed: Clusters smaller than 1% of total mutations in tumours with fewer than 150 SNVs and clusters with fewer than 30 SNVs otherwise.</w:t>
      </w:r>
    </w:p>
    <w:p w14:paraId="7EA345F3" w14:textId="77777777" w:rsidR="00092CC5" w:rsidRPr="00AC13E7" w:rsidRDefault="00092CC5" w:rsidP="009B65DB">
      <w:pPr>
        <w:jc w:val="both"/>
      </w:pPr>
    </w:p>
    <w:p w14:paraId="02A810AB" w14:textId="77777777" w:rsidR="00092CC5" w:rsidRPr="00AC13E7" w:rsidRDefault="00092CC5" w:rsidP="009B65DB">
      <w:pPr>
        <w:jc w:val="both"/>
      </w:pPr>
    </w:p>
    <w:p w14:paraId="29C0C579" w14:textId="77777777" w:rsidR="0030138E" w:rsidRPr="00AC13E7" w:rsidRDefault="0032764D" w:rsidP="0030138E">
      <w:pPr>
        <w:keepNext/>
        <w:jc w:val="center"/>
      </w:pPr>
      <w:r w:rsidRPr="00AC13E7">
        <w:rPr>
          <w:noProof/>
          <w:lang w:eastAsia="en-GB"/>
        </w:rPr>
        <w:lastRenderedPageBreak/>
        <w:drawing>
          <wp:inline distT="0" distB="0" distL="0" distR="0" wp14:anchorId="0BB4E2AD" wp14:editId="0A977173">
            <wp:extent cx="3937000" cy="2506345"/>
            <wp:effectExtent l="0" t="0" r="0" b="8255"/>
            <wp:docPr id="214" name="Picture 31" descr="figures/Picture_d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ures/Picture_dpc.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37000" cy="2506345"/>
                    </a:xfrm>
                    <a:prstGeom prst="rect">
                      <a:avLst/>
                    </a:prstGeom>
                    <a:noFill/>
                    <a:ln>
                      <a:noFill/>
                    </a:ln>
                  </pic:spPr>
                </pic:pic>
              </a:graphicData>
            </a:graphic>
          </wp:inline>
        </w:drawing>
      </w:r>
    </w:p>
    <w:p w14:paraId="1C9BD50E" w14:textId="77777777" w:rsidR="00F66A55" w:rsidRPr="00AC13E7" w:rsidRDefault="00F66A55" w:rsidP="0030138E">
      <w:pPr>
        <w:keepNext/>
        <w:jc w:val="center"/>
      </w:pPr>
    </w:p>
    <w:p w14:paraId="4DA9AF14" w14:textId="2EC89801" w:rsidR="00EF17AF" w:rsidRPr="00AC13E7" w:rsidRDefault="0030138E" w:rsidP="004916C9">
      <w:pPr>
        <w:pStyle w:val="Caption"/>
      </w:pPr>
      <w:bookmarkStart w:id="130" w:name="_Ref379537135"/>
      <w:bookmarkStart w:id="131" w:name="_Toc384459595"/>
      <w:r w:rsidRPr="00AC13E7">
        <w:t xml:space="preserve">Fig. </w:t>
      </w:r>
      <w:r w:rsidR="001003E9">
        <w:fldChar w:fldCharType="begin"/>
      </w:r>
      <w:r w:rsidR="001003E9">
        <w:instrText xml:space="preserve"> SEQ Fig. \* ARABIC </w:instrText>
      </w:r>
      <w:r w:rsidR="001003E9">
        <w:fldChar w:fldCharType="separate"/>
      </w:r>
      <w:r w:rsidR="00673FBD">
        <w:rPr>
          <w:noProof/>
        </w:rPr>
        <w:t>24</w:t>
      </w:r>
      <w:r w:rsidR="001003E9">
        <w:rPr>
          <w:noProof/>
        </w:rPr>
        <w:fldChar w:fldCharType="end"/>
      </w:r>
      <w:bookmarkEnd w:id="130"/>
      <w:r w:rsidRPr="00AC13E7">
        <w:t xml:space="preserve"> Posterior density (purple) and confidence interval (cyan) of cluster locations in cancer cell fraction (CCF) space for sample SA518422. The number of mutation clusters is obtained by finding peaks in the density. The peak at CCF=1 represents the clonal SNVs carried by all tumour cells, the other two peaks represent two subclones.</w:t>
      </w:r>
      <w:bookmarkEnd w:id="131"/>
    </w:p>
    <w:p w14:paraId="4800810A" w14:textId="77777777" w:rsidR="0009738F" w:rsidRPr="00AC13E7" w:rsidRDefault="0009738F" w:rsidP="00B467F2">
      <w:pPr>
        <w:pStyle w:val="Heading3"/>
        <w:rPr>
          <w:rFonts w:ascii="Times New Roman" w:hAnsi="Times New Roman" w:cs="Times New Roman"/>
          <w:b w:val="0"/>
          <w:bCs/>
          <w:sz w:val="32"/>
          <w:szCs w:val="32"/>
          <w:lang w:val="en-GB"/>
        </w:rPr>
      </w:pPr>
    </w:p>
    <w:p w14:paraId="54917451" w14:textId="594ED0A9" w:rsidR="00B467F2" w:rsidRPr="00AC13E7" w:rsidRDefault="00B467F2" w:rsidP="00B467F2">
      <w:pPr>
        <w:pStyle w:val="Heading3"/>
        <w:rPr>
          <w:rFonts w:ascii="Times New Roman" w:hAnsi="Times New Roman" w:cs="Times New Roman"/>
          <w:b w:val="0"/>
          <w:bCs/>
          <w:sz w:val="32"/>
          <w:szCs w:val="32"/>
          <w:lang w:val="en-GB"/>
        </w:rPr>
      </w:pPr>
      <w:bookmarkStart w:id="132" w:name="_Toc499569277"/>
      <w:bookmarkStart w:id="133" w:name="_Toc499571742"/>
      <w:bookmarkStart w:id="134" w:name="_Toc499641863"/>
      <w:bookmarkStart w:id="135" w:name="_Toc391905022"/>
      <w:r w:rsidRPr="00AC13E7">
        <w:rPr>
          <w:rFonts w:ascii="Times New Roman" w:hAnsi="Times New Roman" w:cs="Times New Roman"/>
          <w:b w:val="0"/>
          <w:bCs/>
          <w:sz w:val="32"/>
          <w:szCs w:val="32"/>
          <w:lang w:val="en-GB"/>
        </w:rPr>
        <w:t>2.1.7 Phylogic</w:t>
      </w:r>
      <w:bookmarkEnd w:id="132"/>
      <w:bookmarkEnd w:id="133"/>
      <w:bookmarkEnd w:id="134"/>
      <w:r w:rsidR="002A63F9" w:rsidRPr="00AC13E7">
        <w:rPr>
          <w:rFonts w:ascii="Times New Roman" w:hAnsi="Times New Roman" w:cs="Times New Roman"/>
          <w:b w:val="0"/>
          <w:bCs/>
          <w:sz w:val="32"/>
          <w:szCs w:val="32"/>
          <w:lang w:val="en-GB"/>
        </w:rPr>
        <w:t>NDT</w:t>
      </w:r>
      <w:bookmarkEnd w:id="135"/>
    </w:p>
    <w:p w14:paraId="50C5439E" w14:textId="77777777" w:rsidR="002B7C50" w:rsidRPr="00AC13E7" w:rsidRDefault="002B7C50" w:rsidP="002B7C50">
      <w:pPr>
        <w:jc w:val="both"/>
      </w:pPr>
      <w:r w:rsidRPr="00AC13E7">
        <w:t>Ignaty Leshchiner, Dimitri Livitz, Daniel Rosebrock, Gad Getz</w:t>
      </w:r>
    </w:p>
    <w:p w14:paraId="0D0BF5D8" w14:textId="77777777" w:rsidR="00492E26" w:rsidRPr="00AC13E7" w:rsidRDefault="00492E26" w:rsidP="0056518D">
      <w:pPr>
        <w:jc w:val="both"/>
      </w:pPr>
    </w:p>
    <w:p w14:paraId="4D5C8C8A" w14:textId="2B5E0055" w:rsidR="001D1477" w:rsidRPr="00AC13E7" w:rsidRDefault="003E1502" w:rsidP="0056518D">
      <w:pPr>
        <w:jc w:val="both"/>
      </w:pPr>
      <w:r w:rsidRPr="00AC13E7">
        <w:t xml:space="preserve">ABSOLUTE </w:t>
      </w:r>
      <w:r w:rsidR="001D1477" w:rsidRPr="00AC13E7">
        <w:t>computes a probability distribution for the cancer cell fraction (CCF) of every mutation</w:t>
      </w:r>
      <w:r w:rsidRPr="00AC13E7">
        <w:t xml:space="preserve"> (independently)</w:t>
      </w:r>
      <w:r w:rsidR="001D1477" w:rsidRPr="00AC13E7">
        <w:t xml:space="preserve">. These distributions factor in sample purity and local absolute copy number. </w:t>
      </w:r>
    </w:p>
    <w:p w14:paraId="72887547" w14:textId="77777777" w:rsidR="001D1477" w:rsidRPr="00AC13E7" w:rsidRDefault="001D1477" w:rsidP="0056518D">
      <w:pPr>
        <w:jc w:val="both"/>
      </w:pPr>
    </w:p>
    <w:p w14:paraId="78081B40" w14:textId="72D1700A" w:rsidR="001D1477" w:rsidRPr="00AC13E7" w:rsidRDefault="001D1477" w:rsidP="00D86E26">
      <w:pPr>
        <w:jc w:val="both"/>
      </w:pPr>
      <w:r w:rsidRPr="00AC13E7">
        <w:t>Phylogic</w:t>
      </w:r>
      <w:r w:rsidR="002A63F9" w:rsidRPr="00AC13E7">
        <w:t>NDT</w:t>
      </w:r>
      <w:r w:rsidRPr="00AC13E7">
        <w:t xml:space="preserve"> utilizes called somatic variants and absolute copy number to perform Dirichlet Process clustering on the calculated CCF of the somatic variants</w:t>
      </w:r>
      <w:r w:rsidR="00B72A2D" w:rsidRPr="00AC13E7">
        <w:t xml:space="preserve"> </w:t>
      </w:r>
      <w:r w:rsidRPr="00AC13E7">
        <w:t>in order to learn the underlying number of clusters from the data</w:t>
      </w:r>
      <w:r w:rsidR="002D5656" w:rsidRPr="00AC13E7">
        <w:fldChar w:fldCharType="begin">
          <w:fldData xml:space="preserve">PEVuZE5vdGU+PENpdGU+PEF1dGhvcj5MYW5kYXU8L0F1dGhvcj48WWVhcj4yMDEzPC9ZZWFyPjxS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</w:fldData>
        </w:fldChar>
      </w:r>
      <w:r w:rsidR="00D86E26">
        <w:instrText xml:space="preserve"> ADDIN EN.CITE </w:instrText>
      </w:r>
      <w:r w:rsidR="00D86E26">
        <w:fldChar w:fldCharType="begin">
          <w:fldData xml:space="preserve">PEVuZE5vdGU+PENpdGU+PEF1dGhvcj5MYW5kYXU8L0F1dGhvcj48WWVhcj4yMDEzPC9ZZWFyPjxS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</w:fldData>
        </w:fldChar>
      </w:r>
      <w:r w:rsidR="00D86E26">
        <w:instrText xml:space="preserve"> ADDIN EN.CITE.DATA </w:instrText>
      </w:r>
      <w:r w:rsidR="00D86E26">
        <w:fldChar w:fldCharType="end"/>
      </w:r>
      <w:r w:rsidR="002D5656" w:rsidRPr="00AC13E7">
        <w:fldChar w:fldCharType="separate"/>
      </w:r>
      <w:r w:rsidR="00D86E26" w:rsidRPr="00D86E26">
        <w:rPr>
          <w:noProof/>
          <w:vertAlign w:val="superscript"/>
        </w:rPr>
        <w:t>35-37</w:t>
      </w:r>
      <w:r w:rsidR="002D5656" w:rsidRPr="00AC13E7">
        <w:fldChar w:fldCharType="end"/>
      </w:r>
      <w:r w:rsidR="002D5656" w:rsidRPr="00AC13E7">
        <w:t>.</w:t>
      </w:r>
    </w:p>
    <w:p w14:paraId="6A0A6D32" w14:textId="77777777" w:rsidR="001D1477" w:rsidRPr="00AC13E7" w:rsidRDefault="001D1477" w:rsidP="0056518D">
      <w:pPr>
        <w:jc w:val="both"/>
      </w:pPr>
    </w:p>
    <w:p w14:paraId="2D0BF640" w14:textId="1111B376" w:rsidR="001D1477" w:rsidRPr="00AC13E7" w:rsidRDefault="000C6680" w:rsidP="00D86E26">
      <w:pPr>
        <w:jc w:val="both"/>
      </w:pPr>
      <w:r w:rsidRPr="00AC13E7">
        <w:t>In order to</w:t>
      </w:r>
      <w:r w:rsidR="001D1477" w:rsidRPr="00AC13E7">
        <w:t xml:space="preserve"> learn the underlying subclonal structure, we applied the Dirichlet Process as described by Escobar and West</w:t>
      </w:r>
      <w:r w:rsidR="0059539B" w:rsidRPr="00AC13E7">
        <w:fldChar w:fldCharType="begin"/>
      </w:r>
      <w:r w:rsidR="00D86E26">
        <w:instrText xml:space="preserve"> ADDIN EN.CITE &lt;EndNote&gt;&lt;Cite&gt;&lt;Author&gt;Escobar&lt;/Author&gt;&lt;Year&gt;1995&lt;/Year&gt;&lt;RecNum&gt;25&lt;/RecNum&gt;&lt;DisplayText&gt;&lt;style face="superscript"&gt;38&lt;/style&gt;&lt;/DisplayText&gt;&lt;record&gt;&lt;rec-number&gt;25&lt;/rec-number&gt;&lt;foreign-keys&gt;&lt;key app="EN" db-id="swsz0f55g50w9yex0aqvtfdxarrpzt5z00pd" timestamp="1494609765"&gt;25&lt;/key&gt;&lt;/foreign-keys&gt;&lt;ref-type name="Journal Article"&gt;17&lt;/ref-type&gt;&lt;contributors&gt;&lt;authors&gt;&lt;author&gt;Escobar, Michael D.&lt;/author&gt;&lt;author&gt;West, Mike&lt;/author&gt;&lt;/authors&gt;&lt;/contributors&gt;&lt;titles&gt;&lt;title&gt;Bayesian Density Estimation and Inference Using Mixtures&lt;/title&gt;&lt;secondary-title&gt;Journal of the American Statistical Association&lt;/secondary-title&gt;&lt;/titles&gt;&lt;periodical&gt;&lt;full-title&gt;Journal of the American Statistical Association&lt;/full-title&gt;&lt;abbr-1&gt;J Am Stat Assoc&lt;/abbr-1&gt;&lt;/periodical&gt;&lt;pages&gt;577-588&lt;/pages&gt;&lt;volume&gt;90&lt;/volume&gt;&lt;number&gt;430&lt;/number&gt;&lt;dates&gt;&lt;year&gt;1995&lt;/year&gt;&lt;/dates&gt;&lt;publisher&gt;[American Statistical Association, Taylor &amp;amp; Francis, Ltd.]&lt;/publisher&gt;&lt;isbn&gt;01621459&lt;/isbn&gt;&lt;urls&gt;&lt;related-urls&gt;&lt;url&gt;http://www.jstor.org/stable/2291069&lt;/url&gt;&lt;/related-urls&gt;&lt;/urls&gt;&lt;custom1&gt;Full publication date: Jun., 1995&lt;/custom1&gt;&lt;electronic-resource-num&gt;10.2307/2291069&lt;/electronic-resource-num&gt;&lt;/record&gt;&lt;/Cite&gt;&lt;/EndNote&gt;</w:instrText>
      </w:r>
      <w:r w:rsidR="0059539B" w:rsidRPr="00AC13E7">
        <w:fldChar w:fldCharType="separate"/>
      </w:r>
      <w:r w:rsidR="00D86E26" w:rsidRPr="00D86E26">
        <w:rPr>
          <w:noProof/>
          <w:vertAlign w:val="superscript"/>
        </w:rPr>
        <w:t>38</w:t>
      </w:r>
      <w:r w:rsidR="0059539B" w:rsidRPr="00AC13E7">
        <w:fldChar w:fldCharType="end"/>
      </w:r>
      <w:r w:rsidR="001D1477" w:rsidRPr="00AC13E7">
        <w:t xml:space="preserve"> to the discretized CCF distributions of the variants. The mixing parameter was resampled iteratively from a prior gamma distribution as follows:</w:t>
      </w:r>
    </w:p>
    <w:p w14:paraId="3EF2BBFC" w14:textId="54782644" w:rsidR="001D1477" w:rsidRPr="00AC13E7" w:rsidRDefault="001D1477" w:rsidP="0056518D">
      <w:pPr>
        <w:numPr>
          <w:ilvl w:val="0"/>
          <w:numId w:val="3"/>
        </w:numPr>
        <w:jc w:val="both"/>
      </w:pPr>
      <w:r w:rsidRPr="00AC13E7">
        <w:t xml:space="preserve">Sample eta: </w:t>
      </w:r>
      <m:oMath>
        <m:r>
          <w:rPr>
            <w:rFonts w:ascii="Cambria Math" w:hAnsi="Cambria Math"/>
          </w:rPr>
          <m:t>η=B(α+1, n)</m:t>
        </m:r>
      </m:oMath>
      <w:r w:rsidRPr="00AC13E7">
        <w:t xml:space="preserve"> where </w:t>
      </w:r>
      <w:r w:rsidRPr="00AC13E7">
        <w:rPr>
          <w:rFonts w:ascii="Cambria Math" w:hAnsi="Cambria Math"/>
          <w:i/>
          <w:iCs/>
        </w:rPr>
        <w:t>n</w:t>
      </w:r>
      <w:r w:rsidRPr="00AC13E7">
        <w:t xml:space="preserve"> is the number of variants and </w:t>
      </w:r>
      <w:r w:rsidRPr="00AC13E7">
        <w:rPr>
          <w:i/>
        </w:rPr>
        <w:t>B</w:t>
      </w:r>
      <w:r w:rsidR="00E850A5" w:rsidRPr="00AC13E7">
        <w:t xml:space="preserve"> is the </w:t>
      </w:r>
      <w:r w:rsidRPr="00AC13E7">
        <w:t xml:space="preserve">beta function. </w:t>
      </w:r>
    </w:p>
    <w:p w14:paraId="23A920EA" w14:textId="77777777" w:rsidR="007879AE" w:rsidRPr="00AC13E7" w:rsidRDefault="00E850A5" w:rsidP="0056518D">
      <w:pPr>
        <w:numPr>
          <w:ilvl w:val="0"/>
          <w:numId w:val="3"/>
        </w:numPr>
        <w:jc w:val="both"/>
      </w:pPr>
      <w:r w:rsidRPr="00AC13E7">
        <w:t xml:space="preserve">Sample </w:t>
      </w:r>
      <w:r w:rsidR="001D1477" w:rsidRPr="00AC13E7">
        <w:t>alpha:</w:t>
      </w:r>
      <w:r w:rsidRPr="00AC13E7">
        <w:t xml:space="preserve"> </w:t>
      </w:r>
    </w:p>
    <w:p w14:paraId="30BAE2C7" w14:textId="7C1ADB74" w:rsidR="0028447E" w:rsidRPr="00AC13E7" w:rsidRDefault="0032764D" w:rsidP="0056518D">
      <w:pPr>
        <w:ind w:left="720"/>
        <w:jc w:val="both"/>
      </w:pPr>
      <m:oMathPara>
        <m:oMath>
          <m:r>
            <w:rPr>
              <w:rFonts w:ascii="Cambria Math" w:hAnsi="Cambria Math"/>
            </w:rPr>
            <m:t>α =</m:t>
          </m:r>
          <m:sSub>
            <m:sSubPr>
              <m:ctrlPr>
                <w:rPr>
                  <w:rFonts w:ascii="Cambria Math" w:hAnsi="Cambria Math"/>
                </w:rPr>
              </m:ctrlPr>
            </m:sSubPr>
            <m:e>
              <m:r>
                <w:rPr>
                  <w:rFonts w:ascii="Cambria Math" w:hAnsi="Cambria Math"/>
                </w:rPr>
                <m:t>π</m:t>
              </m:r>
            </m:e>
            <m:sub>
              <m:r>
                <w:rPr>
                  <w:rFonts w:ascii="Cambria Math" w:hAnsi="Cambria Math"/>
                </w:rPr>
                <m:t>η</m:t>
              </m:r>
            </m:sub>
          </m:sSub>
          <m:r>
            <w:rPr>
              <w:rFonts w:ascii="Cambria Math" w:hAnsi="Cambria Math"/>
            </w:rPr>
            <m:t>G(a +k, b-log(η))  +  (1-</m:t>
          </m:r>
          <m:sSub>
            <m:sSubPr>
              <m:ctrlPr>
                <w:rPr>
                  <w:rFonts w:ascii="Cambria Math" w:hAnsi="Cambria Math"/>
                </w:rPr>
              </m:ctrlPr>
            </m:sSubPr>
            <m:e>
              <m:r>
                <w:rPr>
                  <w:rFonts w:ascii="Cambria Math" w:hAnsi="Cambria Math"/>
                </w:rPr>
                <m:t>π</m:t>
              </m:r>
            </m:e>
            <m:sub>
              <m:r>
                <w:rPr>
                  <w:rFonts w:ascii="Cambria Math" w:hAnsi="Cambria Math"/>
                </w:rPr>
                <m:t>η</m:t>
              </m:r>
            </m:sub>
          </m:sSub>
          <m:r>
            <w:rPr>
              <w:rFonts w:ascii="Cambria Math" w:hAnsi="Cambria Math"/>
            </w:rPr>
            <m:t>)  G(a+k -1,b-log(η))</m:t>
          </m:r>
        </m:oMath>
      </m:oMathPara>
    </w:p>
    <w:p w14:paraId="15F7877A" w14:textId="2E94A6A9" w:rsidR="00086589" w:rsidRPr="00AC13E7" w:rsidRDefault="001D1477" w:rsidP="00D86E26">
      <w:pPr>
        <w:ind w:left="720"/>
        <w:jc w:val="both"/>
      </w:pPr>
      <w:r w:rsidRPr="00AC13E7">
        <w:t>[eq</w:t>
      </w:r>
      <w:r w:rsidR="0035510A" w:rsidRPr="00AC13E7">
        <w:t>uatio</w:t>
      </w:r>
      <w:r w:rsidRPr="00AC13E7">
        <w:t>n 13 Escobar and West</w:t>
      </w:r>
      <w:r w:rsidR="00D35CDE" w:rsidRPr="00AC13E7">
        <w:fldChar w:fldCharType="begin"/>
      </w:r>
      <w:r w:rsidR="00D86E26">
        <w:instrText xml:space="preserve"> ADDIN EN.CITE &lt;EndNote&gt;&lt;Cite&gt;&lt;Author&gt;Escobar&lt;/Author&gt;&lt;Year&gt;1995&lt;/Year&gt;&lt;RecNum&gt;25&lt;/RecNum&gt;&lt;DisplayText&gt;&lt;style face="superscript"&gt;38&lt;/style&gt;&lt;/DisplayText&gt;&lt;record&gt;&lt;rec-number&gt;25&lt;/rec-number&gt;&lt;foreign-keys&gt;&lt;key app="EN" db-id="swsz0f55g50w9yex0aqvtfdxarrpzt5z00pd" timestamp="1494609765"&gt;25&lt;/key&gt;&lt;/foreign-keys&gt;&lt;ref-type name="Journal Article"&gt;17&lt;/ref-type&gt;&lt;contributors&gt;&lt;authors&gt;&lt;author&gt;Escobar, Michael D.&lt;/author&gt;&lt;author&gt;West, Mike&lt;/author&gt;&lt;/authors&gt;&lt;/contributors&gt;&lt;titles&gt;&lt;title&gt;Bayesian Density Estimation and Inference Using Mixtures&lt;/title&gt;&lt;secondary-title&gt;Journal of the American Statistical Association&lt;/secondary-title&gt;&lt;/titles&gt;&lt;periodical&gt;&lt;full-title&gt;Journal of the American Statistical Association&lt;/full-title&gt;&lt;abbr-1&gt;J Am Stat Assoc&lt;/abbr-1&gt;&lt;/periodical&gt;&lt;pages&gt;577-588&lt;/pages&gt;&lt;volume&gt;90&lt;/volume&gt;&lt;number&gt;430&lt;/number&gt;&lt;dates&gt;&lt;year&gt;1995&lt;/year&gt;&lt;/dates&gt;&lt;publisher&gt;[American Statistical Association, Taylor &amp;amp; Francis, Ltd.]&lt;/publisher&gt;&lt;isbn&gt;01621459&lt;/isbn&gt;&lt;urls&gt;&lt;related-urls&gt;&lt;url&gt;http://www.jstor.org/stable/2291069&lt;/url&gt;&lt;/related-urls&gt;&lt;/urls&gt;&lt;custom1&gt;Full publication date: Jun., 1995&lt;/custom1&gt;&lt;electronic-resource-num&gt;10.2307/2291069&lt;/electronic-resource-num&gt;&lt;/record&gt;&lt;/Cite&gt;&lt;/EndNote&gt;</w:instrText>
      </w:r>
      <w:r w:rsidR="00D35CDE" w:rsidRPr="00AC13E7">
        <w:fldChar w:fldCharType="separate"/>
      </w:r>
      <w:r w:rsidR="00D86E26" w:rsidRPr="00D86E26">
        <w:rPr>
          <w:noProof/>
          <w:vertAlign w:val="superscript"/>
        </w:rPr>
        <w:t>38</w:t>
      </w:r>
      <w:r w:rsidR="00D35CDE" w:rsidRPr="00AC13E7">
        <w:fldChar w:fldCharType="end"/>
      </w:r>
      <w:r w:rsidRPr="00AC13E7">
        <w:t xml:space="preserve">] where </w:t>
      </w:r>
      <m:oMath>
        <m:r>
          <w:rPr>
            <w:rFonts w:ascii="Cambria Math" w:hAnsi="Cambria Math"/>
          </w:rPr>
          <m:t>η</m:t>
        </m:r>
      </m:oMath>
      <w:r w:rsidR="00D35CDE" w:rsidRPr="00AC13E7">
        <w:t xml:space="preserve"> </w:t>
      </w:r>
      <w:r w:rsidRPr="00AC13E7">
        <w:t xml:space="preserve">is given above, </w:t>
      </w:r>
      <w:r w:rsidRPr="00AC13E7">
        <w:rPr>
          <w:rFonts w:ascii="Cambria Math" w:hAnsi="Cambria Math"/>
          <w:i/>
          <w:iCs/>
        </w:rPr>
        <w:t>k</w:t>
      </w:r>
      <w:r w:rsidRPr="00AC13E7">
        <w:t xml:space="preserve"> is the number of clusters, </w:t>
      </w:r>
      <w:r w:rsidRPr="00AC13E7">
        <w:rPr>
          <w:rFonts w:ascii="Cambria Math" w:hAnsi="Cambria Math"/>
          <w:i/>
          <w:iCs/>
        </w:rPr>
        <w:t>a</w:t>
      </w:r>
      <w:r w:rsidRPr="00AC13E7">
        <w:t xml:space="preserve"> and </w:t>
      </w:r>
      <w:r w:rsidRPr="00AC13E7">
        <w:rPr>
          <w:rFonts w:ascii="Cambria Math" w:hAnsi="Cambria Math"/>
          <w:i/>
          <w:iCs/>
        </w:rPr>
        <w:t>b</w:t>
      </w:r>
      <w:r w:rsidRPr="00AC13E7">
        <w:t xml:space="preserve"> are given by the prior, G(a,b)  is a sample from the Gamma Dis</w:t>
      </w:r>
      <w:r w:rsidR="00D35CDE" w:rsidRPr="00AC13E7">
        <w:t xml:space="preserve">tribution with shape and scale </w:t>
      </w:r>
      <w:r w:rsidRPr="00AC13E7">
        <w:t xml:space="preserve">a and 1/b respectively, and </w:t>
      </w:r>
      <m:oMath>
        <m:sSub>
          <m:sSubPr>
            <m:ctrlPr>
              <w:rPr>
                <w:rFonts w:ascii="Cambria Math" w:hAnsi="Cambria Math"/>
              </w:rPr>
            </m:ctrlPr>
          </m:sSubPr>
          <m:e>
            <m:r>
              <w:rPr>
                <w:rFonts w:ascii="Cambria Math" w:hAnsi="Cambria Math"/>
              </w:rPr>
              <m:t>π</m:t>
            </m:r>
          </m:e>
          <m:sub>
            <m:r>
              <w:rPr>
                <w:rFonts w:ascii="Cambria Math" w:hAnsi="Cambria Math"/>
              </w:rPr>
              <m:t>η</m:t>
            </m:r>
          </m:sub>
        </m:sSub>
      </m:oMath>
      <w:r w:rsidRPr="00AC13E7">
        <w:t xml:space="preserve"> is given by: </w:t>
      </w:r>
    </w:p>
    <w:p w14:paraId="01227802" w14:textId="240AC7E0" w:rsidR="001D1477" w:rsidRPr="00AC13E7" w:rsidRDefault="0036299C" w:rsidP="0056518D">
      <w:pPr>
        <w:ind w:left="720"/>
        <w:jc w:val="both"/>
      </w:pPr>
      <m:oMathPara>
        <m:oMath>
          <m:f>
            <m:fPr>
              <m:ctrlPr>
                <w:rPr>
                  <w:rFonts w:ascii="Cambria Math" w:hAnsi="Cambria Math"/>
                </w:rPr>
              </m:ctrlPr>
            </m:fPr>
            <m:num>
              <m:sSub>
                <m:sSubPr>
                  <m:ctrlPr>
                    <w:rPr>
                      <w:rFonts w:ascii="Cambria Math" w:hAnsi="Cambria Math"/>
                    </w:rPr>
                  </m:ctrlPr>
                </m:sSubPr>
                <m:e>
                  <m:r>
                    <w:rPr>
                      <w:rFonts w:ascii="Cambria Math" w:hAnsi="Cambria Math"/>
                    </w:rPr>
                    <m:t>π</m:t>
                  </m:r>
                </m:e>
                <m:sub>
                  <m:r>
                    <w:rPr>
                      <w:rFonts w:ascii="Cambria Math" w:hAnsi="Cambria Math"/>
                    </w:rPr>
                    <m:t>η</m:t>
                  </m:r>
                </m:sub>
              </m:sSub>
            </m:num>
            <m:den>
              <m:r>
                <w:rPr>
                  <w:rFonts w:ascii="Cambria Math" w:hAnsi="Cambria Math"/>
                </w:rPr>
                <m:t>1-</m:t>
              </m:r>
              <m:sSub>
                <m:sSubPr>
                  <m:ctrlPr>
                    <w:rPr>
                      <w:rFonts w:ascii="Cambria Math" w:hAnsi="Cambria Math"/>
                    </w:rPr>
                  </m:ctrlPr>
                </m:sSubPr>
                <m:e>
                  <m:r>
                    <w:rPr>
                      <w:rFonts w:ascii="Cambria Math" w:hAnsi="Cambria Math"/>
                    </w:rPr>
                    <m:t>π</m:t>
                  </m:r>
                </m:e>
                <m:sub>
                  <m:r>
                    <w:rPr>
                      <w:rFonts w:ascii="Cambria Math" w:hAnsi="Cambria Math"/>
                    </w:rPr>
                    <m:t>η</m:t>
                  </m:r>
                </m:sub>
              </m:sSub>
            </m:den>
          </m:f>
          <m:r>
            <w:rPr>
              <w:rFonts w:ascii="Cambria Math" w:hAnsi="Cambria Math"/>
            </w:rPr>
            <m:t>=</m:t>
          </m:r>
          <m:f>
            <m:fPr>
              <m:ctrlPr>
                <w:rPr>
                  <w:rFonts w:ascii="Cambria Math" w:hAnsi="Cambria Math"/>
                </w:rPr>
              </m:ctrlPr>
            </m:fPr>
            <m:num>
              <m:r>
                <w:rPr>
                  <w:rFonts w:ascii="Cambria Math" w:hAnsi="Cambria Math"/>
                </w:rPr>
                <m:t>a+k-1</m:t>
              </m:r>
            </m:num>
            <m:den>
              <m:r>
                <w:rPr>
                  <w:rFonts w:ascii="Cambria Math" w:hAnsi="Cambria Math"/>
                </w:rPr>
                <m:t>n(b-log(η))</m:t>
              </m:r>
            </m:den>
          </m:f>
        </m:oMath>
      </m:oMathPara>
    </w:p>
    <w:p w14:paraId="793B49D9" w14:textId="77777777" w:rsidR="00D35CDE" w:rsidRPr="00AC13E7" w:rsidRDefault="00D35CDE" w:rsidP="0056518D">
      <w:pPr>
        <w:ind w:left="720"/>
        <w:jc w:val="both"/>
      </w:pPr>
    </w:p>
    <w:p w14:paraId="2262A6D1" w14:textId="7BD31FE0" w:rsidR="001D1477" w:rsidRPr="00AC13E7" w:rsidRDefault="0009738F" w:rsidP="0056518D">
      <w:pPr>
        <w:jc w:val="both"/>
      </w:pPr>
      <w:r w:rsidRPr="00AC13E7">
        <w:t>I</w:t>
      </w:r>
      <w:r w:rsidR="001D1477" w:rsidRPr="00AC13E7">
        <w:t>n each iteration</w:t>
      </w:r>
      <w:r w:rsidRPr="00AC13E7">
        <w:t>,</w:t>
      </w:r>
      <w:r w:rsidR="001D1477" w:rsidRPr="00AC13E7">
        <w:t xml:space="preserve"> the probability of opening a new cluster is proportional to:</w:t>
      </w:r>
    </w:p>
    <w:p w14:paraId="78CB5D86" w14:textId="77777777" w:rsidR="00D35CDE" w:rsidRPr="00AC13E7" w:rsidRDefault="00D35CDE" w:rsidP="0056518D">
      <w:pPr>
        <w:jc w:val="both"/>
      </w:pPr>
    </w:p>
    <w:p w14:paraId="3DA65B58" w14:textId="66E5626B" w:rsidR="001D1477" w:rsidRPr="00AC13E7" w:rsidRDefault="0036299C" w:rsidP="0056518D">
      <w:pPr>
        <w:jc w:val="both"/>
      </w:pPr>
      <m:oMathPara>
        <m:oMath>
          <m:f>
            <m:fPr>
              <m:ctrlPr>
                <w:rPr>
                  <w:rFonts w:ascii="Cambria Math" w:hAnsi="Cambria Math"/>
                </w:rPr>
              </m:ctrlPr>
            </m:fPr>
            <m:num>
              <m:r>
                <w:rPr>
                  <w:rFonts w:ascii="Cambria Math" w:hAnsi="Cambria Math"/>
                </w:rPr>
                <m:t>α</m:t>
              </m:r>
            </m:num>
            <m:den>
              <m:r>
                <w:rPr>
                  <w:rFonts w:ascii="Cambria Math" w:hAnsi="Cambria Math"/>
                </w:rPr>
                <m:t>n-1+α</m:t>
              </m:r>
            </m:den>
          </m:f>
        </m:oMath>
      </m:oMathPara>
    </w:p>
    <w:p w14:paraId="262684E2" w14:textId="77777777" w:rsidR="00D35CDE" w:rsidRPr="00AC13E7" w:rsidRDefault="00D35CDE" w:rsidP="0056518D">
      <w:pPr>
        <w:jc w:val="both"/>
      </w:pPr>
    </w:p>
    <w:p w14:paraId="320B25E2" w14:textId="2060D76C" w:rsidR="001D1477" w:rsidRPr="00AC13E7" w:rsidRDefault="00560DD4" w:rsidP="0056518D">
      <w:pPr>
        <w:jc w:val="both"/>
      </w:pPr>
      <w:r w:rsidRPr="00AC13E7">
        <w:t>Within each iteration a Gibbs sampler over the mutations is run</w:t>
      </w:r>
      <w:r w:rsidR="00D86E1D" w:rsidRPr="00AC13E7">
        <w:t>, where</w:t>
      </w:r>
      <w:r w:rsidRPr="00AC13E7">
        <w:t xml:space="preserve"> </w:t>
      </w:r>
      <w:r w:rsidR="001D1477" w:rsidRPr="00AC13E7">
        <w:t>the probability of a mutation joining a particular cluster is proportional to:</w:t>
      </w:r>
    </w:p>
    <w:p w14:paraId="6D7AE0F0" w14:textId="77777777" w:rsidR="0009738F" w:rsidRPr="00AC13E7" w:rsidRDefault="0009738F" w:rsidP="0056518D">
      <w:pPr>
        <w:jc w:val="both"/>
      </w:pPr>
    </w:p>
    <w:p w14:paraId="10A8DF3E" w14:textId="3B1C4EED" w:rsidR="00D35CDE" w:rsidRPr="00AC13E7" w:rsidRDefault="0036299C" w:rsidP="0056518D">
      <w:pPr>
        <w:jc w:val="center"/>
      </w:pPr>
      <m:oMathPara>
        <m:oMath>
          <m:f>
            <m:fPr>
              <m:ctrlPr>
                <w:rPr>
                  <w:rFonts w:ascii="Cambria Math" w:hAnsi="Cambria Math"/>
                </w:rPr>
              </m:ctrlPr>
            </m:fPr>
            <m:num>
              <m:r>
                <w:rPr>
                  <w:rFonts w:ascii="Cambria Math" w:hAnsi="Cambria Math"/>
                </w:rPr>
                <m:t>m</m:t>
              </m:r>
            </m:num>
            <m:den>
              <m:r>
                <w:rPr>
                  <w:rFonts w:ascii="Cambria Math" w:hAnsi="Cambria Math"/>
                </w:rPr>
                <m:t>n-1+α</m:t>
              </m:r>
            </m:den>
          </m:f>
        </m:oMath>
      </m:oMathPara>
    </w:p>
    <w:p w14:paraId="6B4B2E57" w14:textId="77777777" w:rsidR="00D35CDE" w:rsidRPr="00AC13E7" w:rsidRDefault="00D35CDE" w:rsidP="0056518D">
      <w:pPr>
        <w:jc w:val="both"/>
      </w:pPr>
    </w:p>
    <w:p w14:paraId="70B92843" w14:textId="1E144E1A" w:rsidR="001D1477" w:rsidRPr="00AC13E7" w:rsidRDefault="001D1477" w:rsidP="0056518D">
      <w:pPr>
        <w:jc w:val="both"/>
      </w:pPr>
      <w:r w:rsidRPr="00AC13E7">
        <w:t xml:space="preserve">where </w:t>
      </w:r>
      <w:r w:rsidRPr="00AC13E7">
        <w:rPr>
          <w:i/>
        </w:rPr>
        <w:t>m</w:t>
      </w:r>
      <w:r w:rsidRPr="00AC13E7">
        <w:t xml:space="preserve"> i</w:t>
      </w:r>
      <w:r w:rsidR="00D35CDE" w:rsidRPr="00AC13E7">
        <w:t>s the size of each cluster</w:t>
      </w:r>
      <w:r w:rsidR="00560DD4" w:rsidRPr="00AC13E7">
        <w:t xml:space="preserve"> and is dictated by the likelihood of </w:t>
      </w:r>
      <w:r w:rsidR="00D86E1D" w:rsidRPr="00AC13E7">
        <w:t>a particular mutation CCF distribution to be joined with other mutations present in the cluster at a given iteration</w:t>
      </w:r>
      <w:r w:rsidR="0009738F" w:rsidRPr="00AC13E7">
        <w:t>.</w:t>
      </w:r>
    </w:p>
    <w:p w14:paraId="0A4A9864" w14:textId="77777777" w:rsidR="001D1477" w:rsidRPr="00AC13E7" w:rsidRDefault="001D1477" w:rsidP="0056518D">
      <w:pPr>
        <w:jc w:val="both"/>
      </w:pPr>
    </w:p>
    <w:p w14:paraId="6AC4E627" w14:textId="148F97A6" w:rsidR="001D1477" w:rsidRPr="00AC13E7" w:rsidRDefault="001D1477" w:rsidP="0056518D">
      <w:pPr>
        <w:jc w:val="both"/>
      </w:pPr>
      <w:r w:rsidRPr="00AC13E7">
        <w:t>Once the Dirichlet Process was completed for 10,000 iterations, we integrated the mutation probability distributions across all iterations and variants into a posterior density.</w:t>
      </w:r>
    </w:p>
    <w:p w14:paraId="63B97842" w14:textId="18900310" w:rsidR="00D86E1D" w:rsidRPr="00AC13E7" w:rsidRDefault="00D86E1D" w:rsidP="0056518D">
      <w:pPr>
        <w:jc w:val="both"/>
      </w:pPr>
      <w:r w:rsidRPr="00AC13E7">
        <w:t xml:space="preserve">The prior mutational CCF distributions and the posterior </w:t>
      </w:r>
      <w:r w:rsidR="00302094" w:rsidRPr="00AC13E7">
        <w:t>cluster densities</w:t>
      </w:r>
      <w:r w:rsidRPr="00AC13E7">
        <w:t xml:space="preserve"> can be visualized with the distribution of clustered mutations across chromosomes (expected to be uniform) for quality control.  </w:t>
      </w:r>
    </w:p>
    <w:p w14:paraId="0FB2CB0A" w14:textId="77777777" w:rsidR="00D206EC" w:rsidRPr="00AC13E7" w:rsidRDefault="00D206EC" w:rsidP="0056518D">
      <w:pPr>
        <w:jc w:val="both"/>
      </w:pPr>
    </w:p>
    <w:p w14:paraId="5923F242" w14:textId="24D66D26" w:rsidR="00D206EC" w:rsidRPr="00AC13E7" w:rsidRDefault="00D206EC" w:rsidP="0056518D">
      <w:pPr>
        <w:jc w:val="both"/>
      </w:pPr>
      <w:r w:rsidRPr="00AC13E7">
        <w:t xml:space="preserve">See the following </w:t>
      </w:r>
      <w:r w:rsidRPr="00AC13E7">
        <w:fldChar w:fldCharType="begin"/>
      </w:r>
      <w:r w:rsidRPr="00AC13E7">
        <w:instrText xml:space="preserve"> REF _Ref379629683 \h </w:instrText>
      </w:r>
      <w:r w:rsidRPr="00AC13E7">
        <w:fldChar w:fldCharType="separate"/>
      </w:r>
      <w:r w:rsidR="00673FBD" w:rsidRPr="00AC13E7">
        <w:t xml:space="preserve">Fig. </w:t>
      </w:r>
      <w:r w:rsidR="00673FBD">
        <w:rPr>
          <w:noProof/>
        </w:rPr>
        <w:t>25</w:t>
      </w:r>
      <w:r w:rsidRPr="00AC13E7">
        <w:fldChar w:fldCharType="end"/>
      </w:r>
      <w:r w:rsidRPr="00AC13E7">
        <w:t xml:space="preserve"> for an illustration of Phylogic</w:t>
      </w:r>
      <w:r w:rsidR="002A63F9" w:rsidRPr="00AC13E7">
        <w:t>NDT</w:t>
      </w:r>
      <w:r w:rsidRPr="00AC13E7">
        <w:t xml:space="preserve"> clustering.</w:t>
      </w:r>
    </w:p>
    <w:p w14:paraId="0C04F91D" w14:textId="77777777" w:rsidR="0009738F" w:rsidRPr="00AC13E7" w:rsidRDefault="0009738F" w:rsidP="0056518D">
      <w:pPr>
        <w:jc w:val="both"/>
      </w:pPr>
    </w:p>
    <w:p w14:paraId="2BF6AB4C" w14:textId="77777777" w:rsidR="0030138E" w:rsidRPr="00AC13E7" w:rsidRDefault="0032764D" w:rsidP="0030138E">
      <w:pPr>
        <w:keepNext/>
        <w:jc w:val="center"/>
      </w:pPr>
      <w:r w:rsidRPr="00AC13E7">
        <w:rPr>
          <w:noProof/>
          <w:lang w:eastAsia="en-GB"/>
        </w:rPr>
        <w:drawing>
          <wp:inline distT="0" distB="0" distL="0" distR="0" wp14:anchorId="055EC13E" wp14:editId="69A799A7">
            <wp:extent cx="4368800" cy="1668145"/>
            <wp:effectExtent l="0" t="0" r="0" b="8255"/>
            <wp:docPr id="225" name="Picture 1" descr="C:\Users\Ig\AppData\Local\Microsoft\Windows\INetCache\Content.Word\fig_phylog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g\AppData\Local\Microsoft\Windows\INetCache\Content.Word\fig_phylogic.png"/>
                    <pic:cNvPicPr>
                      <a:picLocks noChangeAspect="1" noChangeArrowheads="1"/>
                    </pic:cNvPicPr>
                  </pic:nvPicPr>
                  <pic:blipFill>
                    <a:blip r:embed="rId35">
                      <a:extLst>
                        <a:ext uri="{28A0092B-C50C-407E-A947-70E740481C1C}">
                          <a14:useLocalDpi xmlns:a14="http://schemas.microsoft.com/office/drawing/2010/main" val="0"/>
                        </a:ext>
                      </a:extLst>
                    </a:blip>
                    <a:srcRect l="10242" t="21526" r="6746" b="36386"/>
                    <a:stretch>
                      <a:fillRect/>
                    </a:stretch>
                  </pic:blipFill>
                  <pic:spPr bwMode="auto">
                    <a:xfrm>
                      <a:off x="0" y="0"/>
                      <a:ext cx="4368800" cy="1668145"/>
                    </a:xfrm>
                    <a:prstGeom prst="rect">
                      <a:avLst/>
                    </a:prstGeom>
                    <a:noFill/>
                    <a:ln>
                      <a:noFill/>
                    </a:ln>
                  </pic:spPr>
                </pic:pic>
              </a:graphicData>
            </a:graphic>
          </wp:inline>
        </w:drawing>
      </w:r>
    </w:p>
    <w:p w14:paraId="4C1D187E" w14:textId="5125FE5B" w:rsidR="00D86E1D" w:rsidRPr="00AC13E7" w:rsidRDefault="0030138E" w:rsidP="004916C9">
      <w:pPr>
        <w:pStyle w:val="Caption"/>
      </w:pPr>
      <w:bookmarkStart w:id="136" w:name="_Ref379629683"/>
      <w:bookmarkStart w:id="137" w:name="_Toc384459596"/>
      <w:r w:rsidRPr="00AC13E7">
        <w:t xml:space="preserve">Fig. </w:t>
      </w:r>
      <w:r w:rsidR="001003E9">
        <w:fldChar w:fldCharType="begin"/>
      </w:r>
      <w:r w:rsidR="001003E9">
        <w:instrText xml:space="preserve"> SEQ Fig. \* ARABIC </w:instrText>
      </w:r>
      <w:r w:rsidR="001003E9">
        <w:fldChar w:fldCharType="separate"/>
      </w:r>
      <w:r w:rsidR="00673FBD">
        <w:rPr>
          <w:noProof/>
        </w:rPr>
        <w:t>25</w:t>
      </w:r>
      <w:r w:rsidR="001003E9">
        <w:rPr>
          <w:noProof/>
        </w:rPr>
        <w:fldChar w:fldCharType="end"/>
      </w:r>
      <w:bookmarkEnd w:id="136"/>
      <w:r w:rsidRPr="00AC13E7">
        <w:t xml:space="preserve"> </w:t>
      </w:r>
      <w:r w:rsidRPr="00AC13E7">
        <w:rPr>
          <w:b/>
          <w:bCs/>
        </w:rPr>
        <w:t>Phylogic</w:t>
      </w:r>
      <w:r w:rsidR="002A63F9" w:rsidRPr="00AC13E7">
        <w:rPr>
          <w:b/>
          <w:bCs/>
        </w:rPr>
        <w:t>NDT</w:t>
      </w:r>
      <w:r w:rsidRPr="00AC13E7">
        <w:rPr>
          <w:b/>
          <w:bCs/>
        </w:rPr>
        <w:t xml:space="preserve"> clustering. </w:t>
      </w:r>
      <w:r w:rsidRPr="00AC13E7">
        <w:t>The prior mutational CCF distributions (left) and posterior cluster densities (right). Colours represent the final subclonal assignment of mutations. Pie charts show distribution of clustered mutations across chromosomes.</w:t>
      </w:r>
      <w:bookmarkEnd w:id="137"/>
    </w:p>
    <w:p w14:paraId="39572DB1" w14:textId="77777777" w:rsidR="00D86E1D" w:rsidRPr="00AC13E7" w:rsidRDefault="00D86E1D" w:rsidP="0056518D">
      <w:pPr>
        <w:jc w:val="both"/>
      </w:pPr>
    </w:p>
    <w:p w14:paraId="1EBE5E5B" w14:textId="5D94A14D" w:rsidR="001D1477" w:rsidRPr="00AC13E7" w:rsidRDefault="001D1477" w:rsidP="0056518D">
      <w:pPr>
        <w:jc w:val="both"/>
      </w:pPr>
      <w:r w:rsidRPr="00AC13E7">
        <w:t xml:space="preserve">The number of clusters, </w:t>
      </w:r>
      <w:r w:rsidRPr="00AC13E7">
        <w:rPr>
          <w:i/>
        </w:rPr>
        <w:t>k</w:t>
      </w:r>
      <w:r w:rsidRPr="00AC13E7">
        <w:t>, was then computed from this distribution by identifying all local maxima corresponding to peak</w:t>
      </w:r>
      <w:r w:rsidR="0009738F" w:rsidRPr="00AC13E7">
        <w:t>s with sufficient density (1%).</w:t>
      </w:r>
      <w:r w:rsidRPr="00AC13E7">
        <w:t xml:space="preserve"> Mutations were then assigned to the best fitting detected cluster based on the similarity of their MCMC trace to the peak.  </w:t>
      </w:r>
    </w:p>
    <w:p w14:paraId="24A81A7D" w14:textId="77777777" w:rsidR="00C37F26" w:rsidRPr="00AC13E7" w:rsidRDefault="00C37F26" w:rsidP="00B742EB">
      <w:pPr>
        <w:rPr>
          <w:b/>
        </w:rPr>
      </w:pPr>
    </w:p>
    <w:p w14:paraId="607C31AF" w14:textId="77777777" w:rsidR="00F943FC" w:rsidRPr="00AC13E7" w:rsidRDefault="00F943FC" w:rsidP="00B742EB"/>
    <w:p w14:paraId="7CD5165F" w14:textId="77777777" w:rsidR="000668D6" w:rsidRPr="00AC13E7" w:rsidRDefault="000668D6">
      <w:pPr>
        <w:rPr>
          <w:rFonts w:eastAsia="Times"/>
          <w:bCs/>
          <w:color w:val="000000"/>
          <w:sz w:val="32"/>
          <w:szCs w:val="32"/>
        </w:rPr>
      </w:pPr>
      <w:bookmarkStart w:id="138" w:name="_Toc499571743"/>
      <w:bookmarkStart w:id="139" w:name="_Toc499641864"/>
      <w:r w:rsidRPr="00AC13E7">
        <w:rPr>
          <w:b/>
          <w:bCs/>
          <w:sz w:val="32"/>
          <w:szCs w:val="32"/>
        </w:rPr>
        <w:br w:type="page"/>
      </w:r>
    </w:p>
    <w:p w14:paraId="62000D7A" w14:textId="2DDC7083" w:rsidR="000B20F0" w:rsidRPr="00AC13E7" w:rsidRDefault="00B467F2" w:rsidP="00AC36B1">
      <w:pPr>
        <w:pStyle w:val="Heading3"/>
        <w:rPr>
          <w:rFonts w:ascii="Times New Roman" w:hAnsi="Times New Roman" w:cs="Times New Roman"/>
          <w:b w:val="0"/>
          <w:bCs/>
          <w:sz w:val="32"/>
          <w:szCs w:val="32"/>
          <w:lang w:val="en-GB"/>
        </w:rPr>
      </w:pPr>
      <w:bookmarkStart w:id="140" w:name="_Toc391905023"/>
      <w:r w:rsidRPr="00AC13E7">
        <w:rPr>
          <w:rFonts w:ascii="Times New Roman" w:hAnsi="Times New Roman" w:cs="Times New Roman"/>
          <w:b w:val="0"/>
          <w:bCs/>
          <w:sz w:val="32"/>
          <w:szCs w:val="32"/>
          <w:lang w:val="en-GB"/>
        </w:rPr>
        <w:lastRenderedPageBreak/>
        <w:t>2.1.8 PhyloWGS</w:t>
      </w:r>
      <w:bookmarkEnd w:id="138"/>
      <w:bookmarkEnd w:id="139"/>
      <w:bookmarkEnd w:id="140"/>
    </w:p>
    <w:p w14:paraId="1B89416D" w14:textId="32F9F047" w:rsidR="005A4866" w:rsidRPr="00AC13E7" w:rsidRDefault="005A4866" w:rsidP="005A4866">
      <w:pPr>
        <w:rPr>
          <w:rFonts w:eastAsia="Times New Roman"/>
          <w:b/>
        </w:rPr>
      </w:pPr>
      <w:bookmarkStart w:id="141" w:name="_Toc499569278"/>
      <w:bookmarkStart w:id="142" w:name="_Toc499571744"/>
      <w:r w:rsidRPr="00AC13E7">
        <w:t xml:space="preserve">Jeff Wintersinger, Amit Deshwar, </w:t>
      </w:r>
      <w:r w:rsidRPr="00AC13E7">
        <w:rPr>
          <w:rFonts w:eastAsia="Times New Roman"/>
        </w:rPr>
        <w:t xml:space="preserve">Shankar Vembu, </w:t>
      </w:r>
      <w:r w:rsidRPr="00AC13E7">
        <w:t>Quaid D. Morris</w:t>
      </w:r>
    </w:p>
    <w:p w14:paraId="301A6671" w14:textId="22CFDE20" w:rsidR="000B20F0" w:rsidRPr="00AC13E7" w:rsidRDefault="000B20F0" w:rsidP="005A4866">
      <w:pPr>
        <w:rPr>
          <w:bCs/>
        </w:rPr>
      </w:pPr>
    </w:p>
    <w:p w14:paraId="3A2EFEDD" w14:textId="77777777" w:rsidR="00A7657E" w:rsidRPr="00AC13E7" w:rsidRDefault="00A7657E" w:rsidP="002E3119">
      <w:pPr>
        <w:rPr>
          <w:bCs/>
        </w:rPr>
      </w:pPr>
      <w:r w:rsidRPr="00AC13E7">
        <w:rPr>
          <w:b/>
          <w:bCs/>
        </w:rPr>
        <w:t>Preprocessing</w:t>
      </w:r>
      <w:bookmarkEnd w:id="141"/>
      <w:bookmarkEnd w:id="142"/>
    </w:p>
    <w:p w14:paraId="37F42B8B" w14:textId="7E66784E" w:rsidR="00A7657E" w:rsidRPr="00AC13E7" w:rsidRDefault="00A7657E" w:rsidP="0056518D">
      <w:pPr>
        <w:jc w:val="both"/>
      </w:pPr>
      <w:r w:rsidRPr="00AC13E7">
        <w:t xml:space="preserve">We subsampled </w:t>
      </w:r>
      <w:r w:rsidR="0010025B" w:rsidRPr="00AC13E7">
        <w:t>simple somatic mutations (</w:t>
      </w:r>
      <w:r w:rsidRPr="00AC13E7">
        <w:t>SSMs</w:t>
      </w:r>
      <w:r w:rsidR="00FD4387" w:rsidRPr="00AC13E7">
        <w:t xml:space="preserve">, also </w:t>
      </w:r>
      <w:r w:rsidR="00EF43CE" w:rsidRPr="00AC13E7">
        <w:t>referred to</w:t>
      </w:r>
      <w:r w:rsidR="00FD4387" w:rsidRPr="00AC13E7">
        <w:t xml:space="preserve"> as SNVs</w:t>
      </w:r>
      <w:r w:rsidR="0010025B" w:rsidRPr="00AC13E7">
        <w:t>)</w:t>
      </w:r>
      <w:r w:rsidRPr="00AC13E7">
        <w:t xml:space="preserve"> to a maximum of 5</w:t>
      </w:r>
      <w:r w:rsidR="001D6E0F" w:rsidRPr="00AC13E7">
        <w:t>,</w:t>
      </w:r>
      <w:r w:rsidRPr="00AC13E7">
        <w:t>000 per sample, selecting SSMs according to the provided priority list used across methods. We selected only SSMs located in genomic regions where the consensus copy-number state was known, allowing the method to correct for copy-number changes' effects on observed variant allele frequencies.</w:t>
      </w:r>
    </w:p>
    <w:p w14:paraId="2D37435F" w14:textId="77777777" w:rsidR="00A7657E" w:rsidRPr="00AC13E7" w:rsidRDefault="00A7657E" w:rsidP="0056518D">
      <w:pPr>
        <w:jc w:val="both"/>
      </w:pPr>
    </w:p>
    <w:p w14:paraId="3C205F1D" w14:textId="17F91133" w:rsidR="00A7657E" w:rsidRPr="00AC13E7" w:rsidRDefault="00A7657E" w:rsidP="0056518D">
      <w:pPr>
        <w:jc w:val="both"/>
      </w:pPr>
      <w:r w:rsidRPr="00AC13E7">
        <w:t>PhyloWGS places copy-number aberration (CNA) events as mutations in its inferred phylogenetic tree based on their reported cellular prevalen</w:t>
      </w:r>
      <w:r w:rsidR="00945603" w:rsidRPr="00AC13E7">
        <w:t>ce. Although PhyloWGS can utili</w:t>
      </w:r>
      <w:r w:rsidR="00C24C70" w:rsidRPr="00AC13E7">
        <w:t>s</w:t>
      </w:r>
      <w:r w:rsidRPr="00AC13E7">
        <w:t>e subclonal CNAs, only clonal consensus CNAs were available for these analyses, and so only those were provided to PhyloWGS. We modified PhyloWGS so that all CNAs were assigned to the same cluster, but did not require them to be assigned to the clonal cluster, thus permitting clonal clusters defined by only SSMs.</w:t>
      </w:r>
    </w:p>
    <w:p w14:paraId="40EDBFF0" w14:textId="77777777" w:rsidR="00A7657E" w:rsidRPr="00AC13E7" w:rsidRDefault="00A7657E" w:rsidP="0056518D">
      <w:pPr>
        <w:jc w:val="both"/>
      </w:pPr>
    </w:p>
    <w:p w14:paraId="7BE9434F" w14:textId="77777777" w:rsidR="00A7657E" w:rsidRPr="00AC13E7" w:rsidRDefault="00A7657E" w:rsidP="0056518D">
      <w:pPr>
        <w:jc w:val="both"/>
      </w:pPr>
      <w:r w:rsidRPr="00AC13E7">
        <w:t xml:space="preserve">To input a CNA into PhyloWGS, we must know not only the cellular prevalence </w:t>
      </w:r>
      <w:r w:rsidRPr="00AC13E7">
        <w:rPr>
          <w:i/>
        </w:rPr>
        <w:t>p</w:t>
      </w:r>
      <w:r w:rsidRPr="00AC13E7">
        <w:t xml:space="preserve"> of the CNA, set here to the consensus purity, but also the uncertainty in the cellular prevalence estimate (i.e., the standard error </w:t>
      </w:r>
      <w:r w:rsidRPr="00AC13E7">
        <w:rPr>
          <w:i/>
        </w:rPr>
        <w:t>e</w:t>
      </w:r>
      <w:r w:rsidRPr="00AC13E7">
        <w:t xml:space="preserve">). In the original PhyloWGS, we communicated these values to our Bayesian model by generating a “pseudo-SSM” for each CNA, and setting its variant reads </w:t>
      </w:r>
      <w:r w:rsidRPr="00AC13E7">
        <w:rPr>
          <w:i/>
        </w:rPr>
        <w:t xml:space="preserve">v </w:t>
      </w:r>
      <w:r w:rsidRPr="00AC13E7">
        <w:t xml:space="preserve">and total reads </w:t>
      </w:r>
      <w:r w:rsidRPr="00AC13E7">
        <w:rPr>
          <w:i/>
        </w:rPr>
        <w:t>d</w:t>
      </w:r>
      <w:r w:rsidRPr="00AC13E7">
        <w:t xml:space="preserve"> to the values PhyloWGS would expect for an SSM with the same cellular prevalence and standard error.</w:t>
      </w:r>
    </w:p>
    <w:p w14:paraId="3EC827D5" w14:textId="77777777" w:rsidR="00A7657E" w:rsidRPr="00AC13E7" w:rsidRDefault="00A7657E" w:rsidP="0056518D">
      <w:pPr>
        <w:jc w:val="both"/>
      </w:pPr>
    </w:p>
    <w:p w14:paraId="6C0B4EDB" w14:textId="77777777" w:rsidR="00335414" w:rsidRPr="00AC13E7" w:rsidRDefault="00A7657E" w:rsidP="0056518D">
      <w:pPr>
        <w:jc w:val="both"/>
      </w:pPr>
      <w:r w:rsidRPr="00AC13E7">
        <w:t xml:space="preserve">Given the read depth </w:t>
      </w:r>
      <w:r w:rsidRPr="00AC13E7">
        <w:rPr>
          <w:i/>
        </w:rPr>
        <w:t>d</w:t>
      </w:r>
      <w:r w:rsidRPr="00AC13E7">
        <w:t xml:space="preserve"> for the pseudo-SSM, we set </w:t>
      </w:r>
      <w:r w:rsidRPr="00AC13E7">
        <w:rPr>
          <w:i/>
        </w:rPr>
        <w:t>v</w:t>
      </w:r>
      <w:r w:rsidRPr="00AC13E7">
        <w:t xml:space="preserve"> to represent the reported cellular prevalence by setting </w:t>
      </w:r>
      <w:r w:rsidRPr="00AC13E7">
        <w:rPr>
          <w:i/>
        </w:rPr>
        <w:t xml:space="preserve">v = </w:t>
      </w:r>
      <w:r w:rsidRPr="00AC13E7">
        <w:t>0.5</w:t>
      </w:r>
      <w:r w:rsidRPr="00AC13E7">
        <w:rPr>
          <w:i/>
        </w:rPr>
        <w:t>*pd</w:t>
      </w:r>
      <w:r w:rsidRPr="00AC13E7">
        <w:t xml:space="preserve">, meaning that </w:t>
      </w:r>
      <w:r w:rsidRPr="00AC13E7">
        <w:rPr>
          <w:i/>
        </w:rPr>
        <w:t xml:space="preserve">v </w:t>
      </w:r>
      <w:r w:rsidRPr="00AC13E7">
        <w:t xml:space="preserve">represents the expected number of variant reads for an SSM in a diploid region with a cellular prevalence of </w:t>
      </w:r>
      <w:r w:rsidRPr="00AC13E7">
        <w:rPr>
          <w:i/>
        </w:rPr>
        <w:t>p</w:t>
      </w:r>
      <w:r w:rsidRPr="00AC13E7">
        <w:t xml:space="preserve">. In general, we recommend setting the read depth </w:t>
      </w:r>
      <w:r w:rsidRPr="00AC13E7">
        <w:rPr>
          <w:i/>
        </w:rPr>
        <w:t xml:space="preserve">d </w:t>
      </w:r>
      <w:r w:rsidRPr="00AC13E7">
        <w:t>so that the standard error of the pseudo-SSM's implied cellular prevalence would be equal to the standard error in the estimate of the CNA's cellular prevalence. As PhyloWGS uses a binomial likelihood, we can approximate the standard error of the pseudo-SSM's implied cellular prevalence as</w:t>
      </w:r>
    </w:p>
    <w:p w14:paraId="4043034D" w14:textId="292B8893" w:rsidR="00335414" w:rsidRPr="00AC13E7" w:rsidRDefault="0032764D" w:rsidP="0056518D">
      <w:pPr>
        <w:jc w:val="both"/>
      </w:pPr>
      <m:oMathPara>
        <m:oMath>
          <m:r>
            <w:rPr>
              <w:rFonts w:ascii="Cambria Math" w:hAnsi="Cambria Math"/>
            </w:rPr>
            <m:t>e=</m:t>
          </m:r>
          <m:rad>
            <m:radPr>
              <m:degHide m:val="1"/>
              <m:ctrlPr>
                <w:rPr>
                  <w:rFonts w:ascii="Cambria Math" w:hAnsi="Cambria Math"/>
                  <w:i/>
                </w:rPr>
              </m:ctrlPr>
            </m:radPr>
            <m:deg/>
            <m:e>
              <m:f>
                <m:fPr>
                  <m:ctrlPr>
                    <w:rPr>
                      <w:rFonts w:ascii="Cambria Math" w:hAnsi="Cambria Math"/>
                      <w:i/>
                    </w:rPr>
                  </m:ctrlPr>
                </m:fPr>
                <m:num>
                  <m:r>
                    <w:rPr>
                      <w:rFonts w:ascii="Cambria Math" w:hAnsi="Cambria Math"/>
                    </w:rPr>
                    <m:t>p</m:t>
                  </m:r>
                  <m:d>
                    <m:dPr>
                      <m:ctrlPr>
                        <w:rPr>
                          <w:rFonts w:ascii="Cambria Math" w:hAnsi="Cambria Math"/>
                          <w:i/>
                        </w:rPr>
                      </m:ctrlPr>
                    </m:dPr>
                    <m:e>
                      <m:r>
                        <w:rPr>
                          <w:rFonts w:ascii="Cambria Math" w:hAnsi="Cambria Math"/>
                        </w:rPr>
                        <m:t>1-p</m:t>
                      </m:r>
                    </m:e>
                  </m:d>
                </m:num>
                <m:den>
                  <m:d>
                    <m:dPr>
                      <m:ctrlPr>
                        <w:rPr>
                          <w:rFonts w:ascii="Cambria Math" w:hAnsi="Cambria Math"/>
                          <w:i/>
                        </w:rPr>
                      </m:ctrlPr>
                    </m:dPr>
                    <m:e>
                      <m:r>
                        <w:rPr>
                          <w:rFonts w:ascii="Cambria Math" w:hAnsi="Cambria Math"/>
                        </w:rPr>
                        <m:t>d+1</m:t>
                      </m:r>
                    </m:e>
                  </m:d>
                </m:den>
              </m:f>
            </m:e>
          </m:rad>
        </m:oMath>
      </m:oMathPara>
    </w:p>
    <w:p w14:paraId="3C223B5A" w14:textId="77777777" w:rsidR="001D6E0F" w:rsidRPr="00AC13E7" w:rsidRDefault="001D6E0F" w:rsidP="0056518D">
      <w:pPr>
        <w:jc w:val="both"/>
      </w:pPr>
    </w:p>
    <w:p w14:paraId="1FACF338" w14:textId="084BBEA5" w:rsidR="00A7657E" w:rsidRPr="00AC13E7" w:rsidRDefault="001D6E0F" w:rsidP="0056518D">
      <w:pPr>
        <w:jc w:val="both"/>
      </w:pPr>
      <w:r w:rsidRPr="00AC13E7">
        <w:t xml:space="preserve">and </w:t>
      </w:r>
      <w:r w:rsidR="00A7657E" w:rsidRPr="00AC13E7">
        <w:t xml:space="preserve">then solve for </w:t>
      </w:r>
      <w:r w:rsidR="00A7657E" w:rsidRPr="00AC13E7">
        <w:rPr>
          <w:i/>
        </w:rPr>
        <w:t>d</w:t>
      </w:r>
      <w:r w:rsidR="00A7657E" w:rsidRPr="00AC13E7">
        <w:t xml:space="preserve">. Note that </w:t>
      </w:r>
      <w:r w:rsidR="00A7657E" w:rsidRPr="00AC13E7">
        <w:rPr>
          <w:i/>
        </w:rPr>
        <w:t>e</w:t>
      </w:r>
      <w:r w:rsidR="00A7657E" w:rsidRPr="00AC13E7">
        <w:t xml:space="preserve"> scales as the inverse of </w:t>
      </w:r>
      <w:r w:rsidR="00A7657E" w:rsidRPr="00AC13E7">
        <w:rPr>
          <w:i/>
        </w:rPr>
        <w:t>d</w:t>
      </w:r>
      <w:r w:rsidR="00A7657E" w:rsidRPr="00AC13E7">
        <w:t>, meaning that higher read depths produce smaller errors.</w:t>
      </w:r>
    </w:p>
    <w:p w14:paraId="48FB60D8" w14:textId="77777777" w:rsidR="00A7657E" w:rsidRPr="00AC13E7" w:rsidRDefault="00A7657E" w:rsidP="0056518D">
      <w:pPr>
        <w:jc w:val="both"/>
      </w:pPr>
    </w:p>
    <w:p w14:paraId="3545CA14" w14:textId="4E7D4C99" w:rsidR="007573E3" w:rsidRPr="00AC13E7" w:rsidRDefault="00A7657E" w:rsidP="0056518D">
      <w:pPr>
        <w:jc w:val="both"/>
      </w:pPr>
      <w:r w:rsidRPr="00AC13E7">
        <w:t xml:space="preserve">As standard errors for the CNAs were not available, we estimated them using a rule of thumb that let us compute </w:t>
      </w:r>
      <w:r w:rsidRPr="00AC13E7">
        <w:rPr>
          <w:i/>
        </w:rPr>
        <w:t>d</w:t>
      </w:r>
      <w:r w:rsidRPr="00AC13E7">
        <w:t xml:space="preserve"> directly. Because most CNA-calling methods use heterozygous SNPs to determine cellular prevalence, and there are on average seven heterozygous SNPs per 10 kb of genomic sequence, we assumed that the standard error in the estimate of the cellular prevalence for a 10 kb CNA would be approximately equal to the cellular prevalence estimate error for an SSM cluster containing seven heterozygous SNPs. As such a cluster's </w:t>
      </w:r>
      <w:r w:rsidRPr="00AC13E7">
        <w:rPr>
          <w:i/>
        </w:rPr>
        <w:t xml:space="preserve">d </w:t>
      </w:r>
      <w:r w:rsidRPr="00AC13E7">
        <w:t xml:space="preserve">value would be the sum of read depths for all seven SNPs, we set the </w:t>
      </w:r>
      <w:r w:rsidRPr="00AC13E7">
        <w:rPr>
          <w:i/>
        </w:rPr>
        <w:t>d</w:t>
      </w:r>
      <w:r w:rsidRPr="00AC13E7">
        <w:t xml:space="preserve"> value for the pseudo-SSM representing a CNA </w:t>
      </w:r>
      <w:r w:rsidRPr="00AC13E7">
        <w:rPr>
          <w:i/>
        </w:rPr>
        <w:t>i</w:t>
      </w:r>
      <w:r w:rsidRPr="00AC13E7">
        <w:t xml:space="preserve"> to be </w:t>
      </w:r>
      <w:r w:rsidRPr="00AC13E7">
        <w:rPr>
          <w:i/>
        </w:rPr>
        <w:t>d</w:t>
      </w:r>
      <w:r w:rsidR="00C848DE" w:rsidRPr="00AC13E7">
        <w:rPr>
          <w:i/>
          <w:vertAlign w:val="subscript"/>
        </w:rPr>
        <w:t>i</w:t>
      </w:r>
      <w:r w:rsidRPr="00AC13E7">
        <w:t xml:space="preserve"> = </w:t>
      </w:r>
      <w:r w:rsidRPr="00AC13E7">
        <w:rPr>
          <w:i/>
        </w:rPr>
        <w:t>L</w:t>
      </w:r>
      <w:r w:rsidR="00C848DE" w:rsidRPr="00AC13E7">
        <w:rPr>
          <w:i/>
          <w:vertAlign w:val="subscript"/>
        </w:rPr>
        <w:t>i</w:t>
      </w:r>
      <w:r w:rsidRPr="00AC13E7">
        <w:rPr>
          <w:vertAlign w:val="subscript"/>
        </w:rPr>
        <w:t xml:space="preserve"> </w:t>
      </w:r>
      <w:r w:rsidRPr="00AC13E7">
        <w:t xml:space="preserve">* </w:t>
      </w:r>
      <w:r w:rsidRPr="00AC13E7">
        <w:rPr>
          <w:i/>
        </w:rPr>
        <w:t>R</w:t>
      </w:r>
      <w:r w:rsidRPr="00AC13E7">
        <w:t xml:space="preserve"> * </w:t>
      </w:r>
      <w:r w:rsidRPr="00AC13E7">
        <w:rPr>
          <w:i/>
        </w:rPr>
        <w:t>D</w:t>
      </w:r>
      <w:r w:rsidRPr="00AC13E7">
        <w:t xml:space="preserve">, such that </w:t>
      </w:r>
      <w:r w:rsidR="00320299" w:rsidRPr="00AC13E7">
        <w:rPr>
          <w:i/>
        </w:rPr>
        <w:t>L</w:t>
      </w:r>
      <w:r w:rsidRPr="00AC13E7">
        <w:rPr>
          <w:i/>
          <w:vertAlign w:val="subscript"/>
        </w:rPr>
        <w:t>i</w:t>
      </w:r>
      <w:r w:rsidRPr="00AC13E7">
        <w:t xml:space="preserve"> indicates the length (in kb) of the genomic region affected by the CNA, </w:t>
      </w:r>
      <w:r w:rsidRPr="00AC13E7">
        <w:rPr>
          <w:i/>
        </w:rPr>
        <w:t>R</w:t>
      </w:r>
      <w:r w:rsidRPr="00AC13E7">
        <w:t xml:space="preserve"> indicates the heterozygous SNP rate used to infer the </w:t>
      </w:r>
      <w:r w:rsidRPr="00AC13E7">
        <w:lastRenderedPageBreak/>
        <w:t xml:space="preserve">CNA (i.e., 7 heterozygous SNPs per 10 kb), and </w:t>
      </w:r>
      <w:r w:rsidRPr="00AC13E7">
        <w:rPr>
          <w:i/>
        </w:rPr>
        <w:t>D</w:t>
      </w:r>
      <w:r w:rsidRPr="00AC13E7">
        <w:t xml:space="preserve"> indicates the average read depth, taken as the median number of total reads across all SSMs. Next, we merged clonal CNAs into single large CNA events by summing their </w:t>
      </w:r>
      <w:r w:rsidR="002F23A6" w:rsidRPr="00AC13E7">
        <w:rPr>
          <w:i/>
        </w:rPr>
        <w:t>d</w:t>
      </w:r>
      <w:r w:rsidRPr="00AC13E7">
        <w:rPr>
          <w:i/>
          <w:vertAlign w:val="subscript"/>
        </w:rPr>
        <w:t>i</w:t>
      </w:r>
      <w:r w:rsidRPr="00AC13E7">
        <w:t xml:space="preserve"> values, preventing them from being assigned independently of one another to different (subclonal) populations in the inferred tree, producing </w:t>
      </w:r>
      <w:r w:rsidR="009C3897" w:rsidRPr="00AC13E7">
        <w:rPr>
          <w:i/>
        </w:rPr>
        <w:t>d</w:t>
      </w:r>
      <w:r w:rsidRPr="00AC13E7">
        <w:rPr>
          <w:i/>
          <w:vertAlign w:val="subscript"/>
        </w:rPr>
        <w:t>S</w:t>
      </w:r>
      <w:r w:rsidR="009C3897" w:rsidRPr="00AC13E7">
        <w:rPr>
          <w:i/>
        </w:rPr>
        <w:t xml:space="preserve"> = </w:t>
      </w:r>
      <w:r w:rsidR="009C3897" w:rsidRPr="00AC13E7">
        <w:rPr>
          <w:i/>
        </w:rPr>
        <w:sym w:font="Symbol" w:char="F053"/>
      </w:r>
      <w:r w:rsidR="009C3897" w:rsidRPr="00AC13E7">
        <w:rPr>
          <w:i/>
        </w:rPr>
        <w:t>d</w:t>
      </w:r>
      <w:r w:rsidRPr="00AC13E7">
        <w:rPr>
          <w:i/>
          <w:vertAlign w:val="subscript"/>
        </w:rPr>
        <w:t>i</w:t>
      </w:r>
      <w:r w:rsidRPr="00AC13E7">
        <w:t xml:space="preserve">. Finally, we determined the weight </w:t>
      </w:r>
      <w:r w:rsidR="00645CAE" w:rsidRPr="00AC13E7">
        <w:rPr>
          <w:i/>
        </w:rPr>
        <w:t>d</w:t>
      </w:r>
      <w:r w:rsidRPr="00AC13E7">
        <w:rPr>
          <w:i/>
          <w:vertAlign w:val="subscript"/>
        </w:rPr>
        <w:t>C</w:t>
      </w:r>
      <w:r w:rsidRPr="00AC13E7">
        <w:rPr>
          <w:vertAlign w:val="subscript"/>
        </w:rPr>
        <w:t xml:space="preserve"> </w:t>
      </w:r>
      <w:r w:rsidRPr="00AC13E7">
        <w:t xml:space="preserve">for the single clonal CNA event </w:t>
      </w:r>
      <w:r w:rsidRPr="00AC13E7">
        <w:rPr>
          <w:i/>
        </w:rPr>
        <w:t>C</w:t>
      </w:r>
      <w:r w:rsidRPr="00AC13E7">
        <w:t xml:space="preserve"> as </w:t>
      </w:r>
      <w:r w:rsidR="00645CAE" w:rsidRPr="00AC13E7">
        <w:rPr>
          <w:i/>
        </w:rPr>
        <w:t>d</w:t>
      </w:r>
      <w:r w:rsidRPr="00AC13E7">
        <w:rPr>
          <w:i/>
          <w:vertAlign w:val="subscript"/>
        </w:rPr>
        <w:t>C</w:t>
      </w:r>
      <w:r w:rsidRPr="00AC13E7">
        <w:t xml:space="preserve"> = min(</w:t>
      </w:r>
      <w:r w:rsidR="00E43A34" w:rsidRPr="00AC13E7">
        <w:t>[</w:t>
      </w:r>
      <w:r w:rsidR="00645CAE" w:rsidRPr="00AC13E7">
        <w:rPr>
          <w:i/>
        </w:rPr>
        <w:t>d</w:t>
      </w:r>
      <w:r w:rsidRPr="00AC13E7">
        <w:rPr>
          <w:i/>
          <w:vertAlign w:val="subscript"/>
        </w:rPr>
        <w:t>S</w:t>
      </w:r>
      <w:r w:rsidR="00E43A34" w:rsidRPr="00AC13E7">
        <w:t>]</w:t>
      </w:r>
      <w:r w:rsidRPr="00AC13E7">
        <w:t xml:space="preserve">, </w:t>
      </w:r>
      <w:r w:rsidRPr="00AC13E7">
        <w:rPr>
          <w:i/>
        </w:rPr>
        <w:t>A</w:t>
      </w:r>
      <w:r w:rsidRPr="00AC13E7">
        <w:t xml:space="preserve"> * </w:t>
      </w:r>
      <w:r w:rsidRPr="00AC13E7">
        <w:rPr>
          <w:i/>
        </w:rPr>
        <w:t>D</w:t>
      </w:r>
      <w:r w:rsidRPr="00AC13E7">
        <w:t xml:space="preserve">), such that </w:t>
      </w:r>
      <w:r w:rsidRPr="00AC13E7">
        <w:rPr>
          <w:i/>
        </w:rPr>
        <w:t>A</w:t>
      </w:r>
      <w:r w:rsidRPr="00AC13E7">
        <w:t xml:space="preserve"> indicates the average number of SSMs per tumour (set to </w:t>
      </w:r>
      <w:r w:rsidRPr="00AC13E7">
        <w:rPr>
          <w:i/>
        </w:rPr>
        <w:t>A</w:t>
      </w:r>
      <w:r w:rsidRPr="00AC13E7">
        <w:t xml:space="preserve"> = 3000, as this was approximately the average number of clonal SSMs in the PCAWG dataset). </w:t>
      </w:r>
      <w:r w:rsidRPr="00AC13E7">
        <w:rPr>
          <w:i/>
        </w:rPr>
        <w:t xml:space="preserve">A </w:t>
      </w:r>
      <w:r w:rsidRPr="00AC13E7">
        <w:t>represents the maximum confidence level we would have in the cellular prevalence estimate of a CNA in terms of equivalent number of SSMs. Thus, we inform the model that the standard error in the cellular prevalence estimate for a CNA must be no smaller than the standard error associated with a cluster of 3000 SSMs all possessing the sample's average read depth. That is, we constrained the confidence of cellular prevalence estimates from SSMs and from clonal CNAs to be approximately the same. Consequently, for an average read depth of 50 and a purity of 80%, which are typical values seen in PCAWG datasets, this minimum standard error is</w:t>
      </w:r>
      <w:r w:rsidR="00DC3711" w:rsidRPr="00AC13E7">
        <w:t>:</w:t>
      </w:r>
    </w:p>
    <w:p w14:paraId="3E794C9F" w14:textId="77777777" w:rsidR="00DC3711" w:rsidRPr="00AC13E7" w:rsidRDefault="00DC3711" w:rsidP="0056518D">
      <w:pPr>
        <w:jc w:val="both"/>
      </w:pPr>
    </w:p>
    <w:p w14:paraId="58557F3B" w14:textId="2AAFE640" w:rsidR="007573E3" w:rsidRPr="00AC13E7" w:rsidRDefault="0036299C" w:rsidP="0056518D">
      <w:pPr>
        <w:jc w:val="both"/>
      </w:pPr>
      <m:oMathPara>
        <m:oMath>
          <m:sSub>
            <m:sSubPr>
              <m:ctrlPr>
                <w:rPr>
                  <w:rFonts w:ascii="Cambria Math" w:hAnsi="Cambria Math"/>
                  <w:i/>
                </w:rPr>
              </m:ctrlPr>
            </m:sSubPr>
            <m:e>
              <m:r>
                <w:rPr>
                  <w:rFonts w:ascii="Cambria Math" w:hAnsi="Cambria Math"/>
                </w:rPr>
                <m:t>e</m:t>
              </m:r>
            </m:e>
            <m:sub>
              <m:r>
                <w:rPr>
                  <w:rFonts w:ascii="Cambria Math" w:hAnsi="Cambria Math"/>
                </w:rPr>
                <m:t>min</m:t>
              </m:r>
            </m:sub>
          </m:sSub>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p</m:t>
                  </m:r>
                  <m:d>
                    <m:dPr>
                      <m:ctrlPr>
                        <w:rPr>
                          <w:rFonts w:ascii="Cambria Math" w:hAnsi="Cambria Math"/>
                          <w:i/>
                        </w:rPr>
                      </m:ctrlPr>
                    </m:dPr>
                    <m:e>
                      <m:r>
                        <w:rPr>
                          <w:rFonts w:ascii="Cambria Math" w:hAnsi="Cambria Math"/>
                        </w:rPr>
                        <m:t>1-p</m:t>
                      </m:r>
                    </m:e>
                  </m:d>
                </m:num>
                <m:den>
                  <m:d>
                    <m:dPr>
                      <m:ctrlPr>
                        <w:rPr>
                          <w:rFonts w:ascii="Cambria Math" w:hAnsi="Cambria Math"/>
                          <w:i/>
                        </w:rPr>
                      </m:ctrlPr>
                    </m:dPr>
                    <m:e>
                      <m:r>
                        <w:rPr>
                          <w:rFonts w:ascii="Cambria Math" w:hAnsi="Cambria Math"/>
                        </w:rPr>
                        <m:t>d+1</m:t>
                      </m:r>
                    </m:e>
                  </m:d>
                </m:den>
              </m:f>
            </m:e>
          </m:rad>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0.8</m:t>
                  </m:r>
                  <m:d>
                    <m:dPr>
                      <m:ctrlPr>
                        <w:rPr>
                          <w:rFonts w:ascii="Cambria Math" w:hAnsi="Cambria Math"/>
                          <w:i/>
                        </w:rPr>
                      </m:ctrlPr>
                    </m:dPr>
                    <m:e>
                      <m:r>
                        <w:rPr>
                          <w:rFonts w:ascii="Cambria Math" w:hAnsi="Cambria Math"/>
                        </w:rPr>
                        <m:t>1-0.8</m:t>
                      </m:r>
                    </m:e>
                  </m:d>
                </m:num>
                <m:den>
                  <m:d>
                    <m:dPr>
                      <m:ctrlPr>
                        <w:rPr>
                          <w:rFonts w:ascii="Cambria Math" w:hAnsi="Cambria Math"/>
                          <w:i/>
                        </w:rPr>
                      </m:ctrlPr>
                    </m:dPr>
                    <m:e>
                      <m:r>
                        <w:rPr>
                          <w:rFonts w:ascii="Cambria Math" w:hAnsi="Cambria Math"/>
                        </w:rPr>
                        <m:t>3000*50+1</m:t>
                      </m:r>
                    </m:e>
                  </m:d>
                </m:den>
              </m:f>
            </m:e>
          </m:rad>
          <m:r>
            <w:rPr>
              <w:rFonts w:ascii="Cambria Math" w:hAnsi="Cambria Math"/>
            </w:rPr>
            <m:t>≈0.001</m:t>
          </m:r>
        </m:oMath>
      </m:oMathPara>
    </w:p>
    <w:p w14:paraId="17ECB436" w14:textId="77777777" w:rsidR="00313E98" w:rsidRPr="00AC13E7" w:rsidRDefault="00313E98" w:rsidP="0056518D">
      <w:pPr>
        <w:jc w:val="both"/>
      </w:pPr>
    </w:p>
    <w:p w14:paraId="324E34CE" w14:textId="77777777" w:rsidR="00A7657E" w:rsidRPr="00AC13E7" w:rsidRDefault="00A7657E" w:rsidP="002E3119">
      <w:pPr>
        <w:rPr>
          <w:bCs/>
        </w:rPr>
      </w:pPr>
      <w:bookmarkStart w:id="143" w:name="_4tqu145pux6m" w:colFirst="0" w:colLast="0"/>
      <w:bookmarkStart w:id="144" w:name="_Toc499569279"/>
      <w:bookmarkStart w:id="145" w:name="_Toc499571745"/>
      <w:bookmarkEnd w:id="143"/>
      <w:r w:rsidRPr="00AC13E7">
        <w:rPr>
          <w:b/>
          <w:bCs/>
        </w:rPr>
        <w:t>Algorithm</w:t>
      </w:r>
      <w:bookmarkEnd w:id="144"/>
      <w:bookmarkEnd w:id="145"/>
    </w:p>
    <w:p w14:paraId="7D4C9B2C" w14:textId="08E317D5" w:rsidR="00A7657E" w:rsidRPr="00AC13E7" w:rsidRDefault="00A7657E" w:rsidP="00D86E26">
      <w:pPr>
        <w:jc w:val="both"/>
      </w:pPr>
      <w:r w:rsidRPr="00AC13E7">
        <w:t>The PhyloWGS algorithm is fully described in</w:t>
      </w:r>
      <w:r w:rsidR="000A4FA7" w:rsidRPr="00AC13E7">
        <w:t xml:space="preserve"> Deshwar </w:t>
      </w:r>
      <w:r w:rsidR="000A4FA7" w:rsidRPr="00AC13E7">
        <w:rPr>
          <w:i/>
        </w:rPr>
        <w:t>et al</w:t>
      </w:r>
      <w:r w:rsidR="00DC3711" w:rsidRPr="00AC13E7">
        <w:t>.</w:t>
      </w:r>
      <w:r w:rsidR="000A4FA7" w:rsidRPr="00AC13E7">
        <w:fldChar w:fldCharType="begin"/>
      </w:r>
      <w:r w:rsidR="00D86E26">
        <w:instrText xml:space="preserve"> ADDIN EN.CITE &lt;EndNote&gt;&lt;Cite&gt;&lt;Author&gt;Deshwar&lt;/Author&gt;&lt;Year&gt;2015&lt;/Year&gt;&lt;RecNum&gt;34&lt;/RecNum&gt;&lt;DisplayText&gt;&lt;style face="superscript"&gt;39&lt;/style&gt;&lt;/DisplayText&gt;&lt;record&gt;&lt;rec-number&gt;34&lt;/rec-number&gt;&lt;foreign-keys&gt;&lt;key app="EN" db-id="swsz0f55g50w9yex0aqvtfdxarrpzt5z00pd" timestamp="1501502656"&gt;34&lt;/key&gt;&lt;/foreign-keys&gt;&lt;ref-type name="Journal Article"&gt;17&lt;/ref-type&gt;&lt;contributors&gt;&lt;authors&gt;&lt;author&gt;Deshwar, A. G.&lt;/author&gt;&lt;author&gt;Vembu, S.&lt;/author&gt;&lt;author&gt;Yung, C. K.&lt;/author&gt;&lt;author&gt;Jang, G. H.&lt;/author&gt;&lt;author&gt;Stein, L.&lt;/author&gt;&lt;author&gt;Morris, Q.&lt;/author&gt;&lt;/authors&gt;&lt;/contributors&gt;&lt;titles&gt;&lt;title&gt;PhyloWGS: reconstructing subclonal composition and evolution from whole-genome sequencing of tumors&lt;/title&gt;&lt;secondary-title&gt;Genome Biol&lt;/secondary-title&gt;&lt;/titles&gt;&lt;periodical&gt;&lt;full-title&gt;Genome Biol&lt;/full-title&gt;&lt;/periodical&gt;&lt;pages&gt;35&lt;/pages&gt;&lt;volume&gt;16&lt;/volume&gt;&lt;keywords&gt;&lt;keyword&gt;Algorithms&lt;/keyword&gt;&lt;keyword&gt;Clone Cells&lt;/keyword&gt;&lt;keyword&gt;Cluster Analysis&lt;/keyword&gt;&lt;keyword&gt;Computer Simulation&lt;/keyword&gt;&lt;keyword&gt;DNA Copy Number Variations&lt;/keyword&gt;&lt;keyword&gt;Gene Frequency&lt;/keyword&gt;&lt;keyword&gt;Genetic Heterogeneity&lt;/keyword&gt;&lt;keyword&gt;*Genome, Human&lt;/keyword&gt;&lt;keyword&gt;High-Throughput Nucleotide Sequencing/*methods&lt;/keyword&gt;&lt;keyword&gt;Humans&lt;/keyword&gt;&lt;keyword&gt;Mutation&lt;/keyword&gt;&lt;keyword&gt;Neoplasms/*genetics&lt;/keyword&gt;&lt;keyword&gt;*Phylogeny&lt;/keyword&gt;&lt;keyword&gt;Reference Standards&lt;/keyword&gt;&lt;/keywords&gt;&lt;dates&gt;&lt;year&gt;2015&lt;/year&gt;&lt;pub-dates&gt;&lt;date&gt;Feb 13&lt;/date&gt;&lt;/pub-dates&gt;&lt;/dates&gt;&lt;isbn&gt;1474-760X (Electronic)&amp;#xD;1474-7596 (Linking)&lt;/isbn&gt;&lt;accession-num&gt;25786235&lt;/accession-num&gt;&lt;urls&gt;&lt;related-urls&gt;&lt;url&gt;https://www.ncbi.nlm.nih.gov/pubmed/25786235&lt;/url&gt;&lt;/related-urls&gt;&lt;/urls&gt;&lt;custom2&gt;PMC4359439&lt;/custom2&gt;&lt;electronic-resource-num&gt;10.1186/s13059-015-0602-8&lt;/electronic-resource-num&gt;&lt;/record&gt;&lt;/Cite&gt;&lt;/EndNote&gt;</w:instrText>
      </w:r>
      <w:r w:rsidR="000A4FA7" w:rsidRPr="00AC13E7">
        <w:fldChar w:fldCharType="separate"/>
      </w:r>
      <w:r w:rsidR="00D86E26" w:rsidRPr="00D86E26">
        <w:rPr>
          <w:noProof/>
          <w:vertAlign w:val="superscript"/>
        </w:rPr>
        <w:t>39</w:t>
      </w:r>
      <w:r w:rsidR="000A4FA7" w:rsidRPr="00AC13E7">
        <w:fldChar w:fldCharType="end"/>
      </w:r>
      <w:r w:rsidRPr="00AC13E7">
        <w:t>. In brief, we build upon the tree-structured stick-breaking process (TSSB) prior, using Gibbs sampling to sample trees, population frequencies, and SSM assignments via MCMC. After discarding the initial 1000 burn-in trees, we recorded 2500 trees for each dataset. The population frequencies were determined via 500 iterat</w:t>
      </w:r>
      <w:r w:rsidR="00DC3711" w:rsidRPr="00AC13E7">
        <w:t xml:space="preserve">ions of Metropolis-Hastings for </w:t>
      </w:r>
      <w:r w:rsidRPr="00AC13E7">
        <w:t xml:space="preserve">each Gibbs sampling iteration. </w:t>
      </w:r>
    </w:p>
    <w:p w14:paraId="78B43795" w14:textId="77777777" w:rsidR="00313E98" w:rsidRPr="00AC13E7" w:rsidRDefault="00313E98" w:rsidP="0056518D">
      <w:pPr>
        <w:jc w:val="both"/>
      </w:pPr>
    </w:p>
    <w:p w14:paraId="7EE9ED1A" w14:textId="77777777" w:rsidR="00A7657E" w:rsidRPr="00AC13E7" w:rsidRDefault="00A7657E" w:rsidP="002E3119">
      <w:pPr>
        <w:rPr>
          <w:bCs/>
        </w:rPr>
      </w:pPr>
      <w:bookmarkStart w:id="146" w:name="_uloj4p52d03r" w:colFirst="0" w:colLast="0"/>
      <w:bookmarkStart w:id="147" w:name="_Toc499569280"/>
      <w:bookmarkStart w:id="148" w:name="_Toc499571746"/>
      <w:bookmarkEnd w:id="146"/>
      <w:r w:rsidRPr="00AC13E7">
        <w:rPr>
          <w:b/>
          <w:bCs/>
        </w:rPr>
        <w:t>Postprocessing</w:t>
      </w:r>
      <w:bookmarkEnd w:id="147"/>
      <w:bookmarkEnd w:id="148"/>
    </w:p>
    <w:p w14:paraId="6F3A040A" w14:textId="1D097E5F" w:rsidR="00A7657E" w:rsidRPr="00AC13E7" w:rsidRDefault="00A7657E" w:rsidP="002B6310">
      <w:pPr>
        <w:jc w:val="both"/>
      </w:pPr>
      <w:r w:rsidRPr="00AC13E7">
        <w:t xml:space="preserve">PhyloWGS generates clone trees, while the PCAWG consensus efforts required only mutation clusters. As such, we discarded all tree-structure information, retaining only mutation clusters and their assigned frequencies from each MCMC sample. Clusters bearing less than </w:t>
      </w:r>
      <w:r w:rsidR="002B6310" w:rsidRPr="00AC13E7">
        <w:t xml:space="preserve">1% </w:t>
      </w:r>
      <w:r w:rsidRPr="00AC13E7">
        <w:t>of total mutations were removed, with their SSMs reassigned on a per-mutation basis to whichever cluster offered the highest binomial likelihood assignment. We discarded polyclonal trees (i.e., trees bearing multiple independent clonal cancerous populations), rerunning PhyloWGS with a different random seed if more than 80% of sampled trees for a given dataset were polyclonal. On the remaining monoclonal trees, we removed "superclonal" populations. Superclonal populations were deemed to occur when the clonal population had a single child population bearing at least three times as many SSMs as the purported clonal population, with the child possessing no more than one child population itself (but any number of descendant populations). After removing superclonal populations, we assigned their SSMs to their single descendant, then set the descendant's cellular prevalence to the mean of its own cellular prevalence and that of the former clonal population, weighted by the number of SSMs originally in each.</w:t>
      </w:r>
    </w:p>
    <w:p w14:paraId="1FB9EEBE" w14:textId="77777777" w:rsidR="00A7657E" w:rsidRPr="00AC13E7" w:rsidRDefault="00A7657E" w:rsidP="0056518D">
      <w:pPr>
        <w:jc w:val="both"/>
      </w:pPr>
    </w:p>
    <w:p w14:paraId="008B2F11" w14:textId="683D9545" w:rsidR="00150C50" w:rsidRPr="00AC13E7" w:rsidRDefault="00A7657E" w:rsidP="0056518D">
      <w:pPr>
        <w:jc w:val="both"/>
      </w:pPr>
      <w:r w:rsidRPr="00AC13E7">
        <w:t xml:space="preserve">To generate a single solution for each dataset, we first determined the mode number of cancerous populations </w:t>
      </w:r>
      <w:r w:rsidRPr="00AC13E7">
        <w:rPr>
          <w:i/>
        </w:rPr>
        <w:t>K</w:t>
      </w:r>
      <w:r w:rsidRPr="00AC13E7">
        <w:t xml:space="preserve"> across all MCMC samples, restricting further steps to sampled trees that also had </w:t>
      </w:r>
      <w:r w:rsidRPr="00AC13E7">
        <w:rPr>
          <w:i/>
        </w:rPr>
        <w:t>K</w:t>
      </w:r>
      <w:r w:rsidRPr="00AC13E7">
        <w:t xml:space="preserve"> populations. To match populations between trees, we </w:t>
      </w:r>
      <w:r w:rsidRPr="00AC13E7">
        <w:lastRenderedPageBreak/>
        <w:t xml:space="preserve">sorted the </w:t>
      </w:r>
      <w:r w:rsidRPr="00AC13E7">
        <w:rPr>
          <w:i/>
        </w:rPr>
        <w:t xml:space="preserve">K </w:t>
      </w:r>
      <w:r w:rsidRPr="00AC13E7">
        <w:t xml:space="preserve">populations from each sampled tree in order of descending cellular prevalence. Next, to establish SSM assignments to populations, we counted the number of times a given SSM was assigned to each of the </w:t>
      </w:r>
      <w:r w:rsidRPr="00AC13E7">
        <w:rPr>
          <w:i/>
        </w:rPr>
        <w:t>K</w:t>
      </w:r>
      <w:r w:rsidRPr="00AC13E7">
        <w:t xml:space="preserve"> possible populations, reporting the mode assignment as our answer. To determine the per-population number of mutations, rather than simply report the count of summarized SSM assignments for eac</w:t>
      </w:r>
      <w:r w:rsidR="00661AC9" w:rsidRPr="00AC13E7">
        <w:t>h population, we better summaris</w:t>
      </w:r>
      <w:r w:rsidRPr="00AC13E7">
        <w:t>ed the posterior consensus concerning mutation count by calculating the mean number of SSMs per population across selected trees. As the per-population values could then take non-integer values, we rounded these values to the nearest integers, distributing rounding errors by adjusting mutation counts upward or downward by one in the population with the most mutations, and continuing to modify mutation counts in populations ordered by descending number of mutations until the rounding error was fully distributed. Thus, though the per-population mutation counts may not match the reported SSM assignments, the sum of counts will match the total number of mutations assigned. Finally, we determined summary cellular prevalences for each population simply by calculating the mean cellular prevalences of each population across selected trees</w:t>
      </w:r>
      <w:r w:rsidR="00EC0FC4" w:rsidRPr="00AC13E7">
        <w:t>.</w:t>
      </w:r>
    </w:p>
    <w:p w14:paraId="169C0230" w14:textId="77777777" w:rsidR="00DC3711" w:rsidRPr="00AC13E7" w:rsidRDefault="00DC3711" w:rsidP="00B467F2">
      <w:pPr>
        <w:pStyle w:val="Heading3"/>
        <w:rPr>
          <w:rFonts w:ascii="Times New Roman" w:hAnsi="Times New Roman" w:cs="Times New Roman"/>
          <w:b w:val="0"/>
          <w:bCs/>
          <w:sz w:val="32"/>
          <w:szCs w:val="32"/>
          <w:lang w:val="en-GB"/>
        </w:rPr>
      </w:pPr>
    </w:p>
    <w:p w14:paraId="42806798" w14:textId="12B3577B" w:rsidR="00804E23" w:rsidRPr="00AC13E7" w:rsidRDefault="00B467F2" w:rsidP="00DC3711">
      <w:pPr>
        <w:pStyle w:val="Heading3"/>
        <w:rPr>
          <w:rFonts w:ascii="Times New Roman" w:hAnsi="Times New Roman" w:cs="Times New Roman"/>
          <w:b w:val="0"/>
          <w:bCs/>
          <w:sz w:val="32"/>
          <w:szCs w:val="32"/>
          <w:lang w:val="en-GB"/>
        </w:rPr>
      </w:pPr>
      <w:bookmarkStart w:id="149" w:name="_Toc499569281"/>
      <w:bookmarkStart w:id="150" w:name="_Toc499571747"/>
      <w:bookmarkStart w:id="151" w:name="_Toc499641865"/>
      <w:bookmarkStart w:id="152" w:name="_Toc391905024"/>
      <w:r w:rsidRPr="00AC13E7">
        <w:rPr>
          <w:rFonts w:ascii="Times New Roman" w:hAnsi="Times New Roman" w:cs="Times New Roman"/>
          <w:b w:val="0"/>
          <w:bCs/>
          <w:sz w:val="32"/>
          <w:szCs w:val="32"/>
          <w:lang w:val="en-GB"/>
        </w:rPr>
        <w:t xml:space="preserve">2.1.9 </w:t>
      </w:r>
      <w:r w:rsidR="00804E23" w:rsidRPr="00AC13E7">
        <w:rPr>
          <w:rFonts w:ascii="Times New Roman" w:hAnsi="Times New Roman" w:cs="Times New Roman"/>
          <w:b w:val="0"/>
          <w:bCs/>
          <w:sz w:val="32"/>
          <w:szCs w:val="32"/>
          <w:lang w:val="en-GB"/>
        </w:rPr>
        <w:t>PyC</w:t>
      </w:r>
      <w:r w:rsidRPr="00AC13E7">
        <w:rPr>
          <w:rFonts w:ascii="Times New Roman" w:hAnsi="Times New Roman" w:cs="Times New Roman"/>
          <w:b w:val="0"/>
          <w:bCs/>
          <w:sz w:val="32"/>
          <w:szCs w:val="32"/>
          <w:lang w:val="en-GB"/>
        </w:rPr>
        <w:t>lone</w:t>
      </w:r>
      <w:bookmarkEnd w:id="149"/>
      <w:bookmarkEnd w:id="150"/>
      <w:bookmarkEnd w:id="151"/>
      <w:bookmarkEnd w:id="152"/>
    </w:p>
    <w:p w14:paraId="5318D44F" w14:textId="77777777" w:rsidR="00CD5A40" w:rsidRPr="00AC13E7" w:rsidRDefault="00CD5A40" w:rsidP="00CD5A40">
      <w:pPr>
        <w:jc w:val="both"/>
        <w:rPr>
          <w:bCs/>
        </w:rPr>
      </w:pPr>
      <w:r w:rsidRPr="00AC13E7">
        <w:rPr>
          <w:bCs/>
        </w:rPr>
        <w:t>Ke Yuan, Geoff Macintyre, Florian Markowetz</w:t>
      </w:r>
    </w:p>
    <w:p w14:paraId="1AA4C242" w14:textId="77777777" w:rsidR="00516994" w:rsidRPr="00AC13E7" w:rsidRDefault="00516994" w:rsidP="00804E23">
      <w:pPr>
        <w:jc w:val="both"/>
        <w:rPr>
          <w:b/>
        </w:rPr>
      </w:pPr>
    </w:p>
    <w:p w14:paraId="1242BC4A" w14:textId="77777777" w:rsidR="00F718E9" w:rsidRPr="00AC13E7" w:rsidRDefault="00804E23" w:rsidP="00804E23">
      <w:pPr>
        <w:jc w:val="both"/>
        <w:rPr>
          <w:b/>
        </w:rPr>
      </w:pPr>
      <w:r w:rsidRPr="00AC13E7">
        <w:rPr>
          <w:b/>
        </w:rPr>
        <w:t>Preprocessing</w:t>
      </w:r>
    </w:p>
    <w:p w14:paraId="5A5B517B" w14:textId="24AF30BE" w:rsidR="00804E23" w:rsidRPr="00AC13E7" w:rsidRDefault="00804E23" w:rsidP="00804E23">
      <w:pPr>
        <w:jc w:val="both"/>
      </w:pPr>
      <w:r w:rsidRPr="00AC13E7">
        <w:t>The PyClone pipeline uses consensus copy number, consensus purity and variant and reference allele read counts from consensus somatic point mutation calls</w:t>
      </w:r>
      <w:r w:rsidR="00B07C49" w:rsidRPr="00AC13E7">
        <w:t xml:space="preserve"> (SNV)</w:t>
      </w:r>
      <w:r w:rsidRPr="00AC13E7">
        <w:t xml:space="preserve">. </w:t>
      </w:r>
    </w:p>
    <w:p w14:paraId="7C51B718" w14:textId="77777777" w:rsidR="00804E23" w:rsidRPr="00AC13E7" w:rsidRDefault="00804E23" w:rsidP="00804E23"/>
    <w:p w14:paraId="595E4F7E" w14:textId="77777777" w:rsidR="00F718E9" w:rsidRPr="00AC13E7" w:rsidRDefault="00804E23" w:rsidP="002814DD">
      <w:pPr>
        <w:jc w:val="both"/>
        <w:rPr>
          <w:b/>
        </w:rPr>
      </w:pPr>
      <w:r w:rsidRPr="00AC13E7">
        <w:rPr>
          <w:b/>
        </w:rPr>
        <w:t>Algorithm</w:t>
      </w:r>
    </w:p>
    <w:p w14:paraId="65EA1BA3" w14:textId="7FAE7A3E" w:rsidR="00804E23" w:rsidRPr="00AC13E7" w:rsidRDefault="00804E23" w:rsidP="00D86E26">
      <w:pPr>
        <w:jc w:val="both"/>
      </w:pPr>
      <w:r w:rsidRPr="00AC13E7">
        <w:t xml:space="preserve">The description of PyClone is in </w:t>
      </w:r>
      <w:r w:rsidR="002814DD" w:rsidRPr="00AC13E7">
        <w:t xml:space="preserve">Roth </w:t>
      </w:r>
      <w:r w:rsidR="002814DD" w:rsidRPr="00AC13E7">
        <w:rPr>
          <w:i/>
        </w:rPr>
        <w:t>et al</w:t>
      </w:r>
      <w:r w:rsidR="002814DD" w:rsidRPr="00AC13E7">
        <w:t>. (2014)</w:t>
      </w:r>
      <w:r w:rsidR="002814DD" w:rsidRPr="00AC13E7">
        <w:fldChar w:fldCharType="begin">
          <w:fldData xml:space="preserve">PEVuZE5vdGU+PENpdGU+PEF1dGhvcj5Sb3RoPC9BdXRob3I+PFllYXI+MjAxNDwvWWVhcj48UmVj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</w:fldData>
        </w:fldChar>
      </w:r>
      <w:r w:rsidR="00D86E26">
        <w:instrText xml:space="preserve"> ADDIN EN.CITE </w:instrText>
      </w:r>
      <w:r w:rsidR="00D86E26">
        <w:fldChar w:fldCharType="begin">
          <w:fldData xml:space="preserve">PEVuZE5vdGU+PENpdGU+PEF1dGhvcj5Sb3RoPC9BdXRob3I+PFllYXI+MjAxNDwvWWVhcj48UmVj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</w:fldData>
        </w:fldChar>
      </w:r>
      <w:r w:rsidR="00D86E26">
        <w:instrText xml:space="preserve"> ADDIN EN.CITE.DATA </w:instrText>
      </w:r>
      <w:r w:rsidR="00D86E26">
        <w:fldChar w:fldCharType="end"/>
      </w:r>
      <w:r w:rsidR="002814DD" w:rsidRPr="00AC13E7">
        <w:fldChar w:fldCharType="separate"/>
      </w:r>
      <w:r w:rsidR="00D86E26" w:rsidRPr="00D86E26">
        <w:rPr>
          <w:noProof/>
          <w:vertAlign w:val="superscript"/>
        </w:rPr>
        <w:t>40</w:t>
      </w:r>
      <w:r w:rsidR="002814DD" w:rsidRPr="00AC13E7">
        <w:fldChar w:fldCharType="end"/>
      </w:r>
      <w:r w:rsidR="002814DD" w:rsidRPr="00AC13E7">
        <w:t xml:space="preserve">. </w:t>
      </w:r>
      <w:r w:rsidRPr="00AC13E7">
        <w:t>The model assumes that each mutation is sampled f</w:t>
      </w:r>
      <w:r w:rsidR="002814DD" w:rsidRPr="00AC13E7">
        <w:t>rom</w:t>
      </w:r>
      <w:r w:rsidRPr="00AC13E7">
        <w:t xml:space="preserve"> a mixture of Beta-Binomial model. The cluster-wise parameter is a draw from a Dirichlet </w:t>
      </w:r>
      <w:r w:rsidR="001D7207" w:rsidRPr="00AC13E7">
        <w:t>P</w:t>
      </w:r>
      <w:r w:rsidRPr="00AC13E7">
        <w:t xml:space="preserve">rocess prior.  For copy number, we use the parental copy number prior. The prior assumes the composition cells in terms of normal, reference and variant populations. The reference and variant populations are cancer cells. We set the two to have the same copy number profiles. The multiplicities are chosen among </w:t>
      </w:r>
      <w:r w:rsidR="00C22100" w:rsidRPr="00AC13E7">
        <w:rPr>
          <w:rFonts w:ascii="Cambria Math" w:hAnsi="Cambria Math"/>
          <w:i/>
          <w:iCs/>
        </w:rPr>
        <w:t>[1, n</w:t>
      </w:r>
      <w:r w:rsidR="00C22100" w:rsidRPr="00AC13E7">
        <w:rPr>
          <w:rFonts w:ascii="Cambria Math" w:hAnsi="Cambria Math"/>
          <w:i/>
          <w:iCs/>
          <w:vertAlign w:val="subscript"/>
        </w:rPr>
        <w:t>i,min</w:t>
      </w:r>
      <w:r w:rsidR="00C22100" w:rsidRPr="00AC13E7">
        <w:rPr>
          <w:rFonts w:ascii="Cambria Math" w:hAnsi="Cambria Math"/>
          <w:i/>
          <w:iCs/>
        </w:rPr>
        <w:t>, n</w:t>
      </w:r>
      <w:r w:rsidR="00C22100" w:rsidRPr="00AC13E7">
        <w:rPr>
          <w:rFonts w:ascii="Cambria Math" w:hAnsi="Cambria Math"/>
          <w:i/>
          <w:iCs/>
          <w:vertAlign w:val="subscript"/>
        </w:rPr>
        <w:t>i,maj</w:t>
      </w:r>
      <w:r w:rsidR="00C22100" w:rsidRPr="00AC13E7">
        <w:rPr>
          <w:rFonts w:ascii="Cambria Math" w:hAnsi="Cambria Math"/>
          <w:i/>
          <w:iCs/>
        </w:rPr>
        <w:t>]</w:t>
      </w:r>
      <w:r w:rsidR="00C22100" w:rsidRPr="00AC13E7">
        <w:t>. T</w:t>
      </w:r>
      <w:r w:rsidRPr="00AC13E7">
        <w:t>he multiplicities are marginali</w:t>
      </w:r>
      <w:r w:rsidR="00802594" w:rsidRPr="00AC13E7">
        <w:t>sed</w:t>
      </w:r>
      <w:r w:rsidRPr="00AC13E7">
        <w:t xml:space="preserve"> out with</w:t>
      </w:r>
      <w:r w:rsidR="002814DD" w:rsidRPr="00AC13E7">
        <w:t xml:space="preserve"> </w:t>
      </w:r>
      <w:r w:rsidRPr="00AC13E7">
        <w:t>a prior</w:t>
      </w:r>
      <w:r w:rsidR="00372E2C" w:rsidRPr="00AC13E7">
        <w:t xml:space="preserve">, </w:t>
      </w:r>
      <w:r w:rsidRPr="00AC13E7">
        <w:t xml:space="preserve">enforcing equal probabilities. The model is fitted to data with MCMC. </w:t>
      </w:r>
    </w:p>
    <w:p w14:paraId="6133293C" w14:textId="77777777" w:rsidR="00804E23" w:rsidRPr="00AC13E7" w:rsidRDefault="00804E23" w:rsidP="00804E23">
      <w:pPr>
        <w:jc w:val="both"/>
      </w:pPr>
    </w:p>
    <w:p w14:paraId="6C6E0952" w14:textId="77777777" w:rsidR="00F718E9" w:rsidRPr="00AC13E7" w:rsidRDefault="00804E23" w:rsidP="00804E23">
      <w:pPr>
        <w:jc w:val="both"/>
        <w:rPr>
          <w:b/>
        </w:rPr>
      </w:pPr>
      <w:r w:rsidRPr="00AC13E7">
        <w:rPr>
          <w:b/>
        </w:rPr>
        <w:t>Postprocessing</w:t>
      </w:r>
    </w:p>
    <w:p w14:paraId="02C1C7A8" w14:textId="55B8F93D" w:rsidR="00804E23" w:rsidRPr="00AC13E7" w:rsidRDefault="00804E23" w:rsidP="007834BD">
      <w:pPr>
        <w:jc w:val="both"/>
      </w:pPr>
      <w:r w:rsidRPr="00AC13E7">
        <w:t>After discarding burn</w:t>
      </w:r>
      <w:r w:rsidR="00FD6FD5" w:rsidRPr="00AC13E7">
        <w:t>-</w:t>
      </w:r>
      <w:r w:rsidRPr="00AC13E7">
        <w:t>in samples, we use MPEAR implemented in the R package mcclust to compute consensus assignments from the assignment traces. CCF cluster cent</w:t>
      </w:r>
      <w:r w:rsidR="00CF3F46" w:rsidRPr="00AC13E7">
        <w:t>re</w:t>
      </w:r>
      <w:r w:rsidRPr="00AC13E7">
        <w:t>s are obtained as median of CCF traces from the mutations assigned to the same cluster. The results consisted of 1) CCF cent</w:t>
      </w:r>
      <w:r w:rsidR="00065FB1" w:rsidRPr="00AC13E7">
        <w:t>re</w:t>
      </w:r>
      <w:r w:rsidRPr="00AC13E7">
        <w:t xml:space="preserve">s; 2) </w:t>
      </w:r>
      <w:r w:rsidR="00F72298" w:rsidRPr="00AC13E7">
        <w:t>f</w:t>
      </w:r>
      <w:r w:rsidRPr="00AC13E7">
        <w:t xml:space="preserve">inal assignments; 3) multiplicities and observed CCFs. </w:t>
      </w:r>
      <w:r w:rsidR="00156C66" w:rsidRPr="00AC13E7">
        <w:t>C</w:t>
      </w:r>
      <w:r w:rsidRPr="00AC13E7">
        <w:t>lusters with less than 1% of mutations assigned are removed. Clusters with their CCF cent</w:t>
      </w:r>
      <w:r w:rsidR="001B3FC5" w:rsidRPr="00AC13E7">
        <w:t>re</w:t>
      </w:r>
      <w:r w:rsidRPr="00AC13E7">
        <w:t xml:space="preserve">s </w:t>
      </w:r>
      <w:r w:rsidR="007834BD" w:rsidRPr="00AC13E7">
        <w:t xml:space="preserve">less </w:t>
      </w:r>
      <w:r w:rsidRPr="00AC13E7">
        <w:t xml:space="preserve">than 10% </w:t>
      </w:r>
      <w:r w:rsidR="007834BD" w:rsidRPr="00AC13E7">
        <w:t xml:space="preserve">apart </w:t>
      </w:r>
      <w:r w:rsidRPr="00AC13E7">
        <w:t xml:space="preserve">are merged. </w:t>
      </w:r>
    </w:p>
    <w:p w14:paraId="01D16D50" w14:textId="77777777" w:rsidR="00804E23" w:rsidRPr="00AC13E7" w:rsidRDefault="00804E23" w:rsidP="00804E23"/>
    <w:p w14:paraId="521C5E76" w14:textId="77777777" w:rsidR="00DC3711" w:rsidRPr="00AC13E7" w:rsidRDefault="00DC3711" w:rsidP="00804E23"/>
    <w:p w14:paraId="3C0BA10A" w14:textId="77777777" w:rsidR="000668D6" w:rsidRPr="00AC13E7" w:rsidRDefault="000668D6">
      <w:pPr>
        <w:rPr>
          <w:rFonts w:eastAsia="Times"/>
          <w:bCs/>
          <w:color w:val="000000"/>
          <w:sz w:val="32"/>
          <w:szCs w:val="32"/>
        </w:rPr>
      </w:pPr>
      <w:bookmarkStart w:id="153" w:name="_Toc499569282"/>
      <w:bookmarkStart w:id="154" w:name="_Toc499571748"/>
      <w:bookmarkStart w:id="155" w:name="_Toc499641866"/>
      <w:r w:rsidRPr="00AC13E7">
        <w:rPr>
          <w:b/>
          <w:bCs/>
          <w:sz w:val="32"/>
          <w:szCs w:val="32"/>
        </w:rPr>
        <w:br w:type="page"/>
      </w:r>
    </w:p>
    <w:p w14:paraId="22AA347A" w14:textId="15C830FA" w:rsidR="00B467F2" w:rsidRPr="00AC13E7" w:rsidRDefault="00B467F2" w:rsidP="00B467F2">
      <w:pPr>
        <w:pStyle w:val="Heading3"/>
        <w:rPr>
          <w:rFonts w:ascii="Times New Roman" w:hAnsi="Times New Roman" w:cs="Times New Roman"/>
          <w:b w:val="0"/>
          <w:bCs/>
          <w:sz w:val="32"/>
          <w:szCs w:val="32"/>
          <w:lang w:val="en-GB"/>
        </w:rPr>
      </w:pPr>
      <w:bookmarkStart w:id="156" w:name="_Toc391905025"/>
      <w:r w:rsidRPr="00AC13E7">
        <w:rPr>
          <w:rFonts w:ascii="Times New Roman" w:hAnsi="Times New Roman" w:cs="Times New Roman"/>
          <w:b w:val="0"/>
          <w:bCs/>
          <w:sz w:val="32"/>
          <w:szCs w:val="32"/>
          <w:lang w:val="en-GB"/>
        </w:rPr>
        <w:lastRenderedPageBreak/>
        <w:t>2.1.10 Sclust</w:t>
      </w:r>
      <w:bookmarkEnd w:id="153"/>
      <w:bookmarkEnd w:id="154"/>
      <w:bookmarkEnd w:id="155"/>
      <w:bookmarkEnd w:id="156"/>
    </w:p>
    <w:p w14:paraId="53B4D40B" w14:textId="77777777" w:rsidR="002434B2" w:rsidRPr="00AC13E7" w:rsidRDefault="002434B2" w:rsidP="002434B2">
      <w:pPr>
        <w:jc w:val="both"/>
      </w:pPr>
      <w:r w:rsidRPr="00AC13E7">
        <w:t>Martin Peifer, Yupeng Cun, Tsun-Po Yang</w:t>
      </w:r>
    </w:p>
    <w:p w14:paraId="7E915DB6" w14:textId="77777777" w:rsidR="007F2945" w:rsidRPr="00AC13E7" w:rsidRDefault="007F2945" w:rsidP="0056518D">
      <w:pPr>
        <w:jc w:val="both"/>
      </w:pPr>
    </w:p>
    <w:p w14:paraId="19782CB9" w14:textId="343E6B6F" w:rsidR="00F162AD" w:rsidRPr="00AC13E7" w:rsidRDefault="00F162AD" w:rsidP="0098746D">
      <w:pPr>
        <w:jc w:val="both"/>
      </w:pPr>
      <w:r w:rsidRPr="00AC13E7">
        <w:t>From copy number states, estimated purity, and variant allele frequency we derive the cancer cell fraction of each mutation similar to DP</w:t>
      </w:r>
      <w:r w:rsidR="009D3183" w:rsidRPr="00AC13E7">
        <w:t>C</w:t>
      </w:r>
      <w:r w:rsidRPr="00AC13E7">
        <w:t xml:space="preserve">lust. This serves as input for the mutational clustering module of Sclust. The general idea of our mutational clustering approach is that </w:t>
      </w:r>
      <w:r w:rsidR="00600090" w:rsidRPr="00AC13E7">
        <w:t xml:space="preserve">the </w:t>
      </w:r>
      <w:r w:rsidRPr="00AC13E7">
        <w:t xml:space="preserve">histogram of </w:t>
      </w:r>
      <w:r w:rsidR="009A0886" w:rsidRPr="00AC13E7">
        <w:t xml:space="preserve">SNV </w:t>
      </w:r>
      <w:r w:rsidRPr="00AC13E7">
        <w:t xml:space="preserve">cancer cell fractions can be decomposed into a distribution of clonal populations and a distribution of sampling error due to the finite coverage. The distribution of the sampling error is approximated by a Gaussian with zero mean and average standard distribution derived from the cancer cell fractions. Next, the distribution of the clonal </w:t>
      </w:r>
      <w:r w:rsidR="00DC3711" w:rsidRPr="00AC13E7">
        <w:t>populations is derived by a de</w:t>
      </w:r>
      <w:r w:rsidRPr="00AC13E7">
        <w:t>convolution of the histogram of cancer cell fractions with the distribution of sampling error. To solve this ill-posed inverse problem, we use smoothing splines with a fixed smoothing parameter. Peaks in the estimated distribution of clonal populations constitute the cluster location of subclonal populations. Finally, mutations are assigned to the most probable peak using a binomial model.</w:t>
      </w:r>
    </w:p>
    <w:p w14:paraId="1F2EF46F" w14:textId="77777777" w:rsidR="00F162AD" w:rsidRPr="00AC13E7" w:rsidRDefault="00F162AD" w:rsidP="00F162AD"/>
    <w:p w14:paraId="2560C20A" w14:textId="77777777" w:rsidR="00DC3711" w:rsidRPr="00AC13E7" w:rsidRDefault="00DC3711" w:rsidP="00AC36B1">
      <w:pPr>
        <w:pStyle w:val="Heading3"/>
        <w:rPr>
          <w:rFonts w:ascii="Times New Roman" w:hAnsi="Times New Roman" w:cs="Times New Roman"/>
          <w:b w:val="0"/>
          <w:bCs/>
          <w:sz w:val="32"/>
          <w:szCs w:val="32"/>
          <w:lang w:val="en-GB"/>
        </w:rPr>
      </w:pPr>
    </w:p>
    <w:p w14:paraId="14F48AAD" w14:textId="79FFE3C4" w:rsidR="002D2E87" w:rsidRPr="00AC13E7" w:rsidRDefault="00B467F2" w:rsidP="00AC36B1">
      <w:pPr>
        <w:pStyle w:val="Heading3"/>
        <w:rPr>
          <w:rFonts w:ascii="Times New Roman" w:hAnsi="Times New Roman" w:cs="Times New Roman"/>
          <w:b w:val="0"/>
          <w:bCs/>
          <w:sz w:val="32"/>
          <w:szCs w:val="32"/>
          <w:lang w:val="en-GB"/>
        </w:rPr>
      </w:pPr>
      <w:bookmarkStart w:id="157" w:name="_Toc499571749"/>
      <w:bookmarkStart w:id="158" w:name="_Toc499641867"/>
      <w:bookmarkStart w:id="159" w:name="_Toc391905026"/>
      <w:r w:rsidRPr="00AC13E7">
        <w:rPr>
          <w:rFonts w:ascii="Times New Roman" w:hAnsi="Times New Roman" w:cs="Times New Roman"/>
          <w:b w:val="0"/>
          <w:bCs/>
          <w:sz w:val="32"/>
          <w:szCs w:val="32"/>
          <w:lang w:val="en-GB"/>
        </w:rPr>
        <w:t>2.1.11 SV</w:t>
      </w:r>
      <w:r w:rsidR="00A81899" w:rsidRPr="00AC13E7">
        <w:rPr>
          <w:rFonts w:ascii="Times New Roman" w:hAnsi="Times New Roman" w:cs="Times New Roman"/>
          <w:b w:val="0"/>
          <w:bCs/>
          <w:sz w:val="32"/>
          <w:szCs w:val="32"/>
          <w:lang w:val="en-GB"/>
        </w:rPr>
        <w:t>c</w:t>
      </w:r>
      <w:r w:rsidRPr="00AC13E7">
        <w:rPr>
          <w:rFonts w:ascii="Times New Roman" w:hAnsi="Times New Roman" w:cs="Times New Roman"/>
          <w:b w:val="0"/>
          <w:bCs/>
          <w:sz w:val="32"/>
          <w:szCs w:val="32"/>
          <w:lang w:val="en-GB"/>
        </w:rPr>
        <w:t>lone</w:t>
      </w:r>
      <w:bookmarkEnd w:id="157"/>
      <w:bookmarkEnd w:id="158"/>
      <w:bookmarkEnd w:id="159"/>
    </w:p>
    <w:p w14:paraId="18DCE946" w14:textId="77777777" w:rsidR="00415CBC" w:rsidRPr="00AC13E7" w:rsidRDefault="00415CBC" w:rsidP="00415CBC">
      <w:pPr>
        <w:jc w:val="both"/>
      </w:pPr>
      <w:r w:rsidRPr="00AC13E7">
        <w:t>Geoff Macintyre, Ke Yuan, Florian Markowetz</w:t>
      </w:r>
    </w:p>
    <w:p w14:paraId="69798425" w14:textId="77777777" w:rsidR="005F0C43" w:rsidRPr="00AC13E7" w:rsidRDefault="005F0C43" w:rsidP="00DC3711">
      <w:pPr>
        <w:jc w:val="both"/>
      </w:pPr>
    </w:p>
    <w:p w14:paraId="56A7A1F3" w14:textId="603CABFF" w:rsidR="00A617ED" w:rsidRPr="00AC13E7" w:rsidRDefault="00A617ED" w:rsidP="00D86E26">
      <w:pPr>
        <w:jc w:val="both"/>
      </w:pPr>
      <w:r w:rsidRPr="00AC13E7">
        <w:t>For a detailed explanation of the SVclone algorithm and pipeline please see</w:t>
      </w:r>
      <w:r w:rsidR="002D5656" w:rsidRPr="00AC13E7">
        <w:t xml:space="preserve"> Cmero </w:t>
      </w:r>
      <w:r w:rsidR="002D5656" w:rsidRPr="00AC13E7">
        <w:rPr>
          <w:i/>
        </w:rPr>
        <w:t>et al</w:t>
      </w:r>
      <w:r w:rsidR="002D5656" w:rsidRPr="00AC13E7">
        <w:t>.</w:t>
      </w:r>
      <w:r w:rsidR="00BB5C4C" w:rsidRPr="00AC13E7">
        <w:t xml:space="preserve"> (2017)</w:t>
      </w:r>
      <w:r w:rsidR="002D5656" w:rsidRPr="00AC13E7">
        <w:fldChar w:fldCharType="begin"/>
      </w:r>
      <w:r w:rsidR="00D86E26">
        <w:instrText xml:space="preserve"> ADDIN EN.CITE &lt;EndNote&gt;&lt;Cite&gt;&lt;Author&gt;Cmero&lt;/Author&gt;&lt;Year&gt;2017&lt;/Year&gt;&lt;RecNum&gt;41&lt;/RecNum&gt;&lt;DisplayText&gt;&lt;style face="superscript"&gt;41&lt;/style&gt;&lt;/DisplayText&gt;&lt;record&gt;&lt;rec-number&gt;41&lt;/rec-number&gt;&lt;foreign-keys&gt;&lt;key app="EN" db-id="swsz0f55g50w9yex0aqvtfdxarrpzt5z00pd" timestamp="1511190869"&gt;41&lt;/key&gt;&lt;/foreign-keys&gt;&lt;ref-type name="Journal Article"&gt;17&lt;/ref-type&gt;&lt;contributors&gt;&lt;authors&gt;&lt;author&gt;Cmero, Marek&lt;/author&gt;&lt;author&gt;Ong, Cheng Soon&lt;/author&gt;&lt;author&gt;Yuan, Ke&lt;/author&gt;&lt;author&gt;Schröder, Jan&lt;/author&gt;&lt;author&gt;Mo, Kangbo&lt;/author&gt;&lt;author&gt;Corcoran, Niall M.&lt;/author&gt;&lt;author&gt;Papenfuss, Anthony Troy&lt;/author&gt;&lt;author&gt;Hovens, Christopher M.&lt;/author&gt;&lt;author&gt;Markowetz, Florian&lt;/author&gt;&lt;author&gt;Macintyre, Geoff&lt;/author&gt;&lt;/authors&gt;&lt;/contributors&gt;&lt;titles&gt;&lt;title&gt;SVclone: inferring structural variant cancer cell fraction&lt;/title&gt;&lt;secondary-title&gt;bioRxiv&lt;/secondary-title&gt;&lt;/titles&gt;&lt;periodical&gt;&lt;full-title&gt;bioRxiv&lt;/full-title&gt;&lt;/periodical&gt;&lt;dates&gt;&lt;year&gt;2017&lt;/year&gt;&lt;/dates&gt;&lt;urls&gt;&lt;/urls&gt;&lt;electronic-resource-num&gt;10.1101/172486&lt;/electronic-resource-num&gt;&lt;/record&gt;&lt;/Cite&gt;&lt;/EndNote&gt;</w:instrText>
      </w:r>
      <w:r w:rsidR="002D5656" w:rsidRPr="00AC13E7">
        <w:fldChar w:fldCharType="separate"/>
      </w:r>
      <w:r w:rsidR="00D86E26" w:rsidRPr="00D86E26">
        <w:rPr>
          <w:noProof/>
          <w:vertAlign w:val="superscript"/>
        </w:rPr>
        <w:t>41</w:t>
      </w:r>
      <w:r w:rsidR="002D5656" w:rsidRPr="00AC13E7">
        <w:fldChar w:fldCharType="end"/>
      </w:r>
      <w:r w:rsidR="002D5656" w:rsidRPr="00AC13E7">
        <w:t xml:space="preserve"> </w:t>
      </w:r>
      <w:r w:rsidRPr="00AC13E7">
        <w:t xml:space="preserve">Here we provide further details regarding the application of SVclone to PCAWG samples. </w:t>
      </w:r>
    </w:p>
    <w:p w14:paraId="65C17B9A" w14:textId="77777777" w:rsidR="000E6B66" w:rsidRPr="00AC13E7" w:rsidRDefault="000E6B66" w:rsidP="008B6240"/>
    <w:p w14:paraId="77FCD51E" w14:textId="77777777" w:rsidR="00A617ED" w:rsidRPr="00AC13E7" w:rsidRDefault="00A617ED" w:rsidP="002E3119">
      <w:pPr>
        <w:rPr>
          <w:bCs/>
        </w:rPr>
      </w:pPr>
      <w:bookmarkStart w:id="160" w:name="_Toc499569283"/>
      <w:bookmarkStart w:id="161" w:name="_Toc499571750"/>
      <w:r w:rsidRPr="00AC13E7">
        <w:rPr>
          <w:b/>
          <w:bCs/>
        </w:rPr>
        <w:t>Preprocessing</w:t>
      </w:r>
      <w:bookmarkEnd w:id="160"/>
      <w:bookmarkEnd w:id="161"/>
    </w:p>
    <w:p w14:paraId="3988EB0A" w14:textId="07946399" w:rsidR="00A617ED" w:rsidRPr="00AC13E7" w:rsidRDefault="00A617ED" w:rsidP="00167115">
      <w:pPr>
        <w:pStyle w:val="NormalWeb"/>
        <w:spacing w:before="0" w:beforeAutospacing="0" w:after="0" w:afterAutospacing="0"/>
        <w:jc w:val="both"/>
        <w:rPr>
          <w:lang w:val="en-GB"/>
        </w:rPr>
      </w:pPr>
      <w:r w:rsidRPr="00AC13E7">
        <w:rPr>
          <w:color w:val="000000"/>
          <w:lang w:val="en-GB"/>
        </w:rPr>
        <w:t xml:space="preserve">Using the consensus SV vcf, consensus SNV vcf, final consensus </w:t>
      </w:r>
      <w:r w:rsidR="00CD109B" w:rsidRPr="00AC13E7">
        <w:rPr>
          <w:color w:val="000000"/>
          <w:lang w:val="en-GB"/>
        </w:rPr>
        <w:t>copy number</w:t>
      </w:r>
      <w:r w:rsidRPr="00AC13E7">
        <w:rPr>
          <w:color w:val="000000"/>
          <w:lang w:val="en-GB"/>
        </w:rPr>
        <w:t xml:space="preserve"> profile, consensus purity estimate, and indexed WGS miniBAM</w:t>
      </w:r>
      <w:r w:rsidR="00996D6A" w:rsidRPr="00AC13E7">
        <w:rPr>
          <w:color w:val="000000"/>
          <w:lang w:val="en-GB"/>
        </w:rPr>
        <w:t xml:space="preserve"> </w:t>
      </w:r>
      <w:r w:rsidR="00167115" w:rsidRPr="00AC13E7">
        <w:rPr>
          <w:color w:val="000000"/>
          <w:lang w:val="en-GB"/>
        </w:rPr>
        <w:t xml:space="preserve">file </w:t>
      </w:r>
      <w:r w:rsidRPr="00AC13E7">
        <w:rPr>
          <w:color w:val="000000"/>
          <w:lang w:val="en-GB"/>
        </w:rPr>
        <w:t xml:space="preserve">for each sample, the following preprocessing steps were carried out using SVclone: </w:t>
      </w:r>
    </w:p>
    <w:p w14:paraId="54ADC44F" w14:textId="77777777" w:rsidR="00A617ED" w:rsidRPr="00AC13E7" w:rsidRDefault="00A617ED" w:rsidP="0056518D">
      <w:pPr>
        <w:pStyle w:val="NormalWeb"/>
        <w:numPr>
          <w:ilvl w:val="0"/>
          <w:numId w:val="4"/>
        </w:numPr>
        <w:spacing w:before="0" w:beforeAutospacing="0" w:after="0" w:afterAutospacing="0"/>
        <w:jc w:val="both"/>
        <w:textAlignment w:val="baseline"/>
        <w:rPr>
          <w:color w:val="000000"/>
          <w:lang w:val="en-GB"/>
        </w:rPr>
      </w:pPr>
      <w:r w:rsidRPr="00AC13E7">
        <w:rPr>
          <w:color w:val="000000"/>
          <w:lang w:val="en-GB"/>
        </w:rPr>
        <w:t>annotate - each of the SV pairs was annotated as coming from a deletion, inversion, translocation, or duplication</w:t>
      </w:r>
    </w:p>
    <w:p w14:paraId="2950F732" w14:textId="77777777" w:rsidR="00A617ED" w:rsidRPr="00AC13E7" w:rsidRDefault="00A617ED" w:rsidP="0056518D">
      <w:pPr>
        <w:pStyle w:val="NormalWeb"/>
        <w:numPr>
          <w:ilvl w:val="0"/>
          <w:numId w:val="4"/>
        </w:numPr>
        <w:spacing w:before="0" w:beforeAutospacing="0" w:after="0" w:afterAutospacing="0"/>
        <w:jc w:val="both"/>
        <w:textAlignment w:val="baseline"/>
        <w:rPr>
          <w:color w:val="000000"/>
          <w:lang w:val="en-GB"/>
        </w:rPr>
      </w:pPr>
      <w:r w:rsidRPr="00AC13E7">
        <w:rPr>
          <w:color w:val="000000"/>
          <w:lang w:val="en-GB"/>
        </w:rPr>
        <w:t>count - normal and variant read counts for each SV were extracted from the miniBAM file and adjusted based on SV event type</w:t>
      </w:r>
    </w:p>
    <w:p w14:paraId="2228139B" w14:textId="77777777" w:rsidR="00A617ED" w:rsidRPr="00AC13E7" w:rsidRDefault="00A617ED" w:rsidP="0056518D">
      <w:pPr>
        <w:pStyle w:val="NormalWeb"/>
        <w:numPr>
          <w:ilvl w:val="0"/>
          <w:numId w:val="4"/>
        </w:numPr>
        <w:spacing w:before="0" w:beforeAutospacing="0" w:after="0" w:afterAutospacing="0"/>
        <w:jc w:val="both"/>
        <w:textAlignment w:val="baseline"/>
        <w:rPr>
          <w:color w:val="000000"/>
          <w:lang w:val="en-GB"/>
        </w:rPr>
      </w:pPr>
      <w:r w:rsidRPr="00AC13E7">
        <w:rPr>
          <w:color w:val="000000"/>
          <w:lang w:val="en-GB"/>
        </w:rPr>
        <w:t xml:space="preserve">filter - the following filters were applied: </w:t>
      </w:r>
    </w:p>
    <w:p w14:paraId="7684DDFF" w14:textId="6D815092" w:rsidR="00A617ED" w:rsidRPr="00AC13E7" w:rsidRDefault="00A617ED" w:rsidP="0056518D">
      <w:pPr>
        <w:pStyle w:val="NormalWeb"/>
        <w:numPr>
          <w:ilvl w:val="1"/>
          <w:numId w:val="4"/>
        </w:numPr>
        <w:spacing w:before="0" w:beforeAutospacing="0" w:after="0" w:afterAutospacing="0"/>
        <w:jc w:val="both"/>
        <w:textAlignment w:val="baseline"/>
        <w:rPr>
          <w:color w:val="000000"/>
          <w:lang w:val="en-GB"/>
        </w:rPr>
      </w:pPr>
      <w:r w:rsidRPr="00AC13E7">
        <w:rPr>
          <w:color w:val="000000"/>
          <w:lang w:val="en-GB"/>
        </w:rPr>
        <w:t xml:space="preserve">any SV or SNV that was not matched to a valid </w:t>
      </w:r>
      <w:r w:rsidR="00CD109B" w:rsidRPr="00AC13E7">
        <w:rPr>
          <w:color w:val="000000"/>
          <w:lang w:val="en-GB"/>
        </w:rPr>
        <w:t>copy number</w:t>
      </w:r>
      <w:r w:rsidRPr="00AC13E7">
        <w:rPr>
          <w:color w:val="000000"/>
          <w:lang w:val="en-GB"/>
        </w:rPr>
        <w:t xml:space="preserve"> segment was removed</w:t>
      </w:r>
    </w:p>
    <w:p w14:paraId="624584C8" w14:textId="1D03DA32" w:rsidR="00A617ED" w:rsidRPr="00AC13E7" w:rsidRDefault="00A617ED" w:rsidP="0019730C">
      <w:pPr>
        <w:pStyle w:val="NormalWeb"/>
        <w:numPr>
          <w:ilvl w:val="1"/>
          <w:numId w:val="4"/>
        </w:numPr>
        <w:spacing w:before="0" w:beforeAutospacing="0" w:after="0" w:afterAutospacing="0"/>
        <w:jc w:val="both"/>
        <w:textAlignment w:val="baseline"/>
        <w:rPr>
          <w:color w:val="000000"/>
          <w:lang w:val="en-GB"/>
        </w:rPr>
      </w:pPr>
      <w:r w:rsidRPr="00AC13E7">
        <w:rPr>
          <w:color w:val="000000"/>
          <w:lang w:val="en-GB"/>
        </w:rPr>
        <w:t xml:space="preserve">any SV that </w:t>
      </w:r>
      <w:r w:rsidR="0019730C" w:rsidRPr="00AC13E7">
        <w:rPr>
          <w:color w:val="000000"/>
          <w:lang w:val="en-GB"/>
        </w:rPr>
        <w:t>lacked</w:t>
      </w:r>
      <w:r w:rsidRPr="00AC13E7">
        <w:rPr>
          <w:color w:val="000000"/>
          <w:lang w:val="en-GB"/>
        </w:rPr>
        <w:t xml:space="preserve"> split or spanning supporting read</w:t>
      </w:r>
      <w:r w:rsidR="00CE7DB6" w:rsidRPr="00AC13E7">
        <w:rPr>
          <w:color w:val="000000"/>
          <w:lang w:val="en-GB"/>
        </w:rPr>
        <w:t>s</w:t>
      </w:r>
      <w:r w:rsidRPr="00AC13E7">
        <w:rPr>
          <w:color w:val="000000"/>
          <w:lang w:val="en-GB"/>
        </w:rPr>
        <w:t xml:space="preserve"> was removed</w:t>
      </w:r>
    </w:p>
    <w:p w14:paraId="2003E452" w14:textId="77777777" w:rsidR="00A617ED" w:rsidRPr="00AC13E7" w:rsidRDefault="00A617ED" w:rsidP="0056518D">
      <w:pPr>
        <w:pStyle w:val="NormalWeb"/>
        <w:numPr>
          <w:ilvl w:val="1"/>
          <w:numId w:val="4"/>
        </w:numPr>
        <w:spacing w:before="0" w:beforeAutospacing="0" w:after="0" w:afterAutospacing="0"/>
        <w:jc w:val="both"/>
        <w:textAlignment w:val="baseline"/>
        <w:rPr>
          <w:color w:val="000000"/>
          <w:lang w:val="en-GB"/>
        </w:rPr>
      </w:pPr>
      <w:r w:rsidRPr="00AC13E7">
        <w:rPr>
          <w:color w:val="000000"/>
          <w:lang w:val="en-GB"/>
        </w:rPr>
        <w:t>any SV less than 1000bp was removed</w:t>
      </w:r>
    </w:p>
    <w:p w14:paraId="505AD456" w14:textId="77777777" w:rsidR="00A617ED" w:rsidRPr="00AC13E7" w:rsidRDefault="00A617ED" w:rsidP="0056518D">
      <w:pPr>
        <w:pStyle w:val="NormalWeb"/>
        <w:numPr>
          <w:ilvl w:val="1"/>
          <w:numId w:val="4"/>
        </w:numPr>
        <w:spacing w:before="0" w:beforeAutospacing="0" w:after="0" w:afterAutospacing="0"/>
        <w:jc w:val="both"/>
        <w:textAlignment w:val="baseline"/>
        <w:rPr>
          <w:color w:val="000000"/>
          <w:lang w:val="en-GB"/>
        </w:rPr>
      </w:pPr>
      <w:r w:rsidRPr="00AC13E7">
        <w:rPr>
          <w:color w:val="000000"/>
          <w:lang w:val="en-GB"/>
        </w:rPr>
        <w:t>samples with greater than 4000 SNVs had their SNVs randomly downsampled to 4000 SNVs for clustering</w:t>
      </w:r>
    </w:p>
    <w:p w14:paraId="4790CA13" w14:textId="77777777" w:rsidR="00A617ED" w:rsidRPr="00AC13E7" w:rsidRDefault="00A617ED" w:rsidP="002E3119">
      <w:pPr>
        <w:rPr>
          <w:bCs/>
        </w:rPr>
      </w:pPr>
      <w:bookmarkStart w:id="162" w:name="_Toc499569284"/>
      <w:bookmarkStart w:id="163" w:name="_Toc499571751"/>
      <w:r w:rsidRPr="00AC13E7">
        <w:rPr>
          <w:b/>
          <w:bCs/>
        </w:rPr>
        <w:t>Clustering</w:t>
      </w:r>
      <w:bookmarkEnd w:id="162"/>
      <w:bookmarkEnd w:id="163"/>
    </w:p>
    <w:p w14:paraId="18A504C9" w14:textId="58FAFD52" w:rsidR="00A617ED" w:rsidRPr="00AC13E7" w:rsidRDefault="00A617ED" w:rsidP="00EA749E">
      <w:pPr>
        <w:pStyle w:val="NormalWeb"/>
        <w:spacing w:before="0" w:beforeAutospacing="0" w:after="0" w:afterAutospacing="0"/>
        <w:jc w:val="both"/>
        <w:rPr>
          <w:lang w:val="en-GB"/>
        </w:rPr>
      </w:pPr>
      <w:r w:rsidRPr="00AC13E7">
        <w:rPr>
          <w:color w:val="000000"/>
          <w:lang w:val="en-GB"/>
        </w:rPr>
        <w:t>The co</w:t>
      </w:r>
      <w:r w:rsidR="00B95AE6" w:rsidRPr="00AC13E7">
        <w:rPr>
          <w:color w:val="000000"/>
          <w:lang w:val="en-GB"/>
        </w:rPr>
        <w:t>-</w:t>
      </w:r>
      <w:r w:rsidRPr="00AC13E7">
        <w:rPr>
          <w:color w:val="000000"/>
          <w:lang w:val="en-GB"/>
        </w:rPr>
        <w:t>clustering mode of SVclone was used to simultaneously cluster and determine the CCF of SNVs and SVs. MCMC was carried out for 25</w:t>
      </w:r>
      <w:r w:rsidR="00DC3711" w:rsidRPr="00AC13E7">
        <w:rPr>
          <w:color w:val="000000"/>
          <w:lang w:val="en-GB"/>
        </w:rPr>
        <w:t>,</w:t>
      </w:r>
      <w:r w:rsidRPr="00AC13E7">
        <w:rPr>
          <w:color w:val="000000"/>
          <w:lang w:val="en-GB"/>
        </w:rPr>
        <w:t>000 iterations (12</w:t>
      </w:r>
      <w:r w:rsidR="00DC3711" w:rsidRPr="00AC13E7">
        <w:rPr>
          <w:color w:val="000000"/>
          <w:lang w:val="en-GB"/>
        </w:rPr>
        <w:t>,</w:t>
      </w:r>
      <w:r w:rsidRPr="00AC13E7">
        <w:rPr>
          <w:color w:val="000000"/>
          <w:lang w:val="en-GB"/>
        </w:rPr>
        <w:t xml:space="preserve">500 burn-in) to approximate the posterior distributions over model parameters. During clustering SVclone’s cluster merging procedure was used to merge clusters with overlapping CCF 95% </w:t>
      </w:r>
      <w:r w:rsidR="00EA749E" w:rsidRPr="00AC13E7">
        <w:rPr>
          <w:color w:val="000000"/>
          <w:lang w:val="en-GB"/>
        </w:rPr>
        <w:t xml:space="preserve">confidence </w:t>
      </w:r>
      <w:r w:rsidRPr="00AC13E7">
        <w:rPr>
          <w:color w:val="000000"/>
          <w:lang w:val="en-GB"/>
        </w:rPr>
        <w:t xml:space="preserve">intervals. This procedure was repeated 8 times for each sample and the optimal run was chosen based on SVclone’s BIC-like measure, </w:t>
      </w:r>
      <w:r w:rsidRPr="00AC13E7">
        <w:rPr>
          <w:color w:val="000000"/>
          <w:lang w:val="en-GB"/>
        </w:rPr>
        <w:lastRenderedPageBreak/>
        <w:t xml:space="preserve">svc_IC. alpha and beta values for the gamma distribution prior over the Dirichlet concentration were set to 0.1 and 0.5 respectively. </w:t>
      </w:r>
    </w:p>
    <w:p w14:paraId="0DB54A3F" w14:textId="77777777" w:rsidR="00A617ED" w:rsidRPr="00AC13E7" w:rsidRDefault="00A617ED" w:rsidP="0056518D">
      <w:pPr>
        <w:jc w:val="both"/>
        <w:rPr>
          <w:rFonts w:eastAsia="Times New Roman"/>
        </w:rPr>
      </w:pPr>
    </w:p>
    <w:p w14:paraId="7EEE0157" w14:textId="77777777" w:rsidR="00A617ED" w:rsidRPr="00AC13E7" w:rsidRDefault="00A617ED" w:rsidP="002E3119">
      <w:pPr>
        <w:rPr>
          <w:bCs/>
        </w:rPr>
      </w:pPr>
      <w:bookmarkStart w:id="164" w:name="_Toc499569285"/>
      <w:bookmarkStart w:id="165" w:name="_Toc499571752"/>
      <w:r w:rsidRPr="00AC13E7">
        <w:rPr>
          <w:b/>
          <w:bCs/>
        </w:rPr>
        <w:t>Postprocessing</w:t>
      </w:r>
      <w:bookmarkEnd w:id="164"/>
      <w:bookmarkEnd w:id="165"/>
    </w:p>
    <w:p w14:paraId="0BB65820" w14:textId="77777777" w:rsidR="00A617ED" w:rsidRPr="00AC13E7" w:rsidRDefault="00A617ED" w:rsidP="0056518D">
      <w:pPr>
        <w:jc w:val="both"/>
        <w:rPr>
          <w:rFonts w:eastAsia="Times New Roman"/>
        </w:rPr>
      </w:pPr>
      <w:r w:rsidRPr="00AC13E7">
        <w:rPr>
          <w:rFonts w:eastAsia="Times New Roman"/>
        </w:rPr>
        <w:t>Cluster membership for the variants used during clustering, and cluster mean CCFs, were determined as per SVclone’s default approach. Variants not used in clustering were retroactively assigned to the most likely cluster using SVclone’s post_assign procedure. Low-count clusters were filtered out (&lt; 10 variants or cluster contains &lt; 1% of variants) and variants from these clusters were re-assigned to the second most likely cluster.</w:t>
      </w:r>
    </w:p>
    <w:p w14:paraId="05939E43" w14:textId="77777777" w:rsidR="00BB74A4" w:rsidRPr="00AC13E7" w:rsidRDefault="00BB74A4" w:rsidP="00BB74A4"/>
    <w:p w14:paraId="6B29CFC5" w14:textId="77777777" w:rsidR="00DC3711" w:rsidRPr="00AC13E7" w:rsidRDefault="00DC3711">
      <w:pPr>
        <w:rPr>
          <w:rFonts w:eastAsia="Times"/>
          <w:b/>
          <w:color w:val="000000"/>
          <w:sz w:val="36"/>
          <w:szCs w:val="36"/>
        </w:rPr>
      </w:pPr>
      <w:bookmarkStart w:id="166" w:name="_5co9cmnyau1n" w:colFirst="0" w:colLast="0"/>
      <w:bookmarkStart w:id="167" w:name="_xc06heffmruh" w:colFirst="0" w:colLast="0"/>
      <w:bookmarkStart w:id="168" w:name="_m73lj2t14vai" w:colFirst="0" w:colLast="0"/>
      <w:bookmarkEnd w:id="166"/>
      <w:bookmarkEnd w:id="167"/>
      <w:bookmarkEnd w:id="168"/>
      <w:r w:rsidRPr="00AC13E7">
        <w:br w:type="page"/>
      </w:r>
    </w:p>
    <w:p w14:paraId="34E5333B" w14:textId="7AE22F58" w:rsidR="00720570" w:rsidRPr="00AC13E7" w:rsidRDefault="00FE3B88">
      <w:pPr>
        <w:pStyle w:val="Heading2"/>
        <w:spacing w:before="320" w:after="80"/>
        <w:rPr>
          <w:rFonts w:ascii="Times New Roman" w:hAnsi="Times New Roman" w:cs="Times New Roman"/>
          <w:lang w:val="en-GB"/>
        </w:rPr>
      </w:pPr>
      <w:bookmarkStart w:id="169" w:name="_Toc499569286"/>
      <w:bookmarkStart w:id="170" w:name="_Toc499571753"/>
      <w:bookmarkStart w:id="171" w:name="_Toc499641868"/>
      <w:bookmarkStart w:id="172" w:name="_Toc391905027"/>
      <w:r w:rsidRPr="00AC13E7">
        <w:rPr>
          <w:rFonts w:ascii="Times New Roman" w:hAnsi="Times New Roman" w:cs="Times New Roman"/>
          <w:lang w:val="en-GB"/>
        </w:rPr>
        <w:lastRenderedPageBreak/>
        <w:t>2.2 Subclonal architecture consensus approach</w:t>
      </w:r>
      <w:bookmarkEnd w:id="169"/>
      <w:bookmarkEnd w:id="170"/>
      <w:bookmarkEnd w:id="171"/>
      <w:r w:rsidR="00752152" w:rsidRPr="00AC13E7">
        <w:rPr>
          <w:rFonts w:ascii="Times New Roman" w:hAnsi="Times New Roman" w:cs="Times New Roman"/>
          <w:lang w:val="en-GB"/>
        </w:rPr>
        <w:t>es</w:t>
      </w:r>
      <w:bookmarkEnd w:id="172"/>
    </w:p>
    <w:p w14:paraId="4332A9B5" w14:textId="7CFEC34D" w:rsidR="00B44C5D" w:rsidRPr="00AC13E7" w:rsidRDefault="00B44C5D" w:rsidP="00B44C5D">
      <w:pPr>
        <w:jc w:val="both"/>
      </w:pPr>
      <w:r w:rsidRPr="00AC13E7">
        <w:t xml:space="preserve">Kaixian Yu, Maxime Tarabichi, Amit Deshwar, Stefan Dentro, </w:t>
      </w:r>
      <w:r w:rsidR="00630FBA">
        <w:t>Ignaty Les</w:t>
      </w:r>
      <w:r w:rsidR="0084009D" w:rsidRPr="00AC13E7">
        <w:t>h</w:t>
      </w:r>
      <w:r w:rsidR="00630FBA">
        <w:t>ch</w:t>
      </w:r>
      <w:r w:rsidR="0084009D" w:rsidRPr="00AC13E7">
        <w:t xml:space="preserve">iner, </w:t>
      </w:r>
      <w:r w:rsidRPr="00AC13E7">
        <w:t>David C. Wedge, Quaid D. Morris, Peter Van Loo, Wenyi Wang</w:t>
      </w:r>
    </w:p>
    <w:p w14:paraId="6BB49A69" w14:textId="77777777" w:rsidR="00AE34F3" w:rsidRPr="00AC13E7" w:rsidRDefault="00AE34F3" w:rsidP="008B6240">
      <w:pPr>
        <w:jc w:val="both"/>
      </w:pPr>
    </w:p>
    <w:p w14:paraId="4E300DA5" w14:textId="7076F479" w:rsidR="006E3149" w:rsidRPr="00AC13E7" w:rsidRDefault="00FE3B88" w:rsidP="00373765">
      <w:pPr>
        <w:jc w:val="both"/>
      </w:pPr>
      <w:r w:rsidRPr="00AC13E7">
        <w:t>The</w:t>
      </w:r>
      <w:r w:rsidR="005F7718" w:rsidRPr="00AC13E7">
        <w:t xml:space="preserve"> </w:t>
      </w:r>
      <w:r w:rsidRPr="00AC13E7">
        <w:t xml:space="preserve">11 subclonal reconstructions </w:t>
      </w:r>
      <w:r w:rsidR="002E309D" w:rsidRPr="00AC13E7">
        <w:t xml:space="preserve">described </w:t>
      </w:r>
      <w:r w:rsidR="0092172B" w:rsidRPr="00AC13E7">
        <w:t xml:space="preserve">above </w:t>
      </w:r>
      <w:r w:rsidR="005F7718" w:rsidRPr="00AC13E7">
        <w:t>were applied to the 2</w:t>
      </w:r>
      <w:r w:rsidR="00A77706" w:rsidRPr="00AC13E7">
        <w:t>,</w:t>
      </w:r>
      <w:r w:rsidR="005F7718" w:rsidRPr="00AC13E7">
        <w:t>778 cancer genomes in the PCAWG data set and</w:t>
      </w:r>
      <w:r w:rsidR="00714519" w:rsidRPr="00AC13E7">
        <w:t xml:space="preserve"> we</w:t>
      </w:r>
      <w:r w:rsidR="005F7718" w:rsidRPr="00AC13E7">
        <w:t xml:space="preserve"> aimed to</w:t>
      </w:r>
      <w:r w:rsidR="00714519" w:rsidRPr="00AC13E7">
        <w:t xml:space="preserve"> combine the output into</w:t>
      </w:r>
      <w:r w:rsidR="005F7718" w:rsidRPr="00AC13E7">
        <w:t xml:space="preserve"> a robust consensus subclonal architecture. </w:t>
      </w:r>
    </w:p>
    <w:p w14:paraId="1D1B9924" w14:textId="77777777" w:rsidR="006E3149" w:rsidRPr="00AC13E7" w:rsidRDefault="006E3149" w:rsidP="00373765">
      <w:pPr>
        <w:jc w:val="both"/>
      </w:pPr>
    </w:p>
    <w:p w14:paraId="44A4D07B" w14:textId="7E75B891" w:rsidR="00373765" w:rsidRPr="00AC13E7" w:rsidRDefault="005F7718" w:rsidP="00373765">
      <w:pPr>
        <w:jc w:val="both"/>
      </w:pPr>
      <w:r w:rsidRPr="00AC13E7">
        <w:t xml:space="preserve">We applied the 11 </w:t>
      </w:r>
      <w:r w:rsidR="0097685D" w:rsidRPr="00AC13E7">
        <w:t xml:space="preserve">individual </w:t>
      </w:r>
      <w:r w:rsidR="00FF1339">
        <w:t xml:space="preserve">callers, </w:t>
      </w:r>
      <w:r w:rsidR="0097685D" w:rsidRPr="00AC13E7">
        <w:t>described</w:t>
      </w:r>
      <w:r w:rsidR="00FF1339">
        <w:t xml:space="preserve"> in the previous subsection,</w:t>
      </w:r>
      <w:r w:rsidR="0097685D" w:rsidRPr="00AC13E7">
        <w:t xml:space="preserve"> </w:t>
      </w:r>
      <w:r w:rsidRPr="00AC13E7">
        <w:t>to a subset of ultra-confident copy number segments from the copy number consensus</w:t>
      </w:r>
      <w:r w:rsidR="00CA2F4D" w:rsidRPr="00AC13E7">
        <w:t xml:space="preserve"> (</w:t>
      </w:r>
      <w:r w:rsidR="00E0529F" w:rsidRPr="00AC13E7">
        <w:t>see</w:t>
      </w:r>
      <w:r w:rsidR="00E0529F">
        <w:t xml:space="preserve"> </w:t>
      </w:r>
      <w:r w:rsidR="000065C5" w:rsidRPr="007B5DD2">
        <w:t>1</w:t>
      </w:r>
      <w:r w:rsidR="00E0529F" w:rsidRPr="007B5DD2">
        <w:t>. Copy number consensus</w:t>
      </w:r>
      <w:r w:rsidR="00CA2F4D" w:rsidRPr="00AC13E7">
        <w:t>)</w:t>
      </w:r>
      <w:r w:rsidRPr="00AC13E7">
        <w:t xml:space="preserve">. Segments </w:t>
      </w:r>
      <w:r w:rsidR="006E3149" w:rsidRPr="00AC13E7">
        <w:t xml:space="preserve">were ordered by their confidence level and selected up until at least 75% of the genome was covered. This </w:t>
      </w:r>
      <w:r w:rsidR="001A6BC7" w:rsidRPr="00AC13E7">
        <w:t>ensured that</w:t>
      </w:r>
      <w:r w:rsidR="006E3149" w:rsidRPr="00AC13E7">
        <w:t xml:space="preserve"> the most confident copy number segments </w:t>
      </w:r>
      <w:r w:rsidR="001A6BC7" w:rsidRPr="00AC13E7">
        <w:t xml:space="preserve">were used </w:t>
      </w:r>
      <w:r w:rsidR="006E3149" w:rsidRPr="00AC13E7">
        <w:t>and that those w</w:t>
      </w:r>
      <w:r w:rsidR="001A6BC7" w:rsidRPr="00AC13E7">
        <w:t>ith lower confidence levels could n</w:t>
      </w:r>
      <w:r w:rsidR="006E3149" w:rsidRPr="00AC13E7">
        <w:t xml:space="preserve">ot introduce spurious mutation clusters. </w:t>
      </w:r>
    </w:p>
    <w:p w14:paraId="5C36E016" w14:textId="77777777" w:rsidR="00373765" w:rsidRPr="00AC13E7" w:rsidRDefault="00373765" w:rsidP="00373765">
      <w:pPr>
        <w:jc w:val="both"/>
      </w:pPr>
    </w:p>
    <w:p w14:paraId="6C64AE4F" w14:textId="01DED24F" w:rsidR="0097685D" w:rsidRPr="00AC13E7" w:rsidRDefault="006E3149" w:rsidP="00373765">
      <w:pPr>
        <w:jc w:val="both"/>
      </w:pPr>
      <w:r w:rsidRPr="00AC13E7">
        <w:t>To find mutation clusters</w:t>
      </w:r>
      <w:r w:rsidR="001A6BC7" w:rsidRPr="00AC13E7">
        <w:t>,</w:t>
      </w:r>
      <w:r w:rsidRPr="00AC13E7">
        <w:t xml:space="preserve"> the methods were run on the provided consensus SNVs in the selected copy number regions only</w:t>
      </w:r>
      <w:r w:rsidR="00E966CC" w:rsidRPr="00AC13E7">
        <w:t xml:space="preserve">. This </w:t>
      </w:r>
      <w:r w:rsidRPr="00AC13E7">
        <w:t>yield</w:t>
      </w:r>
      <w:r w:rsidR="00E966CC" w:rsidRPr="00AC13E7">
        <w:t>ed</w:t>
      </w:r>
      <w:r w:rsidRPr="00AC13E7">
        <w:t xml:space="preserve"> 11 subclonal architectures that are described by </w:t>
      </w:r>
      <w:r w:rsidR="00373765" w:rsidRPr="00AC13E7">
        <w:t>four essential outputs</w:t>
      </w:r>
      <w:r w:rsidRPr="00AC13E7">
        <w:t xml:space="preserve">: </w:t>
      </w:r>
    </w:p>
    <w:p w14:paraId="208856A9" w14:textId="7E655764" w:rsidR="00373765" w:rsidRPr="00AC13E7" w:rsidRDefault="00373765" w:rsidP="00373765">
      <w:pPr>
        <w:pStyle w:val="ListParagraph"/>
        <w:numPr>
          <w:ilvl w:val="0"/>
          <w:numId w:val="32"/>
        </w:numPr>
        <w:jc w:val="both"/>
        <w:rPr>
          <w:rFonts w:ascii="Times New Roman" w:hAnsi="Times New Roman" w:cs="Times New Roman"/>
          <w:lang w:val="en-GB"/>
        </w:rPr>
      </w:pPr>
      <w:r w:rsidRPr="00AC13E7">
        <w:rPr>
          <w:rFonts w:ascii="Times New Roman" w:hAnsi="Times New Roman" w:cs="Times New Roman"/>
          <w:lang w:val="en-GB"/>
        </w:rPr>
        <w:t>N</w:t>
      </w:r>
      <w:r w:rsidR="006E3149" w:rsidRPr="00AC13E7">
        <w:rPr>
          <w:rFonts w:ascii="Times New Roman" w:hAnsi="Times New Roman" w:cs="Times New Roman"/>
          <w:lang w:val="en-GB"/>
        </w:rPr>
        <w:t>umber of mutation clu</w:t>
      </w:r>
      <w:r w:rsidR="0097685D" w:rsidRPr="00AC13E7">
        <w:rPr>
          <w:rFonts w:ascii="Times New Roman" w:hAnsi="Times New Roman" w:cs="Times New Roman"/>
          <w:lang w:val="en-GB"/>
        </w:rPr>
        <w:t>sters identified</w:t>
      </w:r>
      <w:r w:rsidRPr="00AC13E7">
        <w:rPr>
          <w:rFonts w:ascii="Times New Roman" w:hAnsi="Times New Roman" w:cs="Times New Roman"/>
          <w:lang w:val="en-GB"/>
        </w:rPr>
        <w:t>,</w:t>
      </w:r>
    </w:p>
    <w:p w14:paraId="5966A55B" w14:textId="77777777" w:rsidR="00373765" w:rsidRPr="00AC13E7" w:rsidRDefault="00373765" w:rsidP="00373765">
      <w:pPr>
        <w:pStyle w:val="ListParagraph"/>
        <w:numPr>
          <w:ilvl w:val="0"/>
          <w:numId w:val="32"/>
        </w:numPr>
        <w:jc w:val="both"/>
        <w:rPr>
          <w:rFonts w:ascii="Times New Roman" w:hAnsi="Times New Roman" w:cs="Times New Roman"/>
          <w:lang w:val="en-GB"/>
        </w:rPr>
      </w:pPr>
      <w:r w:rsidRPr="00AC13E7">
        <w:rPr>
          <w:rFonts w:ascii="Times New Roman" w:hAnsi="Times New Roman" w:cs="Times New Roman"/>
          <w:lang w:val="en-GB"/>
        </w:rPr>
        <w:t>Number</w:t>
      </w:r>
      <w:r w:rsidR="006E3149" w:rsidRPr="00AC13E7">
        <w:rPr>
          <w:rFonts w:ascii="Times New Roman" w:hAnsi="Times New Roman" w:cs="Times New Roman"/>
          <w:lang w:val="en-GB"/>
        </w:rPr>
        <w:t xml:space="preserve"> of mutations </w:t>
      </w:r>
      <w:r w:rsidRPr="00AC13E7">
        <w:rPr>
          <w:rFonts w:ascii="Times New Roman" w:hAnsi="Times New Roman" w:cs="Times New Roman"/>
          <w:lang w:val="en-GB"/>
        </w:rPr>
        <w:t>in each cluster</w:t>
      </w:r>
    </w:p>
    <w:p w14:paraId="2B724346" w14:textId="77777777" w:rsidR="00373765" w:rsidRPr="00AC13E7" w:rsidRDefault="00373765" w:rsidP="00373765">
      <w:pPr>
        <w:pStyle w:val="ListParagraph"/>
        <w:numPr>
          <w:ilvl w:val="0"/>
          <w:numId w:val="32"/>
        </w:numPr>
        <w:jc w:val="both"/>
        <w:rPr>
          <w:rFonts w:ascii="Times New Roman" w:hAnsi="Times New Roman" w:cs="Times New Roman"/>
          <w:lang w:val="en-GB"/>
        </w:rPr>
      </w:pPr>
      <w:r w:rsidRPr="00AC13E7">
        <w:rPr>
          <w:rFonts w:ascii="Times New Roman" w:hAnsi="Times New Roman" w:cs="Times New Roman"/>
          <w:lang w:val="en-GB"/>
        </w:rPr>
        <w:t>P</w:t>
      </w:r>
      <w:r w:rsidR="006E3149" w:rsidRPr="00AC13E7">
        <w:rPr>
          <w:rFonts w:ascii="Times New Roman" w:hAnsi="Times New Roman" w:cs="Times New Roman"/>
          <w:lang w:val="en-GB"/>
        </w:rPr>
        <w:t xml:space="preserve">roportion of tumour cells that each cluster represents </w:t>
      </w:r>
    </w:p>
    <w:p w14:paraId="57EB3FC4" w14:textId="598B9936" w:rsidR="00720570" w:rsidRPr="00AC13E7" w:rsidRDefault="00373765" w:rsidP="00373765">
      <w:pPr>
        <w:pStyle w:val="ListParagraph"/>
        <w:numPr>
          <w:ilvl w:val="0"/>
          <w:numId w:val="32"/>
        </w:numPr>
        <w:jc w:val="both"/>
        <w:rPr>
          <w:rFonts w:ascii="Times New Roman" w:hAnsi="Times New Roman" w:cs="Times New Roman"/>
          <w:lang w:val="en-GB"/>
        </w:rPr>
      </w:pPr>
      <w:r w:rsidRPr="00AC13E7">
        <w:rPr>
          <w:rFonts w:ascii="Times New Roman" w:hAnsi="Times New Roman" w:cs="Times New Roman"/>
          <w:lang w:val="en-GB"/>
        </w:rPr>
        <w:t>M</w:t>
      </w:r>
      <w:r w:rsidR="006E3149" w:rsidRPr="00AC13E7">
        <w:rPr>
          <w:rFonts w:ascii="Times New Roman" w:hAnsi="Times New Roman" w:cs="Times New Roman"/>
          <w:lang w:val="en-GB"/>
        </w:rPr>
        <w:t>utation assignments</w:t>
      </w:r>
      <w:r w:rsidRPr="00AC13E7">
        <w:rPr>
          <w:rFonts w:ascii="Times New Roman" w:hAnsi="Times New Roman" w:cs="Times New Roman"/>
          <w:lang w:val="en-GB"/>
        </w:rPr>
        <w:t xml:space="preserve"> to each cluster - </w:t>
      </w:r>
      <w:r w:rsidR="00755B8B" w:rsidRPr="00AC13E7">
        <w:rPr>
          <w:rFonts w:ascii="Times New Roman" w:hAnsi="Times New Roman" w:cs="Times New Roman"/>
          <w:lang w:val="en-GB"/>
        </w:rPr>
        <w:t>either probabilistic or hard assignments</w:t>
      </w:r>
      <w:r w:rsidR="004B381A" w:rsidRPr="00AC13E7">
        <w:rPr>
          <w:rFonts w:ascii="Times New Roman" w:hAnsi="Times New Roman" w:cs="Times New Roman"/>
          <w:lang w:val="en-GB"/>
        </w:rPr>
        <w:t xml:space="preserve"> </w:t>
      </w:r>
      <w:r w:rsidR="001A6BC7" w:rsidRPr="00AC13E7">
        <w:rPr>
          <w:rFonts w:ascii="Times New Roman" w:hAnsi="Times New Roman" w:cs="Times New Roman"/>
          <w:lang w:val="en-GB"/>
        </w:rPr>
        <w:t xml:space="preserve">of all SNVs </w:t>
      </w:r>
      <w:r w:rsidR="004B381A" w:rsidRPr="00AC13E7">
        <w:rPr>
          <w:rFonts w:ascii="Times New Roman" w:hAnsi="Times New Roman" w:cs="Times New Roman"/>
          <w:lang w:val="en-GB"/>
        </w:rPr>
        <w:t>to the clusters</w:t>
      </w:r>
      <w:r w:rsidR="006E3149" w:rsidRPr="00AC13E7">
        <w:rPr>
          <w:rFonts w:ascii="Times New Roman" w:hAnsi="Times New Roman" w:cs="Times New Roman"/>
          <w:lang w:val="en-GB"/>
        </w:rPr>
        <w:t>.</w:t>
      </w:r>
    </w:p>
    <w:p w14:paraId="1BBFA38A" w14:textId="6972D392" w:rsidR="007A2D63" w:rsidRPr="00AC13E7" w:rsidRDefault="00373765" w:rsidP="007A2D63">
      <w:pPr>
        <w:jc w:val="both"/>
      </w:pPr>
      <w:r w:rsidRPr="00AC13E7">
        <w:t xml:space="preserve">A fifth optional output is the mutation multiplicities, </w:t>
      </w:r>
      <w:r w:rsidR="00CA2F4D" w:rsidRPr="00AC13E7">
        <w:t xml:space="preserve">i.e. the number of physical DNA copies bearing the mutation, </w:t>
      </w:r>
      <w:r w:rsidRPr="00AC13E7">
        <w:t>which is not provided by all individual methods but is used by CICC, one of the consensus approaches, to recalculate the proportion of tumour cells represented by the new consensus clusters.</w:t>
      </w:r>
    </w:p>
    <w:p w14:paraId="49BE91FF" w14:textId="77777777" w:rsidR="007A2D63" w:rsidRPr="00AC13E7" w:rsidRDefault="007A2D63" w:rsidP="00373765">
      <w:pPr>
        <w:jc w:val="both"/>
      </w:pPr>
    </w:p>
    <w:p w14:paraId="455B188F" w14:textId="37B74CC8" w:rsidR="00CA2F4D" w:rsidRPr="00AC13E7" w:rsidRDefault="006E3149" w:rsidP="00373765">
      <w:pPr>
        <w:jc w:val="both"/>
      </w:pPr>
      <w:r w:rsidRPr="00AC13E7">
        <w:t xml:space="preserve">The output of the 11 callers was used as input to the consensus procedure. We developed three orthogonal approaches </w:t>
      </w:r>
      <w:r w:rsidR="00CA2F4D" w:rsidRPr="00AC13E7">
        <w:t xml:space="preserve">(described below </w:t>
      </w:r>
      <w:r w:rsidR="00CA2F4D" w:rsidRPr="00AC13E7">
        <w:fldChar w:fldCharType="begin"/>
      </w:r>
      <w:r w:rsidR="00CA2F4D" w:rsidRPr="00AC13E7">
        <w:instrText xml:space="preserve"> REF _Ref380141003 \h </w:instrText>
      </w:r>
      <w:r w:rsidR="00CA2F4D" w:rsidRPr="00AC13E7">
        <w:fldChar w:fldCharType="separate"/>
      </w:r>
      <w:r w:rsidR="00673FBD" w:rsidRPr="00AC13E7">
        <w:rPr>
          <w:bCs/>
          <w:sz w:val="32"/>
          <w:szCs w:val="32"/>
        </w:rPr>
        <w:t>2.2.1 Consensus approaches</w:t>
      </w:r>
      <w:r w:rsidR="00CA2F4D" w:rsidRPr="00AC13E7">
        <w:fldChar w:fldCharType="end"/>
      </w:r>
      <w:r w:rsidR="00481FCD" w:rsidRPr="00AC13E7">
        <w:t xml:space="preserve">) </w:t>
      </w:r>
      <w:r w:rsidR="00373765" w:rsidRPr="00AC13E7">
        <w:t>that utiliz</w:t>
      </w:r>
      <w:r w:rsidRPr="00AC13E7">
        <w:t>e different representations of th</w:t>
      </w:r>
      <w:r w:rsidR="00373765" w:rsidRPr="00AC13E7">
        <w:t xml:space="preserve">e 11 subclonal reconstructions: </w:t>
      </w:r>
      <w:r w:rsidRPr="00AC13E7">
        <w:rPr>
          <w:b/>
        </w:rPr>
        <w:t>W</w:t>
      </w:r>
      <w:r w:rsidR="00CA2F4D" w:rsidRPr="00AC13E7">
        <w:rPr>
          <w:b/>
        </w:rPr>
        <w:t>e</w:t>
      </w:r>
      <w:r w:rsidRPr="00AC13E7">
        <w:rPr>
          <w:b/>
        </w:rPr>
        <w:t>M</w:t>
      </w:r>
      <w:r w:rsidR="00CA2F4D" w:rsidRPr="00AC13E7">
        <w:rPr>
          <w:b/>
        </w:rPr>
        <w:t>e</w:t>
      </w:r>
      <w:r w:rsidRPr="00AC13E7">
        <w:t xml:space="preserve"> uses c</w:t>
      </w:r>
      <w:r w:rsidR="00373765" w:rsidRPr="00AC13E7">
        <w:t>luster sizes and locations only</w:t>
      </w:r>
      <w:r w:rsidR="00CA2F4D" w:rsidRPr="00AC13E7">
        <w:t>,</w:t>
      </w:r>
      <w:r w:rsidRPr="00AC13E7">
        <w:t xml:space="preserve"> </w:t>
      </w:r>
      <w:r w:rsidRPr="00AC13E7">
        <w:rPr>
          <w:b/>
        </w:rPr>
        <w:t>CSR</w:t>
      </w:r>
      <w:r w:rsidRPr="00AC13E7">
        <w:t xml:space="preserve"> takes in mutation co-assignment probabilities</w:t>
      </w:r>
      <w:r w:rsidR="00CA2F4D" w:rsidRPr="00AC13E7">
        <w:t>,</w:t>
      </w:r>
      <w:r w:rsidR="001A6BC7" w:rsidRPr="00AC13E7">
        <w:t xml:space="preserve"> while </w:t>
      </w:r>
      <w:r w:rsidR="001A6BC7" w:rsidRPr="00AC13E7">
        <w:rPr>
          <w:b/>
        </w:rPr>
        <w:t xml:space="preserve">CICC </w:t>
      </w:r>
      <w:r w:rsidR="001A6BC7" w:rsidRPr="00AC13E7">
        <w:t>depends on mutation-</w:t>
      </w:r>
      <w:r w:rsidRPr="00AC13E7">
        <w:t>to</w:t>
      </w:r>
      <w:r w:rsidR="001A6BC7" w:rsidRPr="00AC13E7">
        <w:t xml:space="preserve">-cluster hard </w:t>
      </w:r>
      <w:r w:rsidRPr="00AC13E7">
        <w:t>assignme</w:t>
      </w:r>
      <w:r w:rsidR="00373765" w:rsidRPr="00AC13E7">
        <w:t>nts</w:t>
      </w:r>
      <w:r w:rsidRPr="00AC13E7">
        <w:t xml:space="preserve">. </w:t>
      </w:r>
    </w:p>
    <w:p w14:paraId="2A8098E4" w14:textId="77777777" w:rsidR="00CA2F4D" w:rsidRPr="00AC13E7" w:rsidRDefault="00CA2F4D" w:rsidP="00373765">
      <w:pPr>
        <w:jc w:val="both"/>
      </w:pPr>
    </w:p>
    <w:p w14:paraId="323B308A" w14:textId="2D21DC5F" w:rsidR="007A2D63" w:rsidRPr="00AC13E7" w:rsidRDefault="006E3149" w:rsidP="00373765">
      <w:pPr>
        <w:jc w:val="both"/>
      </w:pPr>
      <w:r w:rsidRPr="00AC13E7">
        <w:t xml:space="preserve">Each of these </w:t>
      </w:r>
      <w:r w:rsidR="00CA2F4D" w:rsidRPr="00AC13E7">
        <w:t xml:space="preserve">three </w:t>
      </w:r>
      <w:r w:rsidRPr="00AC13E7">
        <w:t>methods returns output for t</w:t>
      </w:r>
      <w:r w:rsidR="00373765" w:rsidRPr="00AC13E7">
        <w:t>hree</w:t>
      </w:r>
      <w:r w:rsidRPr="00AC13E7">
        <w:t xml:space="preserve"> of the key subclonal architecture descriptors: </w:t>
      </w:r>
      <w:r w:rsidR="001610F4" w:rsidRPr="00AC13E7">
        <w:t>the n</w:t>
      </w:r>
      <w:r w:rsidRPr="00AC13E7">
        <w:t>umber of mutation clusters</w:t>
      </w:r>
      <w:r w:rsidR="00373765" w:rsidRPr="00AC13E7">
        <w:t>, the number of mutations in each cluster, and their cellular prevalence</w:t>
      </w:r>
      <w:r w:rsidRPr="00AC13E7">
        <w:t>.</w:t>
      </w:r>
      <w:r w:rsidR="005947BA" w:rsidRPr="00AC13E7">
        <w:t xml:space="preserve"> The results reported in this paper are from the WeMe consensus method, but </w:t>
      </w:r>
      <w:r w:rsidR="007A2D63" w:rsidRPr="00AC13E7">
        <w:t xml:space="preserve">as we show below, </w:t>
      </w:r>
      <w:r w:rsidR="00FA692C" w:rsidRPr="00AC13E7">
        <w:t>we could have chosen</w:t>
      </w:r>
      <w:r w:rsidR="005947BA" w:rsidRPr="00AC13E7">
        <w:t xml:space="preserve"> CSR </w:t>
      </w:r>
      <w:r w:rsidR="00FA692C" w:rsidRPr="00AC13E7">
        <w:t>or</w:t>
      </w:r>
      <w:r w:rsidR="005947BA" w:rsidRPr="00AC13E7">
        <w:t xml:space="preserve"> CICC</w:t>
      </w:r>
      <w:r w:rsidR="007A2D63" w:rsidRPr="00AC13E7">
        <w:t>, which lead to similar results</w:t>
      </w:r>
      <w:r w:rsidR="00FA692C" w:rsidRPr="00AC13E7">
        <w:t>.</w:t>
      </w:r>
    </w:p>
    <w:p w14:paraId="53E72B84" w14:textId="77777777" w:rsidR="007A2D63" w:rsidRPr="00AC13E7" w:rsidRDefault="007A2D63" w:rsidP="00373765">
      <w:pPr>
        <w:jc w:val="both"/>
      </w:pPr>
    </w:p>
    <w:p w14:paraId="70BADFEE" w14:textId="6B964D66" w:rsidR="007A2D63" w:rsidRPr="00AC13E7" w:rsidRDefault="007A2D63" w:rsidP="007A2D63">
      <w:pPr>
        <w:jc w:val="both"/>
      </w:pPr>
      <w:r w:rsidRPr="00AC13E7">
        <w:t>We ran individual methods together with the consensus approaches on two simulated datasets and on the real data. We derived a metric system in which we could score the results and evaluate robustness. The metrics and simulations are described in the following sections</w:t>
      </w:r>
      <w:r w:rsidR="0047431D" w:rsidRPr="00AC13E7">
        <w:t>.</w:t>
      </w:r>
    </w:p>
    <w:p w14:paraId="3600E3E1" w14:textId="77777777" w:rsidR="007A2D63" w:rsidRPr="00AC13E7" w:rsidRDefault="007A2D63" w:rsidP="007A2D63">
      <w:pPr>
        <w:jc w:val="both"/>
      </w:pPr>
    </w:p>
    <w:p w14:paraId="68A5A6E7" w14:textId="7EBD7043" w:rsidR="007A2D63" w:rsidRPr="00AC13E7" w:rsidRDefault="007A2D63" w:rsidP="007A2D63">
      <w:pPr>
        <w:jc w:val="both"/>
      </w:pPr>
      <w:r w:rsidRPr="00AC13E7">
        <w:t xml:space="preserve">Importantly, individual methods perform downsampling when there are more than a given number of SNVs </w:t>
      </w:r>
      <w:r w:rsidRPr="00AC13E7">
        <w:rPr>
          <w:i/>
        </w:rPr>
        <w:t>N</w:t>
      </w:r>
      <w:r w:rsidR="00CA2F4D" w:rsidRPr="00AC13E7">
        <w:t xml:space="preserve"> to be clustered,</w:t>
      </w:r>
      <w:r w:rsidRPr="00AC13E7">
        <w:t xml:space="preserve"> </w:t>
      </w:r>
      <w:r w:rsidR="00CA2F4D" w:rsidRPr="00AC13E7">
        <w:t>e</w:t>
      </w:r>
      <w:r w:rsidRPr="00AC13E7">
        <w:t xml:space="preserve">ach method </w:t>
      </w:r>
      <w:r w:rsidR="00CA2F4D" w:rsidRPr="00AC13E7">
        <w:rPr>
          <w:i/>
        </w:rPr>
        <w:t>m</w:t>
      </w:r>
      <w:r w:rsidR="00CA2F4D" w:rsidRPr="00AC13E7">
        <w:t xml:space="preserve"> </w:t>
      </w:r>
      <w:r w:rsidRPr="00AC13E7">
        <w:t xml:space="preserve">using </w:t>
      </w:r>
      <w:r w:rsidR="001833CC" w:rsidRPr="00AC13E7">
        <w:t>its own</w:t>
      </w:r>
      <w:r w:rsidRPr="00AC13E7">
        <w:t xml:space="preserve"> </w:t>
      </w:r>
      <w:r w:rsidR="001833CC" w:rsidRPr="00AC13E7">
        <w:rPr>
          <w:i/>
        </w:rPr>
        <w:t>N</w:t>
      </w:r>
      <w:r w:rsidR="001833CC" w:rsidRPr="00AC13E7">
        <w:t>:=</w:t>
      </w:r>
      <w:r w:rsidR="00CA2F4D" w:rsidRPr="00AC13E7">
        <w:rPr>
          <w:i/>
        </w:rPr>
        <w:t>N</w:t>
      </w:r>
      <w:r w:rsidR="00CA2F4D" w:rsidRPr="00AC13E7">
        <w:rPr>
          <w:i/>
          <w:vertAlign w:val="subscript"/>
        </w:rPr>
        <w:t>m</w:t>
      </w:r>
      <w:r w:rsidR="00CA2F4D" w:rsidRPr="00AC13E7">
        <w:t xml:space="preserve"> </w:t>
      </w:r>
      <w:r w:rsidRPr="00AC13E7">
        <w:t xml:space="preserve">to </w:t>
      </w:r>
      <w:r w:rsidR="00CA2F4D" w:rsidRPr="00AC13E7">
        <w:t>consider</w:t>
      </w:r>
      <w:r w:rsidRPr="00AC13E7">
        <w:t xml:space="preserve"> downsampling</w:t>
      </w:r>
      <w:r w:rsidR="00CA2F4D" w:rsidRPr="00AC13E7">
        <w:t xml:space="preserve"> to </w:t>
      </w:r>
      <w:r w:rsidR="00CA2F4D" w:rsidRPr="00AC13E7">
        <w:rPr>
          <w:i/>
        </w:rPr>
        <w:t>N</w:t>
      </w:r>
      <w:r w:rsidR="00CA2F4D" w:rsidRPr="00AC13E7">
        <w:rPr>
          <w:i/>
          <w:vertAlign w:val="subscript"/>
        </w:rPr>
        <w:t>m</w:t>
      </w:r>
      <w:r w:rsidR="00CA2F4D" w:rsidRPr="00AC13E7">
        <w:t xml:space="preserve"> SNVs</w:t>
      </w:r>
      <w:r w:rsidRPr="00AC13E7">
        <w:t xml:space="preserve">. Because CICC and CSR rely on mutation </w:t>
      </w:r>
      <w:r w:rsidRPr="00AC13E7">
        <w:lastRenderedPageBreak/>
        <w:t xml:space="preserve">assignment to produce a consensus, we asked individual methods to downsample from a pre-randomised list of SNVs, taking the </w:t>
      </w:r>
      <w:r w:rsidRPr="00AC13E7">
        <w:rPr>
          <w:i/>
        </w:rPr>
        <w:t>N</w:t>
      </w:r>
      <w:r w:rsidRPr="00AC13E7">
        <w:rPr>
          <w:i/>
          <w:vertAlign w:val="subscript"/>
        </w:rPr>
        <w:t>i,downsampled</w:t>
      </w:r>
      <w:r w:rsidRPr="00AC13E7">
        <w:t xml:space="preserve"> first SNVs from that list as input, where </w:t>
      </w:r>
      <w:r w:rsidRPr="00AC13E7">
        <w:rPr>
          <w:i/>
        </w:rPr>
        <w:t>N</w:t>
      </w:r>
      <w:r w:rsidRPr="00AC13E7">
        <w:rPr>
          <w:i/>
          <w:vertAlign w:val="subscript"/>
        </w:rPr>
        <w:t>i,downsampled</w:t>
      </w:r>
      <w:r w:rsidRPr="00AC13E7">
        <w:t xml:space="preserve"> is the i</w:t>
      </w:r>
      <w:r w:rsidRPr="00AC13E7">
        <w:rPr>
          <w:vertAlign w:val="superscript"/>
        </w:rPr>
        <w:t>th</w:t>
      </w:r>
      <w:r w:rsidRPr="00AC13E7">
        <w:t xml:space="preserve"> method’s threshold for downsampling. This ensured a minimal overlap of </w:t>
      </w:r>
      <w:r w:rsidRPr="00AC13E7">
        <w:rPr>
          <w:i/>
        </w:rPr>
        <w:t>min</w:t>
      </w:r>
      <w:r w:rsidRPr="00AC13E7">
        <w:rPr>
          <w:i/>
          <w:vertAlign w:val="subscript"/>
        </w:rPr>
        <w:t>i</w:t>
      </w:r>
      <w:r w:rsidRPr="00AC13E7">
        <w:rPr>
          <w:i/>
        </w:rPr>
        <w:t>(N</w:t>
      </w:r>
      <w:r w:rsidRPr="00AC13E7">
        <w:rPr>
          <w:i/>
          <w:vertAlign w:val="subscript"/>
        </w:rPr>
        <w:t>i</w:t>
      </w:r>
      <w:r w:rsidRPr="00AC13E7">
        <w:rPr>
          <w:i/>
        </w:rPr>
        <w:t>)</w:t>
      </w:r>
      <w:r w:rsidRPr="00AC13E7">
        <w:t xml:space="preserve"> across methods to produce the consensus from.</w:t>
      </w:r>
    </w:p>
    <w:p w14:paraId="76FA1A2A" w14:textId="77777777" w:rsidR="00720570" w:rsidRPr="00AC13E7" w:rsidRDefault="00720570" w:rsidP="00373765">
      <w:pPr>
        <w:jc w:val="both"/>
      </w:pPr>
    </w:p>
    <w:p w14:paraId="73CAC6E6" w14:textId="723099BE" w:rsidR="00720570" w:rsidRPr="00AC13E7" w:rsidRDefault="00C072BA" w:rsidP="00D86E26">
      <w:pPr>
        <w:jc w:val="both"/>
      </w:pPr>
      <w:r w:rsidRPr="00AC13E7">
        <w:t>Finally, t</w:t>
      </w:r>
      <w:r w:rsidR="006E3149" w:rsidRPr="00AC13E7">
        <w:t>o</w:t>
      </w:r>
      <w:r w:rsidR="00C76B7F" w:rsidRPr="00AC13E7">
        <w:t xml:space="preserve"> </w:t>
      </w:r>
      <w:r w:rsidR="006E3149" w:rsidRPr="00AC13E7">
        <w:t>assign all SNVs and also indels and SVs</w:t>
      </w:r>
      <w:r w:rsidR="00DC3711" w:rsidRPr="00AC13E7">
        <w:t>,</w:t>
      </w:r>
      <w:r w:rsidR="005947BA" w:rsidRPr="00AC13E7">
        <w:t xml:space="preserve"> we provided the consensus subclonal architecture description, the full </w:t>
      </w:r>
      <w:r w:rsidR="00D30135" w:rsidRPr="00AC13E7">
        <w:t xml:space="preserve">consensus </w:t>
      </w:r>
      <w:r w:rsidR="005947BA" w:rsidRPr="00AC13E7">
        <w:t xml:space="preserve">copy number profile and </w:t>
      </w:r>
      <w:r w:rsidRPr="00AC13E7">
        <w:t>all</w:t>
      </w:r>
      <w:r w:rsidR="005947BA" w:rsidRPr="00AC13E7">
        <w:t xml:space="preserve"> consensus SNVs, indels and SVs</w:t>
      </w:r>
      <w:r w:rsidRPr="00AC13E7">
        <w:t xml:space="preserve"> for which allele frequencies were available</w:t>
      </w:r>
      <w:r w:rsidR="005947BA" w:rsidRPr="00AC13E7">
        <w:t xml:space="preserve"> to the MutationTimer </w:t>
      </w:r>
      <w:r w:rsidRPr="00AC13E7">
        <w:t>algorithm</w:t>
      </w:r>
      <w:r w:rsidR="005947BA" w:rsidRPr="00AC13E7">
        <w:t xml:space="preserve">, described in Gerstung </w:t>
      </w:r>
      <w:r w:rsidR="005947BA" w:rsidRPr="00AC13E7">
        <w:rPr>
          <w:i/>
        </w:rPr>
        <w:t>et al</w:t>
      </w:r>
      <w:r w:rsidR="00DC3711" w:rsidRPr="00AC13E7">
        <w:t>.</w:t>
      </w:r>
      <w:r w:rsidR="005947BA" w:rsidRPr="00AC13E7">
        <w:t xml:space="preserve"> (2017)</w:t>
      </w:r>
      <w:r w:rsidR="0010278E" w:rsidRPr="00AC13E7">
        <w:fldChar w:fldCharType="begin">
          <w:fldData xml:space="preserve">PEVuZE5vdGU+PENpdGU+PEF1dGhvcj5HZXJzdHVuZzwvQXV0aG9yPjxZZWFyPjIwMTc8L1llYXI+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</w:fldData>
        </w:fldChar>
      </w:r>
      <w:r w:rsidR="00D86E26">
        <w:instrText xml:space="preserve"> ADDIN EN.CITE </w:instrText>
      </w:r>
      <w:r w:rsidR="00D86E26">
        <w:fldChar w:fldCharType="begin">
          <w:fldData xml:space="preserve">PEVuZE5vdGU+PENpdGU+PEF1dGhvcj5HZXJzdHVuZzwvQXV0aG9yPjxZZWFyPjIwMTc8L1llYXI+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</w:fldData>
        </w:fldChar>
      </w:r>
      <w:r w:rsidR="00D86E26">
        <w:instrText xml:space="preserve"> ADDIN EN.CITE.DATA </w:instrText>
      </w:r>
      <w:r w:rsidR="00D86E26">
        <w:fldChar w:fldCharType="end"/>
      </w:r>
      <w:r w:rsidR="0010278E" w:rsidRPr="00AC13E7">
        <w:fldChar w:fldCharType="separate"/>
      </w:r>
      <w:r w:rsidR="00D86E26" w:rsidRPr="00D86E26">
        <w:rPr>
          <w:noProof/>
          <w:vertAlign w:val="superscript"/>
        </w:rPr>
        <w:t>5</w:t>
      </w:r>
      <w:r w:rsidR="0010278E" w:rsidRPr="00AC13E7">
        <w:fldChar w:fldCharType="end"/>
      </w:r>
      <w:r w:rsidR="005947BA" w:rsidRPr="00AC13E7">
        <w:t>. MutationTimer assumes each mutation cluster can be modelled by a beta-binomial and calculates probabilities for each mutation belonging to each cluster whilst also taking into account the size of the mutation clusters.</w:t>
      </w:r>
      <w:r w:rsidRPr="00AC13E7">
        <w:t xml:space="preserve"> </w:t>
      </w:r>
      <w:r w:rsidR="000367A9" w:rsidRPr="00AC13E7">
        <w:t xml:space="preserve">This step yielded </w:t>
      </w:r>
      <w:r w:rsidRPr="00AC13E7">
        <w:t>the final consensus subclonal architecture with the aforementioned key features, while also perform</w:t>
      </w:r>
      <w:r w:rsidR="00FC41C2" w:rsidRPr="00AC13E7">
        <w:t>ing</w:t>
      </w:r>
      <w:r w:rsidRPr="00AC13E7">
        <w:t xml:space="preserve"> timing of mutations relative to gains to classify mutations </w:t>
      </w:r>
      <w:r w:rsidR="00786FB3" w:rsidRPr="00AC13E7">
        <w:t xml:space="preserve">as </w:t>
      </w:r>
      <w:r w:rsidRPr="00AC13E7">
        <w:t>clonal early, clonal not specified, clonal late and subclonal.</w:t>
      </w:r>
    </w:p>
    <w:p w14:paraId="79AB1653" w14:textId="77777777" w:rsidR="002C09C8" w:rsidRPr="00AC13E7" w:rsidRDefault="002C09C8"/>
    <w:p w14:paraId="3FE4FE7F" w14:textId="77777777" w:rsidR="005E5252" w:rsidRPr="00AC13E7" w:rsidRDefault="005E5252">
      <w:r w:rsidRPr="00AC13E7">
        <w:br w:type="page"/>
      </w:r>
    </w:p>
    <w:p w14:paraId="48B9F0B3" w14:textId="372C772E" w:rsidR="00BA28F5" w:rsidRPr="00AC13E7" w:rsidRDefault="00BA28F5" w:rsidP="00036C33">
      <w:pPr>
        <w:pStyle w:val="Heading3"/>
        <w:rPr>
          <w:rFonts w:ascii="Times New Roman" w:hAnsi="Times New Roman" w:cs="Times New Roman"/>
          <w:b w:val="0"/>
          <w:bCs/>
          <w:sz w:val="32"/>
          <w:szCs w:val="32"/>
          <w:lang w:val="en-GB"/>
        </w:rPr>
      </w:pPr>
      <w:bookmarkStart w:id="173" w:name="_Ref380141003"/>
      <w:bookmarkStart w:id="174" w:name="_Toc391905028"/>
      <w:r w:rsidRPr="00AC13E7">
        <w:rPr>
          <w:rFonts w:ascii="Times New Roman" w:hAnsi="Times New Roman" w:cs="Times New Roman"/>
          <w:b w:val="0"/>
          <w:bCs/>
          <w:sz w:val="32"/>
          <w:szCs w:val="32"/>
          <w:lang w:val="en-GB"/>
        </w:rPr>
        <w:lastRenderedPageBreak/>
        <w:t>2.2.1 Consensus approaches</w:t>
      </w:r>
      <w:bookmarkEnd w:id="173"/>
      <w:bookmarkEnd w:id="174"/>
    </w:p>
    <w:p w14:paraId="6CD49BB0" w14:textId="1E74D482" w:rsidR="00481FCD" w:rsidRPr="00AC13E7" w:rsidRDefault="00036C33" w:rsidP="007A2D63">
      <w:pPr>
        <w:jc w:val="both"/>
      </w:pPr>
      <w:r w:rsidRPr="00AC13E7">
        <w:t xml:space="preserve">Because there is no straight answer to which output should be used to construct the consensus subclonal architecture nor how a method can </w:t>
      </w:r>
      <w:r w:rsidR="00CA2F4D" w:rsidRPr="00AC13E7">
        <w:t>integrate</w:t>
      </w:r>
      <w:r w:rsidRPr="00AC13E7">
        <w:t xml:space="preserve"> all outputs, we designed three independent consensus approaches, taking </w:t>
      </w:r>
      <w:r w:rsidR="00CA2F4D" w:rsidRPr="00AC13E7">
        <w:t>different</w:t>
      </w:r>
      <w:r w:rsidRPr="00AC13E7">
        <w:t xml:space="preserve"> </w:t>
      </w:r>
      <w:r w:rsidR="00CA2F4D" w:rsidRPr="00AC13E7">
        <w:t>i</w:t>
      </w:r>
      <w:r w:rsidRPr="00AC13E7">
        <w:t xml:space="preserve">nputs in order to build a consensus: </w:t>
      </w:r>
    </w:p>
    <w:p w14:paraId="4DB583C8" w14:textId="77777777" w:rsidR="00481FCD" w:rsidRPr="00AC13E7" w:rsidRDefault="00481FCD" w:rsidP="003416DE">
      <w:pPr>
        <w:jc w:val="both"/>
      </w:pPr>
    </w:p>
    <w:p w14:paraId="5A53DF6B" w14:textId="3E32D4FA" w:rsidR="00481FCD" w:rsidRPr="00AC13E7" w:rsidRDefault="00036C33" w:rsidP="00D468CA">
      <w:pPr>
        <w:ind w:left="720"/>
        <w:jc w:val="both"/>
      </w:pPr>
      <w:r w:rsidRPr="00AC13E7">
        <w:t xml:space="preserve">1) </w:t>
      </w:r>
      <w:r w:rsidR="00273821" w:rsidRPr="00AC13E7">
        <w:rPr>
          <w:b/>
        </w:rPr>
        <w:t>Sparse clustering for subclonal reconstruction (CSR or “Caesar”)</w:t>
      </w:r>
      <w:r w:rsidR="00273821" w:rsidRPr="00AC13E7">
        <w:t>, which takes the co-clustering probability matrix output of each method, i.e. the soft cluster assignment and extract common signals through non-negative matrix factorization (NMF)</w:t>
      </w:r>
      <w:r w:rsidRPr="00AC13E7">
        <w:t xml:space="preserve">; </w:t>
      </w:r>
    </w:p>
    <w:p w14:paraId="478D739C" w14:textId="77777777" w:rsidR="00481FCD" w:rsidRPr="00AC13E7" w:rsidRDefault="00481FCD" w:rsidP="003416DE">
      <w:pPr>
        <w:jc w:val="both"/>
      </w:pPr>
    </w:p>
    <w:p w14:paraId="79F3C327" w14:textId="77777777" w:rsidR="00481FCD" w:rsidRPr="00AC13E7" w:rsidRDefault="00036C33" w:rsidP="00D468CA">
      <w:pPr>
        <w:ind w:left="720"/>
        <w:jc w:val="both"/>
      </w:pPr>
      <w:r w:rsidRPr="00AC13E7">
        <w:t xml:space="preserve">2) </w:t>
      </w:r>
      <w:r w:rsidRPr="00AC13E7">
        <w:rPr>
          <w:b/>
        </w:rPr>
        <w:t>Cluster-ID Consensus Clustering (CICC or “Chic”)</w:t>
      </w:r>
      <w:r w:rsidRPr="00AC13E7">
        <w:t xml:space="preserve">, which takes the hard cluster assignment of each SNV and performs a hierarchical clustering on the distance of the assignments to identify SNVs that most often cluster together across methods; </w:t>
      </w:r>
    </w:p>
    <w:p w14:paraId="18990D5A" w14:textId="77777777" w:rsidR="00481FCD" w:rsidRPr="00AC13E7" w:rsidRDefault="00481FCD" w:rsidP="003416DE">
      <w:pPr>
        <w:jc w:val="both"/>
      </w:pPr>
    </w:p>
    <w:p w14:paraId="6FCF1328" w14:textId="7A66A3D5" w:rsidR="00481FCD" w:rsidRPr="00AC13E7" w:rsidRDefault="00036C33" w:rsidP="00D468CA">
      <w:pPr>
        <w:ind w:left="720"/>
        <w:jc w:val="both"/>
      </w:pPr>
      <w:r w:rsidRPr="00AC13E7">
        <w:t xml:space="preserve">3) </w:t>
      </w:r>
      <w:r w:rsidR="00273821" w:rsidRPr="00AC13E7">
        <w:rPr>
          <w:b/>
        </w:rPr>
        <w:t>Weighted Median (WM or “Weme”)</w:t>
      </w:r>
      <w:r w:rsidR="00273821" w:rsidRPr="00AC13E7">
        <w:t>, which takes a weighted median of the locations and the proportion of SNVs assigned to the location to construct a consensus location profile, ignoring the assignment of individual SNVs.</w:t>
      </w:r>
    </w:p>
    <w:p w14:paraId="19EA546C" w14:textId="77777777" w:rsidR="00481FCD" w:rsidRPr="00AC13E7" w:rsidRDefault="00481FCD" w:rsidP="003416DE">
      <w:pPr>
        <w:jc w:val="both"/>
      </w:pPr>
    </w:p>
    <w:p w14:paraId="5E9CF299" w14:textId="2EF86BDB" w:rsidR="00036C33" w:rsidRPr="00AC13E7" w:rsidRDefault="00036C33" w:rsidP="003416DE">
      <w:pPr>
        <w:jc w:val="both"/>
      </w:pPr>
      <w:r w:rsidRPr="00AC13E7">
        <w:t xml:space="preserve">Not only are the consensus methods based on different principles </w:t>
      </w:r>
      <w:r w:rsidR="00091260" w:rsidRPr="00AC13E7">
        <w:t>(</w:t>
      </w:r>
      <w:r w:rsidR="00091260" w:rsidRPr="00AC13E7">
        <w:fldChar w:fldCharType="begin"/>
      </w:r>
      <w:r w:rsidR="00091260" w:rsidRPr="00AC13E7">
        <w:instrText xml:space="preserve"> REF _Ref379536524 \h </w:instrText>
      </w:r>
      <w:r w:rsidR="00091260" w:rsidRPr="00AC13E7">
        <w:fldChar w:fldCharType="separate"/>
      </w:r>
      <w:r w:rsidR="00673FBD" w:rsidRPr="00AC13E7">
        <w:t xml:space="preserve">Fig. </w:t>
      </w:r>
      <w:r w:rsidR="00673FBD">
        <w:rPr>
          <w:noProof/>
        </w:rPr>
        <w:t>26</w:t>
      </w:r>
      <w:r w:rsidR="00091260" w:rsidRPr="00AC13E7">
        <w:fldChar w:fldCharType="end"/>
      </w:r>
      <w:r w:rsidR="00091260" w:rsidRPr="00AC13E7">
        <w:t xml:space="preserve">) </w:t>
      </w:r>
      <w:r w:rsidRPr="00AC13E7">
        <w:t>but they also vary in their pre- and post-processing steps</w:t>
      </w:r>
      <w:r w:rsidR="00091260" w:rsidRPr="00AC13E7">
        <w:t xml:space="preserve"> (see following subsections)</w:t>
      </w:r>
      <w:r w:rsidRPr="00AC13E7">
        <w:t xml:space="preserve">. </w:t>
      </w:r>
    </w:p>
    <w:p w14:paraId="0DBAAA0A" w14:textId="77777777" w:rsidR="003416DE" w:rsidRPr="00AC13E7" w:rsidRDefault="003416DE" w:rsidP="003416DE">
      <w:pPr>
        <w:jc w:val="both"/>
      </w:pPr>
    </w:p>
    <w:p w14:paraId="26709D25" w14:textId="77777777" w:rsidR="001A6BC7" w:rsidRPr="00AC13E7" w:rsidRDefault="001A6BC7" w:rsidP="009D4432">
      <w:pPr>
        <w:jc w:val="center"/>
      </w:pPr>
    </w:p>
    <w:p w14:paraId="20D94C5A" w14:textId="77777777" w:rsidR="0030138E" w:rsidRPr="00AC13E7" w:rsidRDefault="00036C33" w:rsidP="000668D6">
      <w:pPr>
        <w:keepNext/>
        <w:spacing w:line="480" w:lineRule="auto"/>
        <w:jc w:val="center"/>
      </w:pPr>
      <w:r w:rsidRPr="00AC13E7">
        <w:rPr>
          <w:rFonts w:asciiTheme="minorBidi" w:eastAsia="Arial" w:hAnsiTheme="minorBidi" w:cstheme="minorBidi"/>
          <w:noProof/>
          <w:lang w:eastAsia="en-GB"/>
        </w:rPr>
        <w:drawing>
          <wp:inline distT="0" distB="0" distL="0" distR="0" wp14:anchorId="043CE30F" wp14:editId="2D427733">
            <wp:extent cx="5267325" cy="3581400"/>
            <wp:effectExtent l="0" t="0" r="0" b="0"/>
            <wp:docPr id="13" name="Picture 13" descr="Macintosh HD:Users:tarabim:Downloads:Figure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arabim:Downloads:Figure1-2.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7325" cy="3581400"/>
                    </a:xfrm>
                    <a:prstGeom prst="rect">
                      <a:avLst/>
                    </a:prstGeom>
                    <a:noFill/>
                    <a:ln>
                      <a:noFill/>
                    </a:ln>
                  </pic:spPr>
                </pic:pic>
              </a:graphicData>
            </a:graphic>
          </wp:inline>
        </w:drawing>
      </w:r>
    </w:p>
    <w:p w14:paraId="3245835D" w14:textId="48FF349D" w:rsidR="001A6BC7" w:rsidRPr="00AC13E7" w:rsidRDefault="0030138E" w:rsidP="004916C9">
      <w:pPr>
        <w:pStyle w:val="Caption"/>
      </w:pPr>
      <w:bookmarkStart w:id="175" w:name="_Ref379536524"/>
      <w:bookmarkStart w:id="176" w:name="_Toc384459597"/>
      <w:r w:rsidRPr="00AC13E7">
        <w:t xml:space="preserve">Fig. </w:t>
      </w:r>
      <w:r w:rsidR="001003E9">
        <w:fldChar w:fldCharType="begin"/>
      </w:r>
      <w:r w:rsidR="001003E9">
        <w:instrText xml:space="preserve"> SEQ Fig. \* ARABIC </w:instrText>
      </w:r>
      <w:r w:rsidR="001003E9">
        <w:fldChar w:fldCharType="separate"/>
      </w:r>
      <w:r w:rsidR="00673FBD">
        <w:rPr>
          <w:noProof/>
        </w:rPr>
        <w:t>26</w:t>
      </w:r>
      <w:r w:rsidR="001003E9">
        <w:rPr>
          <w:noProof/>
        </w:rPr>
        <w:fldChar w:fldCharType="end"/>
      </w:r>
      <w:bookmarkEnd w:id="175"/>
      <w:r w:rsidRPr="00AC13E7">
        <w:t xml:space="preserve"> Workflow of the consensus approaches. </w:t>
      </w:r>
      <w:r w:rsidRPr="00AC13E7">
        <w:rPr>
          <w:b/>
        </w:rPr>
        <w:t xml:space="preserve">Input. </w:t>
      </w:r>
      <w:r w:rsidRPr="00AC13E7">
        <w:t xml:space="preserve">On the left, inputs are represented by their respective solutions in </w:t>
      </w:r>
      <w:r w:rsidR="003B4193" w:rsidRPr="00AC13E7">
        <w:t xml:space="preserve">the space defined by </w:t>
      </w:r>
      <w:r w:rsidRPr="00AC13E7">
        <w:t>CCF</w:t>
      </w:r>
      <w:r w:rsidR="003B4193" w:rsidRPr="00AC13E7">
        <w:t xml:space="preserve"> and proportion of SNVs of the clusters</w:t>
      </w:r>
      <w:r w:rsidRPr="00AC13E7">
        <w:t>.</w:t>
      </w:r>
      <w:r w:rsidR="003B4193" w:rsidRPr="00AC13E7">
        <w:t xml:space="preserve"> Each cluster is represented by a vertical coloured bar. E</w:t>
      </w:r>
      <w:r w:rsidRPr="00AC13E7">
        <w:t xml:space="preserve">ach of the 11 methods also provides mutation assignments corresponding to these </w:t>
      </w:r>
      <w:r w:rsidR="001833CC" w:rsidRPr="00AC13E7">
        <w:t>solutions</w:t>
      </w:r>
      <w:r w:rsidRPr="00AC13E7">
        <w:t xml:space="preserve">.  </w:t>
      </w:r>
      <w:r w:rsidRPr="00AC13E7">
        <w:rPr>
          <w:b/>
        </w:rPr>
        <w:t>Consensus.</w:t>
      </w:r>
      <w:r w:rsidRPr="00AC13E7">
        <w:t xml:space="preserve"> In the middle panels, </w:t>
      </w:r>
      <w:r w:rsidRPr="00AC13E7">
        <w:lastRenderedPageBreak/>
        <w:t xml:space="preserve">illustration of the three consensus approaches. They take different aspects of the individual methods as input and obtain the consensus from it in different ways (see main text). </w:t>
      </w:r>
      <w:r w:rsidRPr="00AC13E7">
        <w:rPr>
          <w:b/>
        </w:rPr>
        <w:t xml:space="preserve">Output. </w:t>
      </w:r>
      <w:r w:rsidRPr="00AC13E7">
        <w:t xml:space="preserve">Right panels, the output solutions of the three consensus methods in </w:t>
      </w:r>
      <w:r w:rsidR="003B4193" w:rsidRPr="00AC13E7">
        <w:t>the same space as Input.</w:t>
      </w:r>
      <w:r w:rsidRPr="00AC13E7">
        <w:t xml:space="preserve"> Both CSR and CICC also provide mutation assignments to the clusters</w:t>
      </w:r>
      <w:r w:rsidR="003B4193" w:rsidRPr="00AC13E7">
        <w:t>, not shown in that space</w:t>
      </w:r>
      <w:r w:rsidR="001833CC" w:rsidRPr="00AC13E7">
        <w:t xml:space="preserve"> and not used by MutationTimer</w:t>
      </w:r>
      <w:r w:rsidR="003B4193" w:rsidRPr="00AC13E7">
        <w:t>.</w:t>
      </w:r>
      <w:bookmarkEnd w:id="176"/>
    </w:p>
    <w:p w14:paraId="2FCD5323" w14:textId="77777777" w:rsidR="001A6BC7" w:rsidRPr="00AC13E7" w:rsidRDefault="001A6BC7" w:rsidP="00BA28F5">
      <w:pPr>
        <w:rPr>
          <w:b/>
        </w:rPr>
      </w:pPr>
    </w:p>
    <w:p w14:paraId="4C4A2273" w14:textId="6B5008B4" w:rsidR="00BA28F5" w:rsidRPr="00AC13E7" w:rsidRDefault="00BA28F5" w:rsidP="00BA28F5">
      <w:pPr>
        <w:rPr>
          <w:b/>
        </w:rPr>
      </w:pPr>
      <w:r w:rsidRPr="00AC13E7">
        <w:rPr>
          <w:b/>
        </w:rPr>
        <w:t>2.2.1.</w:t>
      </w:r>
      <w:r w:rsidR="00273821" w:rsidRPr="00AC13E7">
        <w:rPr>
          <w:b/>
        </w:rPr>
        <w:t>1</w:t>
      </w:r>
      <w:r w:rsidRPr="00AC13E7">
        <w:rPr>
          <w:b/>
        </w:rPr>
        <w:t xml:space="preserve"> Caesar (CSR – sparse Clustering for Subclonal Reconstruction)</w:t>
      </w:r>
    </w:p>
    <w:p w14:paraId="56BDD883" w14:textId="77777777" w:rsidR="00FE3205" w:rsidRPr="00AC13E7" w:rsidRDefault="00FE3205" w:rsidP="00913E4D">
      <w:pPr>
        <w:jc w:val="both"/>
      </w:pPr>
    </w:p>
    <w:p w14:paraId="0C079026" w14:textId="77777777" w:rsidR="00913E4D" w:rsidRPr="00AC13E7" w:rsidRDefault="005E5252" w:rsidP="00913E4D">
      <w:pPr>
        <w:jc w:val="both"/>
      </w:pPr>
      <w:r w:rsidRPr="00AC13E7">
        <w:t xml:space="preserve">CSR adopted the de-noise idea that decomposes the co-clustering matrix (CCM) into the sum of a low rank matrix (signal) and a sparse matrix (noise). The low rank matrix captures the clustering information, and the sparse matrix took care of possible mis-clustered and method specific errors. In this way, the common clustering information was isolated from possible errors and biases from each individual method. Comparing to clustering directly on CCM, CSR suffers less from noise contamination. </w:t>
      </w:r>
    </w:p>
    <w:p w14:paraId="2509C58D" w14:textId="77777777" w:rsidR="00913E4D" w:rsidRPr="00AC13E7" w:rsidRDefault="00913E4D" w:rsidP="00913E4D">
      <w:pPr>
        <w:jc w:val="both"/>
      </w:pPr>
    </w:p>
    <w:p w14:paraId="4013BC45" w14:textId="1931C2C5" w:rsidR="005E5252" w:rsidRPr="00AC13E7" w:rsidRDefault="005E5252" w:rsidP="00913E4D">
      <w:pPr>
        <w:jc w:val="both"/>
      </w:pPr>
      <w:r w:rsidRPr="00AC13E7">
        <w:t>It is common that sum of CCMs contains certain amount of incorrectly clustered pairs of SNVs and disagreeing on cluster boundary SNVs by individual method when there are several different subclonal structure callers. CSR took the valuable common information from all methods and discard the most disagreeing information and possible incorrectly clustered pairs to construct a cluster topology that reflects the strong signals contained in the sum of CCM.</w:t>
      </w:r>
    </w:p>
    <w:p w14:paraId="56A12A69" w14:textId="77777777" w:rsidR="00913E4D" w:rsidRPr="00AC13E7" w:rsidRDefault="005E5252" w:rsidP="00913E4D">
      <w:pPr>
        <w:jc w:val="both"/>
      </w:pPr>
      <w:r w:rsidRPr="00AC13E7">
        <w:t xml:space="preserve">   </w:t>
      </w:r>
    </w:p>
    <w:p w14:paraId="502A8B37" w14:textId="7FE4EA90" w:rsidR="005E5252" w:rsidRPr="00AC13E7" w:rsidRDefault="005E5252" w:rsidP="00913E4D">
      <w:pPr>
        <w:jc w:val="both"/>
      </w:pPr>
      <w:r w:rsidRPr="00AC13E7">
        <w:t xml:space="preserve">First let us define the main input of CSR, co-clustering matrices (CCMs). Suppose </w:t>
      </w:r>
      <m:oMath>
        <m:sSub>
          <m:sSubPr>
            <m:ctrlPr>
              <w:rPr>
                <w:rFonts w:ascii="Cambria Math" w:hAnsi="Cambria Math"/>
                <w:i/>
              </w:rPr>
            </m:ctrlPr>
          </m:sSubPr>
          <m:e>
            <m:r>
              <w:rPr>
                <w:rFonts w:ascii="Cambria Math" w:hAnsi="Cambria Math"/>
              </w:rPr>
              <m:t>M</m:t>
            </m:r>
          </m:e>
          <m:sub>
            <m:r>
              <w:rPr>
                <w:rFonts w:ascii="Cambria Math" w:hAnsi="Cambria Math"/>
              </w:rPr>
              <m:t>h</m:t>
            </m:r>
          </m:sub>
        </m:sSub>
      </m:oMath>
      <w:r w:rsidRPr="00AC13E7">
        <w:t xml:space="preserve"> is such a matrix of size </w:t>
      </w:r>
      <m:oMath>
        <m:r>
          <w:rPr>
            <w:rFonts w:ascii="Cambria Math" w:hAnsi="Cambria Math"/>
          </w:rPr>
          <m:t>N×N</m:t>
        </m:r>
      </m:oMath>
      <w:r w:rsidRPr="00AC13E7">
        <w:t xml:space="preserve"> for method </w:t>
      </w:r>
      <m:oMath>
        <m:r>
          <w:rPr>
            <w:rFonts w:ascii="Cambria Math" w:hAnsi="Cambria Math"/>
          </w:rPr>
          <m:t>h</m:t>
        </m:r>
      </m:oMath>
      <w:r w:rsidRPr="00AC13E7">
        <w:t xml:space="preserve">, where </w:t>
      </w:r>
      <m:oMath>
        <m:r>
          <w:rPr>
            <w:rFonts w:ascii="Cambria Math" w:hAnsi="Cambria Math"/>
          </w:rPr>
          <m:t>N</m:t>
        </m:r>
      </m:oMath>
      <w:r w:rsidRPr="00AC13E7">
        <w:t xml:space="preserve"> is the number mutations. The elements of </w:t>
      </w:r>
      <m:oMath>
        <m:sSub>
          <m:sSubPr>
            <m:ctrlPr>
              <w:rPr>
                <w:rFonts w:ascii="Cambria Math" w:hAnsi="Cambria Math"/>
                <w:i/>
              </w:rPr>
            </m:ctrlPr>
          </m:sSubPr>
          <m:e>
            <m:r>
              <w:rPr>
                <w:rFonts w:ascii="Cambria Math" w:hAnsi="Cambria Math"/>
              </w:rPr>
              <m:t>M</m:t>
            </m:r>
          </m:e>
          <m:sub>
            <m:r>
              <w:rPr>
                <w:rFonts w:ascii="Cambria Math" w:hAnsi="Cambria Math"/>
              </w:rPr>
              <m:t>h</m:t>
            </m:r>
          </m:sub>
        </m:sSub>
      </m:oMath>
      <w:r w:rsidRPr="00AC13E7">
        <w:t xml:space="preserve">, </w:t>
      </w:r>
      <m:oMath>
        <m:sSubSup>
          <m:sSubSupPr>
            <m:ctrlPr>
              <w:rPr>
                <w:rFonts w:ascii="Cambria Math" w:hAnsi="Cambria Math"/>
              </w:rPr>
            </m:ctrlPr>
          </m:sSubSupPr>
          <m:e>
            <m:r>
              <w:rPr>
                <w:rFonts w:ascii="Cambria Math" w:hAnsi="Cambria Math"/>
              </w:rPr>
              <m:t>m</m:t>
            </m:r>
          </m:e>
          <m:sub>
            <m:r>
              <w:rPr>
                <w:rFonts w:ascii="Cambria Math" w:hAnsi="Cambria Math"/>
              </w:rPr>
              <m:t>ij</m:t>
            </m:r>
          </m:sub>
          <m:sup>
            <m:r>
              <w:rPr>
                <w:rFonts w:ascii="Cambria Math" w:hAnsi="Cambria Math"/>
              </w:rPr>
              <m:t>(h)</m:t>
            </m:r>
          </m:sup>
        </m:sSubSup>
        <m:r>
          <w:rPr>
            <w:rFonts w:ascii="Cambria Math" w:hAnsi="Cambria Math"/>
          </w:rPr>
          <m:t xml:space="preserve"> </m:t>
        </m:r>
      </m:oMath>
      <w:r w:rsidRPr="00AC13E7">
        <w:t xml:space="preserve">takes value 1 if the </w:t>
      </w:r>
      <m:oMath>
        <m:r>
          <w:rPr>
            <w:rFonts w:ascii="Cambria Math" w:hAnsi="Cambria Math"/>
          </w:rPr>
          <m:t>i</m:t>
        </m:r>
      </m:oMath>
      <w:r w:rsidRPr="00AC13E7">
        <w:t xml:space="preserve">- and </w:t>
      </w:r>
      <m:oMath>
        <m:r>
          <w:rPr>
            <w:rFonts w:ascii="Cambria Math" w:hAnsi="Cambria Math"/>
          </w:rPr>
          <m:t>j</m:t>
        </m:r>
      </m:oMath>
      <w:r w:rsidRPr="00AC13E7">
        <w:t xml:space="preserve">-th mutation was clustered together by method </w:t>
      </w:r>
      <m:oMath>
        <m:r>
          <w:rPr>
            <w:rFonts w:ascii="Cambria Math" w:hAnsi="Cambria Math"/>
          </w:rPr>
          <m:t>h</m:t>
        </m:r>
      </m:oMath>
      <w:r w:rsidRPr="00AC13E7">
        <w:t xml:space="preserve">, and 0 otherwise.  The mean of CCMs from each method is defined as </w:t>
      </w:r>
    </w:p>
    <w:p w14:paraId="0B2BA941" w14:textId="77777777" w:rsidR="005E5252" w:rsidRPr="00AC13E7" w:rsidRDefault="005E5252" w:rsidP="00913E4D">
      <w:pPr>
        <w:jc w:val="both"/>
      </w:pPr>
      <m:oMathPara>
        <m:oMathParaPr>
          <m:jc m:val="center"/>
        </m:oMathParaPr>
        <m:oMath>
          <m:r>
            <w:rPr>
              <w:rFonts w:ascii="Cambria Math" w:hAnsi="Cambria Math"/>
            </w:rPr>
            <m:t>M=</m:t>
          </m:r>
          <m:f>
            <m:fPr>
              <m:ctrlPr>
                <w:rPr>
                  <w:rFonts w:ascii="Cambria Math" w:hAnsi="Cambria Math"/>
                </w:rPr>
              </m:ctrlPr>
            </m:fPr>
            <m:num>
              <m:r>
                <w:rPr>
                  <w:rFonts w:ascii="Cambria Math" w:hAnsi="Cambria Math"/>
                </w:rPr>
                <m:t>1</m:t>
              </m:r>
            </m:num>
            <m:den>
              <m:r>
                <w:rPr>
                  <w:rFonts w:ascii="Cambria Math" w:hAnsi="Cambria Math"/>
                </w:rPr>
                <m:t>H</m:t>
              </m:r>
            </m:den>
          </m:f>
          <m:nary>
            <m:naryPr>
              <m:chr m:val="∑"/>
              <m:ctrlPr>
                <w:rPr>
                  <w:rFonts w:ascii="Cambria Math" w:hAnsi="Cambria Math"/>
                </w:rPr>
              </m:ctrlPr>
            </m:naryPr>
            <m:sub>
              <m:r>
                <w:rPr>
                  <w:rFonts w:ascii="Cambria Math" w:hAnsi="Cambria Math"/>
                </w:rPr>
                <m:t>h=1</m:t>
              </m:r>
            </m:sub>
            <m:sup>
              <m:r>
                <w:rPr>
                  <w:rFonts w:ascii="Cambria Math" w:hAnsi="Cambria Math"/>
                </w:rPr>
                <m:t>H</m:t>
              </m:r>
            </m:sup>
            <m:e>
              <m:sSub>
                <m:sSubPr>
                  <m:ctrlPr>
                    <w:rPr>
                      <w:rFonts w:ascii="Cambria Math" w:hAnsi="Cambria Math"/>
                      <w:i/>
                    </w:rPr>
                  </m:ctrlPr>
                </m:sSubPr>
                <m:e>
                  <m:r>
                    <w:rPr>
                      <w:rFonts w:ascii="Cambria Math" w:hAnsi="Cambria Math"/>
                    </w:rPr>
                    <m:t>M</m:t>
                  </m:r>
                </m:e>
                <m:sub>
                  <m:r>
                    <w:rPr>
                      <w:rFonts w:ascii="Cambria Math" w:hAnsi="Cambria Math"/>
                    </w:rPr>
                    <m:t>h</m:t>
                  </m:r>
                </m:sub>
              </m:sSub>
            </m:e>
          </m:nary>
        </m:oMath>
      </m:oMathPara>
    </w:p>
    <w:p w14:paraId="2508E826" w14:textId="77777777" w:rsidR="005E5252" w:rsidRPr="00AC13E7" w:rsidRDefault="005E5252" w:rsidP="00913E4D">
      <w:pPr>
        <w:jc w:val="both"/>
      </w:pPr>
      <w:r w:rsidRPr="00AC13E7">
        <w:t xml:space="preserve">where </w:t>
      </w:r>
      <m:oMath>
        <m:r>
          <w:rPr>
            <w:rFonts w:ascii="Cambria Math" w:hAnsi="Cambria Math"/>
          </w:rPr>
          <m:t>H</m:t>
        </m:r>
      </m:oMath>
      <w:r w:rsidRPr="00AC13E7">
        <w:t xml:space="preserve"> is total number of methods to generate consensus from.</w:t>
      </w:r>
    </w:p>
    <w:p w14:paraId="02EC7EBA" w14:textId="77777777" w:rsidR="00913E4D" w:rsidRPr="00AC13E7" w:rsidRDefault="005E5252" w:rsidP="00913E4D">
      <w:pPr>
        <w:jc w:val="both"/>
      </w:pPr>
      <w:r w:rsidRPr="00AC13E7">
        <w:t xml:space="preserve">    </w:t>
      </w:r>
    </w:p>
    <w:p w14:paraId="61BEC2DC" w14:textId="45C66A81" w:rsidR="005E5252" w:rsidRPr="00AC13E7" w:rsidRDefault="005E5252" w:rsidP="00913E4D">
      <w:pPr>
        <w:jc w:val="both"/>
      </w:pPr>
      <w:r w:rsidRPr="00AC13E7">
        <w:t>To count for potential outliers, a thresholding was implemented on the mean CCM:</w:t>
      </w:r>
    </w:p>
    <w:p w14:paraId="6E464F94" w14:textId="77777777" w:rsidR="005E5252" w:rsidRPr="00AC13E7" w:rsidRDefault="005E5252" w:rsidP="00913E4D">
      <w:pPr>
        <w:jc w:val="both"/>
      </w:pPr>
      <m:oMathPara>
        <m:oMath>
          <m:r>
            <w:rPr>
              <w:rFonts w:ascii="Cambria Math" w:hAnsi="Cambria Math"/>
            </w:rPr>
            <m:t>M=(</m:t>
          </m:r>
          <m:sSub>
            <m:sSubPr>
              <m:ctrlPr>
                <w:rPr>
                  <w:rFonts w:ascii="Cambria Math" w:hAnsi="Cambria Math"/>
                </w:rPr>
              </m:ctrlPr>
            </m:sSubPr>
            <m:e>
              <m:r>
                <w:rPr>
                  <w:rFonts w:ascii="Cambria Math" w:hAnsi="Cambria Math"/>
                </w:rPr>
                <m:t>m</m:t>
              </m:r>
            </m:e>
            <m:sub>
              <m:r>
                <w:rPr>
                  <w:rFonts w:ascii="Cambria Math" w:hAnsi="Cambria Math"/>
                </w:rPr>
                <m:t>ij</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rPr>
                      </m:ctrlPr>
                    </m:sSubPr>
                    <m:e>
                      <m:r>
                        <w:rPr>
                          <w:rFonts w:ascii="Cambria Math" w:hAnsi="Cambria Math"/>
                        </w:rPr>
                        <m:t>m</m:t>
                      </m:r>
                    </m:e>
                    <m:sub>
                      <m:r>
                        <w:rPr>
                          <w:rFonts w:ascii="Cambria Math" w:hAnsi="Cambria Math"/>
                        </w:rPr>
                        <m:t>ij</m:t>
                      </m:r>
                    </m:sub>
                  </m:sSub>
                  <m: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ij</m:t>
                      </m:r>
                    </m:sub>
                  </m:sSub>
                  <m:r>
                    <w:rPr>
                      <w:rFonts w:ascii="Cambria Math" w:hAnsi="Cambria Math"/>
                    </w:rPr>
                    <m:t>≥T</m:t>
                  </m:r>
                </m:e>
                <m:e>
                  <m:r>
                    <w:rPr>
                      <w:rFonts w:ascii="Cambria Math" w:hAnsi="Cambria Math"/>
                    </w:rPr>
                    <m:t xml:space="preserve">0    , </m:t>
                  </m:r>
                  <m:sSub>
                    <m:sSubPr>
                      <m:ctrlPr>
                        <w:rPr>
                          <w:rFonts w:ascii="Cambria Math" w:hAnsi="Cambria Math"/>
                        </w:rPr>
                      </m:ctrlPr>
                    </m:sSubPr>
                    <m:e>
                      <m:r>
                        <w:rPr>
                          <w:rFonts w:ascii="Cambria Math" w:hAnsi="Cambria Math"/>
                        </w:rPr>
                        <m:t>m</m:t>
                      </m:r>
                    </m:e>
                    <m:sub>
                      <m:r>
                        <w:rPr>
                          <w:rFonts w:ascii="Cambria Math" w:hAnsi="Cambria Math"/>
                        </w:rPr>
                        <m:t>ij</m:t>
                      </m:r>
                    </m:sub>
                  </m:sSub>
                  <m:r>
                    <w:rPr>
                      <w:rFonts w:ascii="Cambria Math" w:hAnsi="Cambria Math"/>
                    </w:rPr>
                    <m:t>&lt;T</m:t>
                  </m:r>
                </m:e>
              </m:eqArr>
            </m:e>
          </m:d>
          <m:r>
            <w:rPr>
              <w:rFonts w:ascii="Cambria Math" w:hAnsi="Cambria Math"/>
            </w:rPr>
            <m:t xml:space="preserve"> ,</m:t>
          </m:r>
        </m:oMath>
      </m:oMathPara>
    </w:p>
    <w:p w14:paraId="67F0B4E6" w14:textId="77777777" w:rsidR="00913E4D" w:rsidRPr="00AC13E7" w:rsidRDefault="00913E4D" w:rsidP="00913E4D">
      <w:pPr>
        <w:jc w:val="both"/>
      </w:pPr>
    </w:p>
    <w:p w14:paraId="1A67E2EB" w14:textId="77777777" w:rsidR="005E5252" w:rsidRPr="00AC13E7" w:rsidRDefault="005E5252" w:rsidP="00913E4D">
      <w:pPr>
        <w:jc w:val="both"/>
      </w:pPr>
      <w:r w:rsidRPr="00AC13E7">
        <w:t>In the PCAWG project, there were 11 (</w:t>
      </w:r>
      <m:oMath>
        <m:r>
          <w:rPr>
            <w:rFonts w:ascii="Cambria Math" w:hAnsi="Cambria Math"/>
          </w:rPr>
          <m:t>H=11</m:t>
        </m:r>
      </m:oMath>
      <w:r w:rsidRPr="00AC13E7">
        <w:t xml:space="preserve">) participating methods, and the threshold was set to be </w:t>
      </w:r>
      <m:oMath>
        <m:r>
          <w:rPr>
            <w:rFonts w:ascii="Cambria Math" w:hAnsi="Cambria Math"/>
          </w:rPr>
          <m:t>T=0.2</m:t>
        </m:r>
      </m:oMath>
      <w:r w:rsidRPr="00AC13E7">
        <w:t>, practically speaking the mean CCM should be able to sustain the contamination of at least 2 outlier methods.</w:t>
      </w:r>
    </w:p>
    <w:p w14:paraId="1858CAD3" w14:textId="77777777" w:rsidR="00913E4D" w:rsidRPr="00AC13E7" w:rsidRDefault="005E5252" w:rsidP="00913E4D">
      <w:pPr>
        <w:jc w:val="both"/>
      </w:pPr>
      <w:r w:rsidRPr="00AC13E7">
        <w:t xml:space="preserve">    </w:t>
      </w:r>
    </w:p>
    <w:p w14:paraId="1E79187B" w14:textId="2169D061" w:rsidR="005E5252" w:rsidRPr="00AC13E7" w:rsidRDefault="005E5252" w:rsidP="00913E4D">
      <w:pPr>
        <w:jc w:val="both"/>
      </w:pPr>
      <w:r w:rsidRPr="00AC13E7">
        <w:t xml:space="preserve">Next, the mean CCM, </w:t>
      </w:r>
      <m:oMath>
        <m:r>
          <w:rPr>
            <w:rFonts w:ascii="Cambria Math" w:hAnsi="Cambria Math"/>
          </w:rPr>
          <m:t>M</m:t>
        </m:r>
      </m:oMath>
      <w:r w:rsidRPr="00AC13E7">
        <w:t>, was decomposed into sum of two matrices:</w:t>
      </w:r>
    </w:p>
    <w:p w14:paraId="26ACE89F" w14:textId="77777777" w:rsidR="005E5252" w:rsidRPr="00AC13E7" w:rsidRDefault="005E5252" w:rsidP="00913E4D">
      <w:pPr>
        <w:jc w:val="both"/>
      </w:pPr>
      <m:oMathPara>
        <m:oMath>
          <m:r>
            <w:rPr>
              <w:rFonts w:ascii="Cambria Math" w:hAnsi="Cambria Math"/>
            </w:rPr>
            <m:t>M=DA+Σ</m:t>
          </m:r>
        </m:oMath>
      </m:oMathPara>
    </w:p>
    <w:p w14:paraId="5264EF9B" w14:textId="51A14A4B" w:rsidR="005E5252" w:rsidRPr="00AC13E7" w:rsidRDefault="005E5252" w:rsidP="00913E4D">
      <w:pPr>
        <w:jc w:val="both"/>
      </w:pPr>
      <w:r w:rsidRPr="00AC13E7">
        <w:t xml:space="preserve">where </w:t>
      </w:r>
      <m:oMath>
        <m:r>
          <w:rPr>
            <w:rFonts w:ascii="Cambria Math" w:hAnsi="Cambria Math"/>
          </w:rPr>
          <m:t>D∈</m:t>
        </m:r>
        <m:sSup>
          <m:sSupPr>
            <m:ctrlPr>
              <w:rPr>
                <w:rFonts w:ascii="Cambria Math" w:hAnsi="Cambria Math"/>
              </w:rPr>
            </m:ctrlPr>
          </m:sSupPr>
          <m:e>
            <m:r>
              <w:rPr>
                <w:rFonts w:ascii="Cambria Math" w:hAnsi="Cambria Math"/>
              </w:rPr>
              <m:t>R</m:t>
            </m:r>
          </m:e>
          <m:sup>
            <m:r>
              <w:rPr>
                <w:rFonts w:ascii="Cambria Math" w:hAnsi="Cambria Math"/>
              </w:rPr>
              <m:t>N×K</m:t>
            </m:r>
          </m:sup>
        </m:sSup>
      </m:oMath>
      <w:r w:rsidRPr="00AC13E7">
        <w:t xml:space="preserve">, </w:t>
      </w:r>
      <m:oMath>
        <m:r>
          <w:rPr>
            <w:rFonts w:ascii="Cambria Math" w:hAnsi="Cambria Math"/>
          </w:rPr>
          <m:t>A∈</m:t>
        </m:r>
        <m:sSup>
          <m:sSupPr>
            <m:ctrlPr>
              <w:rPr>
                <w:rFonts w:ascii="Cambria Math" w:hAnsi="Cambria Math"/>
              </w:rPr>
            </m:ctrlPr>
          </m:sSupPr>
          <m:e>
            <m:r>
              <w:rPr>
                <w:rFonts w:ascii="Cambria Math" w:hAnsi="Cambria Math"/>
              </w:rPr>
              <m:t>R</m:t>
            </m:r>
          </m:e>
          <m:sup>
            <m:r>
              <w:rPr>
                <w:rFonts w:ascii="Cambria Math" w:hAnsi="Cambria Math"/>
              </w:rPr>
              <m:t>K×N</m:t>
            </m:r>
          </m:sup>
        </m:sSup>
      </m:oMath>
      <w:r w:rsidRPr="00AC13E7">
        <w:t xml:space="preserve">, and </w:t>
      </w:r>
      <m:oMath>
        <m:r>
          <w:rPr>
            <w:rFonts w:ascii="Cambria Math" w:hAnsi="Cambria Math"/>
          </w:rPr>
          <m:t>Σ∈</m:t>
        </m:r>
        <m:sSup>
          <m:sSupPr>
            <m:ctrlPr>
              <w:rPr>
                <w:rFonts w:ascii="Cambria Math" w:hAnsi="Cambria Math"/>
              </w:rPr>
            </m:ctrlPr>
          </m:sSupPr>
          <m:e>
            <m:r>
              <w:rPr>
                <w:rFonts w:ascii="Cambria Math" w:hAnsi="Cambria Math"/>
              </w:rPr>
              <m:t>R</m:t>
            </m:r>
          </m:e>
          <m:sup>
            <m:r>
              <w:rPr>
                <w:rFonts w:ascii="Cambria Math" w:hAnsi="Cambria Math"/>
              </w:rPr>
              <m:t>N×N</m:t>
            </m:r>
          </m:sup>
        </m:sSup>
      </m:oMath>
      <w:r w:rsidRPr="00AC13E7">
        <w:t xml:space="preserve">. The product </w:t>
      </w:r>
      <m:oMath>
        <m:r>
          <w:rPr>
            <w:rFonts w:ascii="Cambria Math" w:hAnsi="Cambria Math"/>
          </w:rPr>
          <m:t>DA</m:t>
        </m:r>
      </m:oMath>
      <w:r w:rsidRPr="00AC13E7">
        <w:t xml:space="preserve"> was the low rank matrix (rank up to </w:t>
      </w:r>
      <m:oMath>
        <m:r>
          <w:rPr>
            <w:rFonts w:ascii="Cambria Math" w:hAnsi="Cambria Math"/>
          </w:rPr>
          <m:t>K≪N</m:t>
        </m:r>
      </m:oMath>
      <w:r w:rsidRPr="00AC13E7">
        <w:t xml:space="preserve">), and </w:t>
      </w:r>
      <m:oMath>
        <m:r>
          <w:rPr>
            <w:rFonts w:ascii="Cambria Math" w:hAnsi="Cambria Math"/>
          </w:rPr>
          <m:t>Σ</m:t>
        </m:r>
      </m:oMath>
      <w:r w:rsidRPr="00AC13E7">
        <w:t xml:space="preserve"> the noise matrix. In the common machine learning literature such a decomposition is called dictionary learning, where </w:t>
      </w:r>
      <m:oMath>
        <m:r>
          <w:rPr>
            <w:rFonts w:ascii="Cambria Math" w:hAnsi="Cambria Math"/>
          </w:rPr>
          <m:t>D</m:t>
        </m:r>
      </m:oMath>
      <w:r w:rsidRPr="00AC13E7">
        <w:t xml:space="preserve"> is called dictionary, and </w:t>
      </w:r>
      <m:oMath>
        <m:r>
          <w:rPr>
            <w:rFonts w:ascii="Cambria Math" w:hAnsi="Cambria Math"/>
          </w:rPr>
          <m:t xml:space="preserve">A </m:t>
        </m:r>
      </m:oMath>
      <w:r w:rsidRPr="00AC13E7">
        <w:t xml:space="preserve">code.  In the clustering context, matrix </w:t>
      </w:r>
      <m:oMath>
        <m:r>
          <w:rPr>
            <w:rFonts w:ascii="Cambria Math" w:hAnsi="Cambria Math"/>
          </w:rPr>
          <m:t>A</m:t>
        </m:r>
      </m:oMath>
      <w:r w:rsidRPr="00AC13E7">
        <w:t xml:space="preserve"> is of main </w:t>
      </w:r>
      <w:r w:rsidR="009E4043" w:rsidRPr="00AC13E7">
        <w:t>interest;</w:t>
      </w:r>
      <w:r w:rsidRPr="00AC13E7">
        <w:t xml:space="preserve"> one could view </w:t>
      </w:r>
      <m:oMath>
        <m:r>
          <w:rPr>
            <w:rFonts w:ascii="Cambria Math" w:hAnsi="Cambria Math"/>
          </w:rPr>
          <m:t>A</m:t>
        </m:r>
      </m:oMath>
      <w:r w:rsidRPr="00AC13E7">
        <w:t xml:space="preserve"> as a new set of features of the </w:t>
      </w:r>
      <w:r w:rsidR="009E4043" w:rsidRPr="00AC13E7">
        <w:t>mutations, which</w:t>
      </w:r>
      <w:r w:rsidRPr="00AC13E7">
        <w:t xml:space="preserve"> were less contaminated than the original features provided by </w:t>
      </w:r>
      <m:oMath>
        <m:r>
          <w:rPr>
            <w:rFonts w:ascii="Cambria Math" w:hAnsi="Cambria Math"/>
          </w:rPr>
          <m:t>M</m:t>
        </m:r>
      </m:oMath>
      <w:r w:rsidRPr="00AC13E7">
        <w:t xml:space="preserve">. To estimate </w:t>
      </w:r>
      <m:oMath>
        <m:r>
          <w:rPr>
            <w:rFonts w:ascii="Cambria Math" w:hAnsi="Cambria Math"/>
          </w:rPr>
          <m:t>D</m:t>
        </m:r>
      </m:oMath>
      <w:r w:rsidRPr="00AC13E7">
        <w:t xml:space="preserve"> and </w:t>
      </w:r>
      <m:oMath>
        <m:r>
          <w:rPr>
            <w:rFonts w:ascii="Cambria Math" w:hAnsi="Cambria Math"/>
          </w:rPr>
          <m:t>A</m:t>
        </m:r>
      </m:oMath>
      <w:r w:rsidRPr="00AC13E7">
        <w:t xml:space="preserve">, the python package SPAMS (version 2.1) was used. Once </w:t>
      </w:r>
      <m:oMath>
        <m:r>
          <w:rPr>
            <w:rFonts w:ascii="Cambria Math" w:hAnsi="Cambria Math"/>
          </w:rPr>
          <m:t>A</m:t>
        </m:r>
      </m:oMath>
      <w:r w:rsidRPr="00AC13E7">
        <w:t xml:space="preserve"> was obtained, a k-means algorithm was applied to </w:t>
      </w:r>
      <m:oMath>
        <m:r>
          <w:rPr>
            <w:rFonts w:ascii="Cambria Math" w:hAnsi="Cambria Math"/>
          </w:rPr>
          <m:t>A=(</m:t>
        </m:r>
        <m:sSub>
          <m:sSubPr>
            <m:ctrlPr>
              <w:rPr>
                <w:rFonts w:ascii="Cambria Math" w:hAnsi="Cambria Math"/>
              </w:rPr>
            </m:ctrlPr>
          </m:sSubPr>
          <m:e>
            <m:r>
              <w:rPr>
                <w:rFonts w:ascii="Cambria Math" w:hAnsi="Cambria Math"/>
              </w:rPr>
              <m:t>a</m:t>
            </m:r>
          </m:e>
          <m:sub>
            <m:r>
              <w:rPr>
                <w:rFonts w:ascii="Cambria Math" w:hAnsi="Cambria Math"/>
              </w:rPr>
              <m:t>1</m:t>
            </m:r>
          </m:sub>
        </m:sSub>
        <m:r>
          <w:rPr>
            <w:rFonts w:ascii="Cambria Math" w:hAnsi="Cambria Math"/>
          </w:rPr>
          <m:t xml:space="preserve">, </m:t>
        </m:r>
        <m:sSub>
          <m:sSubPr>
            <m:ctrlPr>
              <w:rPr>
                <w:rFonts w:ascii="Cambria Math" w:hAnsi="Cambria Math"/>
              </w:rPr>
            </m:ctrlPr>
          </m:sSubPr>
          <m:e>
            <m:r>
              <w:rPr>
                <w:rFonts w:ascii="Cambria Math" w:hAnsi="Cambria Math"/>
              </w:rPr>
              <m:t>a</m:t>
            </m:r>
          </m:e>
          <m:sub>
            <m:r>
              <w:rPr>
                <w:rFonts w:ascii="Cambria Math" w:hAnsi="Cambria Math"/>
              </w:rPr>
              <m:t>2</m:t>
            </m:r>
          </m:sub>
        </m:sSub>
        <m:r>
          <w:rPr>
            <w:rFonts w:ascii="Cambria Math" w:hAnsi="Cambria Math"/>
          </w:rPr>
          <m:t xml:space="preserve">, ... </m:t>
        </m:r>
        <m:sSub>
          <m:sSubPr>
            <m:ctrlPr>
              <w:rPr>
                <w:rFonts w:ascii="Cambria Math" w:hAnsi="Cambria Math"/>
              </w:rPr>
            </m:ctrlPr>
          </m:sSubPr>
          <m:e>
            <m:r>
              <w:rPr>
                <w:rFonts w:ascii="Cambria Math" w:hAnsi="Cambria Math"/>
              </w:rPr>
              <m:t>a</m:t>
            </m:r>
          </m:e>
          <m:sub>
            <m:r>
              <w:rPr>
                <w:rFonts w:ascii="Cambria Math" w:hAnsi="Cambria Math"/>
              </w:rPr>
              <m:t>N</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i</m:t>
            </m:r>
          </m:sub>
        </m:sSub>
        <m:r>
          <w:rPr>
            <w:rFonts w:ascii="Cambria Math" w:hAnsi="Cambria Math"/>
          </w:rPr>
          <m:t>∈</m:t>
        </m:r>
        <m:sSup>
          <m:sSupPr>
            <m:ctrlPr>
              <w:rPr>
                <w:rFonts w:ascii="Cambria Math" w:hAnsi="Cambria Math"/>
              </w:rPr>
            </m:ctrlPr>
          </m:sSupPr>
          <m:e>
            <m:r>
              <w:rPr>
                <w:rFonts w:ascii="Cambria Math" w:hAnsi="Cambria Math"/>
              </w:rPr>
              <m:t>R</m:t>
            </m:r>
          </m:e>
          <m:sup>
            <m:r>
              <w:rPr>
                <w:rFonts w:ascii="Cambria Math" w:hAnsi="Cambria Math"/>
              </w:rPr>
              <m:t>K</m:t>
            </m:r>
          </m:sup>
        </m:sSup>
      </m:oMath>
      <w:r w:rsidRPr="00AC13E7">
        <w:t xml:space="preserve"> to get the clustering results. </w:t>
      </w:r>
    </w:p>
    <w:p w14:paraId="736BD6E7" w14:textId="77777777" w:rsidR="00913E4D" w:rsidRPr="00AC13E7" w:rsidRDefault="005E5252" w:rsidP="00913E4D">
      <w:pPr>
        <w:jc w:val="both"/>
      </w:pPr>
      <w:r w:rsidRPr="00AC13E7">
        <w:lastRenderedPageBreak/>
        <w:t xml:space="preserve">    </w:t>
      </w:r>
    </w:p>
    <w:p w14:paraId="0548F0F8" w14:textId="0B204891" w:rsidR="005E5252" w:rsidRPr="00AC13E7" w:rsidRDefault="005E5252" w:rsidP="00913E4D">
      <w:pPr>
        <w:jc w:val="both"/>
      </w:pPr>
      <w:r w:rsidRPr="00AC13E7">
        <w:t xml:space="preserve">One critical parameter to provide is the number of clusters, </w:t>
      </w:r>
      <m:oMath>
        <m:r>
          <w:rPr>
            <w:rFonts w:ascii="Cambria Math" w:hAnsi="Cambria Math"/>
          </w:rPr>
          <m:t>K</m:t>
        </m:r>
      </m:oMath>
      <w:r w:rsidRPr="00AC13E7">
        <w:t xml:space="preserve">. In the PCAWG project, </w:t>
      </w:r>
      <m:oMath>
        <m:r>
          <w:rPr>
            <w:rFonts w:ascii="Cambria Math" w:hAnsi="Cambria Math"/>
          </w:rPr>
          <m:t>K</m:t>
        </m:r>
      </m:oMath>
      <w:r w:rsidRPr="00AC13E7">
        <w:t xml:space="preserve"> was chosen to be the median of all method (rounded up if only even number of methods had results on the sample). </w:t>
      </w:r>
    </w:p>
    <w:p w14:paraId="708CA4D6" w14:textId="77777777" w:rsidR="00913E4D" w:rsidRPr="00AC13E7" w:rsidRDefault="005E5252" w:rsidP="00913E4D">
      <w:pPr>
        <w:jc w:val="both"/>
      </w:pPr>
      <w:r w:rsidRPr="00AC13E7">
        <w:t xml:space="preserve">    </w:t>
      </w:r>
    </w:p>
    <w:p w14:paraId="5A50FD89" w14:textId="5E9C8E7E" w:rsidR="005E5252" w:rsidRPr="00AC13E7" w:rsidRDefault="005E5252" w:rsidP="00913E4D">
      <w:pPr>
        <w:jc w:val="both"/>
      </w:pPr>
      <w:r w:rsidRPr="00AC13E7">
        <w:t xml:space="preserve">To determine the cluster location, the cellular prevalence (CP) of each mutation should be estimated. Suppose CP of SNV </w:t>
      </w:r>
      <m:oMath>
        <m:r>
          <w:rPr>
            <w:rFonts w:ascii="Cambria Math" w:hAnsi="Cambria Math"/>
          </w:rPr>
          <m:t>i</m:t>
        </m:r>
      </m:oMath>
      <w:r w:rsidRPr="00AC13E7">
        <w:t xml:space="preserve"> estimated by method </w:t>
      </w:r>
      <m:oMath>
        <m:r>
          <w:rPr>
            <w:rFonts w:ascii="Cambria Math" w:hAnsi="Cambria Math"/>
          </w:rPr>
          <m:t>h</m:t>
        </m:r>
      </m:oMath>
      <w:r w:rsidRPr="00AC13E7">
        <w:t xml:space="preserve"> is</w:t>
      </w:r>
      <m:oMath>
        <m:r>
          <w:rPr>
            <w:rFonts w:ascii="Cambria Math" w:hAnsi="Cambria Math"/>
          </w:rPr>
          <m:t xml:space="preserve"> </m:t>
        </m:r>
        <m:sSubSup>
          <m:sSubSupPr>
            <m:ctrlPr>
              <w:rPr>
                <w:rFonts w:ascii="Cambria Math" w:hAnsi="Cambria Math"/>
                <w:i/>
              </w:rPr>
            </m:ctrlPr>
          </m:sSubSupPr>
          <m:e>
            <m:r>
              <w:rPr>
                <w:rFonts w:ascii="Cambria Math" w:hAnsi="Cambria Math"/>
              </w:rPr>
              <m:t>ϕ</m:t>
            </m:r>
          </m:e>
          <m:sub>
            <m:r>
              <w:rPr>
                <w:rFonts w:ascii="Cambria Math" w:hAnsi="Cambria Math"/>
              </w:rPr>
              <m:t>i</m:t>
            </m:r>
          </m:sub>
          <m:sup>
            <m:r>
              <w:rPr>
                <w:rFonts w:ascii="Cambria Math" w:hAnsi="Cambria Math"/>
              </w:rPr>
              <m:t>(h)</m:t>
            </m:r>
          </m:sup>
        </m:sSubSup>
      </m:oMath>
      <w:r w:rsidRPr="00AC13E7">
        <w:t xml:space="preserve">, thus the consensus CP of SNV </w:t>
      </w:r>
      <m:oMath>
        <m:r>
          <w:rPr>
            <w:rFonts w:ascii="Cambria Math" w:hAnsi="Cambria Math"/>
          </w:rPr>
          <m:t>i</m:t>
        </m:r>
      </m:oMath>
      <w:r w:rsidRPr="00AC13E7">
        <w:t xml:space="preserve"> is defined as </w:t>
      </w:r>
      <m:oMath>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 xml:space="preserve">=median{ </m:t>
        </m:r>
        <m:sSubSup>
          <m:sSubSupPr>
            <m:ctrlPr>
              <w:rPr>
                <w:rFonts w:ascii="Cambria Math" w:hAnsi="Cambria Math"/>
                <w:i/>
              </w:rPr>
            </m:ctrlPr>
          </m:sSubSupPr>
          <m:e>
            <m:r>
              <w:rPr>
                <w:rFonts w:ascii="Cambria Math" w:hAnsi="Cambria Math"/>
              </w:rPr>
              <m:t>ϕ</m:t>
            </m:r>
          </m:e>
          <m:sub>
            <m:r>
              <w:rPr>
                <w:rFonts w:ascii="Cambria Math" w:hAnsi="Cambria Math"/>
              </w:rPr>
              <m:t>i</m:t>
            </m:r>
          </m:sub>
          <m:sup>
            <m:r>
              <w:rPr>
                <w:rFonts w:ascii="Cambria Math" w:hAnsi="Cambria Math"/>
              </w:rPr>
              <m:t>(h)</m:t>
            </m:r>
          </m:sup>
        </m:sSubSup>
        <m:r>
          <w:rPr>
            <w:rFonts w:ascii="Cambria Math" w:hAnsi="Cambria Math"/>
          </w:rPr>
          <m:t xml:space="preserve"> }</m:t>
        </m:r>
      </m:oMath>
      <w:r w:rsidRPr="00AC13E7">
        <w:t xml:space="preserve">. Subsequently, the cluster CP was computed as </w:t>
      </w:r>
    </w:p>
    <w:p w14:paraId="701B4762" w14:textId="33AC1183" w:rsidR="005E5252" w:rsidRPr="00AC13E7" w:rsidRDefault="005E5252" w:rsidP="00913E4D">
      <w:pPr>
        <w:jc w:val="both"/>
      </w:pPr>
      <m:oMathPara>
        <m:oMathParaPr>
          <m:jc m:val="center"/>
        </m:oMathParaPr>
        <m:oMath>
          <m:r>
            <w:rPr>
              <w:rFonts w:ascii="Cambria Math" w:hAnsi="Cambria Math"/>
            </w:rPr>
            <m:t>Φ(C)=</m:t>
          </m:r>
          <m:f>
            <m:fPr>
              <m:ctrlPr>
                <w:rPr>
                  <w:rFonts w:ascii="Cambria Math" w:hAnsi="Cambria Math"/>
                </w:rPr>
              </m:ctrlPr>
            </m:fPr>
            <m:num>
              <m:r>
                <w:rPr>
                  <w:rFonts w:ascii="Cambria Math" w:hAnsi="Cambria Math"/>
                </w:rPr>
                <m:t>1</m:t>
              </m:r>
            </m:num>
            <m:den>
              <m:nary>
                <m:naryPr>
                  <m:chr m:val="∑"/>
                  <m:ctrlPr>
                    <w:rPr>
                      <w:rFonts w:ascii="Cambria Math" w:hAnsi="Cambria Math"/>
                    </w:rPr>
                  </m:ctrlPr>
                </m:naryPr>
                <m:sub>
                  <m:r>
                    <w:rPr>
                      <w:rFonts w:ascii="Cambria Math" w:hAnsi="Cambria Math"/>
                    </w:rPr>
                    <m:t>i=1</m:t>
                  </m:r>
                </m:sub>
                <m:sup>
                  <m:r>
                    <w:rPr>
                      <w:rFonts w:ascii="Cambria Math" w:hAnsi="Cambria Math"/>
                    </w:rPr>
                    <m:t>N</m:t>
                  </m:r>
                </m:sup>
                <m:e>
                  <m:r>
                    <w:rPr>
                      <w:rFonts w:ascii="Cambria Math" w:hAnsi="Cambria Math"/>
                    </w:rPr>
                    <m:t>I(i∈C)</m:t>
                  </m:r>
                </m:e>
              </m:nary>
            </m:den>
          </m:f>
          <m:nary>
            <m:naryPr>
              <m:chr m:val="∑"/>
              <m:ctrlPr>
                <w:rPr>
                  <w:rFonts w:ascii="Cambria Math" w:hAnsi="Cambria Math"/>
                </w:rPr>
              </m:ctrlPr>
            </m:naryPr>
            <m:sub>
              <m:r>
                <w:rPr>
                  <w:rFonts w:ascii="Cambria Math" w:hAnsi="Cambria Math"/>
                </w:rPr>
                <m:t>i=1</m:t>
              </m:r>
            </m:sub>
            <m:sup>
              <m:r>
                <w:rPr>
                  <w:rFonts w:ascii="Cambria Math" w:hAnsi="Cambria Math"/>
                </w:rPr>
                <m:t>N</m:t>
              </m:r>
            </m:sup>
            <m:e>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I(i∈C)</m:t>
              </m:r>
            </m:e>
          </m:nary>
        </m:oMath>
      </m:oMathPara>
    </w:p>
    <w:p w14:paraId="618E79E7" w14:textId="77777777" w:rsidR="005E5252" w:rsidRPr="00AC13E7" w:rsidRDefault="005E5252" w:rsidP="00913E4D">
      <w:pPr>
        <w:jc w:val="both"/>
      </w:pPr>
      <w:r w:rsidRPr="00AC13E7">
        <w:t xml:space="preserve">where </w:t>
      </w:r>
      <m:oMath>
        <m:r>
          <w:rPr>
            <w:rFonts w:ascii="Cambria Math" w:hAnsi="Cambria Math"/>
          </w:rPr>
          <m:t>C</m:t>
        </m:r>
      </m:oMath>
      <w:r w:rsidRPr="00AC13E7">
        <w:t xml:space="preserve"> denotes a cluster, and </w:t>
      </w:r>
      <m:oMath>
        <m:r>
          <w:rPr>
            <w:rFonts w:ascii="Cambria Math" w:hAnsi="Cambria Math"/>
          </w:rPr>
          <m:t>I(⋅)</m:t>
        </m:r>
      </m:oMath>
      <w:r w:rsidRPr="00AC13E7">
        <w:t xml:space="preserve"> is an indicator function, takes value 1 if the SNV </w:t>
      </w:r>
      <m:oMath>
        <m:r>
          <w:rPr>
            <w:rFonts w:ascii="Cambria Math" w:hAnsi="Cambria Math"/>
          </w:rPr>
          <m:t xml:space="preserve">i </m:t>
        </m:r>
      </m:oMath>
      <w:r w:rsidRPr="00AC13E7">
        <w:t xml:space="preserve">belongs to a cluster </w:t>
      </w:r>
      <m:oMath>
        <m:r>
          <w:rPr>
            <w:rFonts w:ascii="Cambria Math" w:hAnsi="Cambria Math"/>
          </w:rPr>
          <m:t>C</m:t>
        </m:r>
      </m:oMath>
      <w:r w:rsidRPr="00AC13E7">
        <w:t>, and 0 otherwise.</w:t>
      </w:r>
    </w:p>
    <w:p w14:paraId="7AD2C9D8" w14:textId="77777777" w:rsidR="00913E4D" w:rsidRPr="00AC13E7" w:rsidRDefault="005E5252" w:rsidP="00913E4D">
      <w:pPr>
        <w:jc w:val="both"/>
      </w:pPr>
      <w:r w:rsidRPr="00AC13E7">
        <w:t xml:space="preserve">   </w:t>
      </w:r>
    </w:p>
    <w:p w14:paraId="31E78423" w14:textId="01F153C4" w:rsidR="005E5252" w:rsidRPr="00AC13E7" w:rsidRDefault="005E5252" w:rsidP="00913E4D">
      <w:pPr>
        <w:jc w:val="both"/>
      </w:pPr>
      <w:r w:rsidRPr="00AC13E7">
        <w:t xml:space="preserve">To make the obtained cluster architecture more biologically meaningful, several post processing steps can be applied: 1) super clonal SNVs, unless majority of the methods reports super clonal SNVs, all the clusters with CP </w:t>
      </w:r>
      <m:oMath>
        <m:r>
          <w:rPr>
            <w:rFonts w:ascii="Cambria Math" w:hAnsi="Cambria Math"/>
          </w:rPr>
          <m:t>&gt;</m:t>
        </m:r>
      </m:oMath>
      <w:r w:rsidRPr="00AC13E7">
        <w:t xml:space="preserve"> </w:t>
      </w:r>
      <w:r w:rsidRPr="00AC13E7">
        <w:rPr>
          <w:i/>
        </w:rPr>
        <w:t>the consensus purity</w:t>
      </w:r>
      <w:r w:rsidRPr="00AC13E7">
        <w:t xml:space="preserve"> were merged with the closest non-super clonal cluster. 2) close clusters, the distance between nearest clusters was identified from each method by taking the median of the shortest distance between two clusters in each method. If majority methods report only clonal cluster, the distance was set to be 0.05 for computational convenience. The clusters that were too close were merged to form a new cluster. 3) tiny cluster in size, where one cluster contained too few SNVs, the thresholding of tiny cluster was also inferred from the results of each method, by taking the median of smallest cluster in size. Again, when the majority gave only clonal cluster, the size threshold was given manually as 5% of total SNV or 50 when the total number of SNVs w</w:t>
      </w:r>
      <w:r w:rsidR="009E4043" w:rsidRPr="00AC13E7">
        <w:t>as</w:t>
      </w:r>
      <w:r w:rsidRPr="00AC13E7">
        <w:t xml:space="preserve"> fewer than 1</w:t>
      </w:r>
      <w:r w:rsidR="009E4043" w:rsidRPr="00AC13E7">
        <w:t>,</w:t>
      </w:r>
      <w:r w:rsidRPr="00AC13E7">
        <w:t xml:space="preserve">000. </w:t>
      </w:r>
    </w:p>
    <w:p w14:paraId="6CE08C1D" w14:textId="77777777" w:rsidR="00913E4D" w:rsidRPr="00AC13E7" w:rsidRDefault="005E5252" w:rsidP="00913E4D">
      <w:pPr>
        <w:jc w:val="both"/>
      </w:pPr>
      <w:r w:rsidRPr="00AC13E7">
        <w:t xml:space="preserve">    </w:t>
      </w:r>
    </w:p>
    <w:p w14:paraId="6EF7A76A" w14:textId="11D53582" w:rsidR="005E5252" w:rsidRPr="00AC13E7" w:rsidRDefault="005E5252" w:rsidP="00913E4D">
      <w:pPr>
        <w:jc w:val="both"/>
      </w:pPr>
      <w:r w:rsidRPr="00AC13E7">
        <w:t>In the hyper-mutated samples, where number of SNVs w</w:t>
      </w:r>
      <w:r w:rsidR="009E4043" w:rsidRPr="00AC13E7">
        <w:t>as</w:t>
      </w:r>
      <w:r w:rsidRPr="00AC13E7">
        <w:t xml:space="preserve"> well beyond 30,000, a subsampling strategy was designed to avoid the memory issue when constructing CCM. These subsampling was done following the steps listed (down-sample to 25,000, for example):</w:t>
      </w:r>
      <w:r w:rsidR="00E37911" w:rsidRPr="00AC13E7">
        <w:t xml:space="preserve"> </w:t>
      </w:r>
      <w:r w:rsidRPr="00AC13E7">
        <w:t xml:space="preserve">Estimating CP for each SNVs, and binning the SNVs into </w:t>
      </w:r>
      <m:oMath>
        <m:r>
          <w:rPr>
            <w:rFonts w:ascii="Cambria Math" w:hAnsi="Cambria Math"/>
          </w:rPr>
          <m:t>B</m:t>
        </m:r>
      </m:oMath>
      <w:r w:rsidRPr="00AC13E7">
        <w:t xml:space="preserve"> equal-size bins (the same CP </w:t>
      </w:r>
      <w:r w:rsidR="00E37911" w:rsidRPr="00AC13E7">
        <w:t xml:space="preserve">span) according to their CPs; </w:t>
      </w:r>
      <w:r w:rsidRPr="00AC13E7">
        <w:t>Order</w:t>
      </w:r>
      <w:r w:rsidR="00E37911" w:rsidRPr="00AC13E7">
        <w:t>ing</w:t>
      </w:r>
      <w:r w:rsidRPr="00AC13E7">
        <w:t xml:space="preserve"> all SNVs in each bin by the frequencies they were cal</w:t>
      </w:r>
      <w:r w:rsidR="00E37911" w:rsidRPr="00AC13E7">
        <w:t xml:space="preserve">led by callers from high to low; </w:t>
      </w:r>
      <w:r w:rsidRPr="00AC13E7">
        <w:t xml:space="preserve">Determining the sampling size for each </w:t>
      </w:r>
      <w:r w:rsidR="00E37911" w:rsidRPr="00AC13E7">
        <w:t xml:space="preserve">bin proportional to their sizes; </w:t>
      </w:r>
      <w:r w:rsidRPr="00AC13E7">
        <w:t>Selecting SNVs in each bin following the order in 2), if include certain frequency resulted in far beyond the pre-determined number of SNVs, for example in a bin the pre-determined sample size was 100, and there were 90 SNVs with frequencies larger than or equal to 8 and 50 SNVs with frequency 7. Then 10 SNVs were sampled uniformly from these 50 SNVs with frequency 7 to fill up the required sample size for this bin.</w:t>
      </w:r>
    </w:p>
    <w:p w14:paraId="43CDAD33" w14:textId="77777777" w:rsidR="00E37911" w:rsidRPr="00AC13E7" w:rsidRDefault="00E37911" w:rsidP="00913E4D">
      <w:pPr>
        <w:jc w:val="both"/>
      </w:pPr>
    </w:p>
    <w:p w14:paraId="4A96B767" w14:textId="39904892" w:rsidR="005E5252" w:rsidRPr="00AC13E7" w:rsidRDefault="005E5252" w:rsidP="00913E4D">
      <w:pPr>
        <w:jc w:val="both"/>
      </w:pPr>
      <w:r w:rsidRPr="00AC13E7">
        <w:t>The CCMs were only computed for the sampled SNVs.</w:t>
      </w:r>
      <w:r w:rsidR="00E37911" w:rsidRPr="00AC13E7">
        <w:t xml:space="preserve"> </w:t>
      </w:r>
      <w:r w:rsidRPr="00AC13E7">
        <w:t>This sampling strategy is superior to a random uniform sampl</w:t>
      </w:r>
      <w:r w:rsidR="009E4043" w:rsidRPr="00AC13E7">
        <w:t>ing</w:t>
      </w:r>
      <w:r w:rsidRPr="00AC13E7">
        <w:t xml:space="preserve"> since the subsampled distribution of CPs roughly matched the full one; therefore, the small cluster was less likely to be missed due to down sampl</w:t>
      </w:r>
      <w:r w:rsidR="009E4043" w:rsidRPr="00AC13E7">
        <w:t>ing. Besides</w:t>
      </w:r>
      <w:r w:rsidRPr="00AC13E7">
        <w:t xml:space="preserve">, the ordered samples guaranteed </w:t>
      </w:r>
      <w:r w:rsidR="009E4043" w:rsidRPr="00AC13E7">
        <w:t xml:space="preserve">that </w:t>
      </w:r>
      <w:r w:rsidRPr="00AC13E7">
        <w:t xml:space="preserve">the maximum information from each method </w:t>
      </w:r>
      <w:r w:rsidR="00801EF3" w:rsidRPr="00AC13E7">
        <w:t>was</w:t>
      </w:r>
      <w:r w:rsidRPr="00AC13E7">
        <w:t xml:space="preserve"> used.</w:t>
      </w:r>
    </w:p>
    <w:p w14:paraId="179812BE" w14:textId="77777777" w:rsidR="005E5252" w:rsidRPr="00AC13E7" w:rsidRDefault="005E5252" w:rsidP="00BA28F5"/>
    <w:p w14:paraId="6D5BF922" w14:textId="77777777" w:rsidR="003B4193" w:rsidRPr="00AC13E7" w:rsidRDefault="003B4193">
      <w:pPr>
        <w:rPr>
          <w:b/>
        </w:rPr>
      </w:pPr>
      <w:r w:rsidRPr="00AC13E7">
        <w:rPr>
          <w:b/>
        </w:rPr>
        <w:br w:type="page"/>
      </w:r>
    </w:p>
    <w:p w14:paraId="53187349" w14:textId="5336234B" w:rsidR="00BA28F5" w:rsidRPr="00AC13E7" w:rsidRDefault="00BA28F5" w:rsidP="00BA28F5">
      <w:pPr>
        <w:rPr>
          <w:b/>
        </w:rPr>
      </w:pPr>
      <w:r w:rsidRPr="00AC13E7">
        <w:rPr>
          <w:b/>
        </w:rPr>
        <w:lastRenderedPageBreak/>
        <w:t>2.2.1.</w:t>
      </w:r>
      <w:r w:rsidR="00273821" w:rsidRPr="00AC13E7">
        <w:rPr>
          <w:b/>
        </w:rPr>
        <w:t>2</w:t>
      </w:r>
      <w:r w:rsidRPr="00AC13E7">
        <w:rPr>
          <w:b/>
        </w:rPr>
        <w:t xml:space="preserve"> Chic (CICC – Cluster-ID-based Consensus Clustering)</w:t>
      </w:r>
    </w:p>
    <w:p w14:paraId="4C27EF15" w14:textId="77777777" w:rsidR="00FE3205" w:rsidRPr="00AC13E7" w:rsidRDefault="00FE3205" w:rsidP="00E37911">
      <w:pPr>
        <w:jc w:val="both"/>
      </w:pPr>
    </w:p>
    <w:p w14:paraId="634CCDAE" w14:textId="203BB522" w:rsidR="005E5252" w:rsidRPr="00AC13E7" w:rsidRDefault="005E5252" w:rsidP="00E37911">
      <w:pPr>
        <w:jc w:val="both"/>
      </w:pPr>
      <w:r w:rsidRPr="00AC13E7">
        <w:t xml:space="preserve">Let </w:t>
      </w:r>
      <m:oMath>
        <m:sSubSup>
          <m:sSubSupPr>
            <m:ctrlPr>
              <w:rPr>
                <w:rFonts w:ascii="Cambria Math" w:hAnsi="Cambria Math"/>
                <w:i/>
              </w:rPr>
            </m:ctrlPr>
          </m:sSubSupPr>
          <m:e>
            <m:r>
              <w:rPr>
                <w:rFonts w:ascii="Cambria Math" w:hAnsi="Cambria Math"/>
              </w:rPr>
              <m:t>a</m:t>
            </m:r>
          </m:e>
          <m:sub>
            <m:r>
              <w:rPr>
                <w:rFonts w:ascii="Cambria Math" w:hAnsi="Cambria Math"/>
              </w:rPr>
              <m:t>i</m:t>
            </m:r>
          </m:sub>
          <m:sup>
            <m:r>
              <w:rPr>
                <w:rFonts w:ascii="Cambria Math" w:hAnsi="Cambria Math"/>
              </w:rPr>
              <m:t>(h)</m:t>
            </m:r>
          </m:sup>
        </m:sSubSup>
        <m:r>
          <w:rPr>
            <w:rFonts w:ascii="Cambria Math" w:hAnsi="Cambria Math"/>
          </w:rPr>
          <m:t>, h∈</m:t>
        </m:r>
        <m:d>
          <m:dPr>
            <m:begChr m:val="{"/>
            <m:endChr m:val="}"/>
            <m:ctrlPr>
              <w:rPr>
                <w:rFonts w:ascii="Cambria Math" w:hAnsi="Cambria Math"/>
                <w:i/>
              </w:rPr>
            </m:ctrlPr>
          </m:dPr>
          <m:e>
            <m:r>
              <w:rPr>
                <w:rFonts w:ascii="Cambria Math" w:hAnsi="Cambria Math"/>
              </w:rPr>
              <m:t>1,…,H</m:t>
            </m:r>
          </m:e>
        </m:d>
        <m:r>
          <w:rPr>
            <w:rFonts w:ascii="Cambria Math" w:hAnsi="Cambria Math"/>
          </w:rPr>
          <m:t>,</m:t>
        </m:r>
      </m:oMath>
      <w:r w:rsidRPr="00AC13E7">
        <w:t xml:space="preserve"> and</w:t>
      </w:r>
      <m:oMath>
        <m:r>
          <w:rPr>
            <w:rFonts w:ascii="Cambria Math" w:hAnsi="Cambria Math"/>
          </w:rPr>
          <m:t xml:space="preserve"> i∈{1,…,V}</m:t>
        </m:r>
      </m:oMath>
      <w:r w:rsidRPr="00AC13E7">
        <w:t xml:space="preserve"> denote the cluster </w:t>
      </w:r>
      <w:r w:rsidR="009E4043" w:rsidRPr="00AC13E7">
        <w:t>ID/label</w:t>
      </w:r>
      <w:r w:rsidRPr="00AC13E7">
        <w:t xml:space="preserve"> of the </w:t>
      </w:r>
      <m:oMath>
        <m:r>
          <w:rPr>
            <w:rFonts w:ascii="Cambria Math" w:hAnsi="Cambria Math"/>
          </w:rPr>
          <m:t>i</m:t>
        </m:r>
      </m:oMath>
      <w:r w:rsidRPr="00AC13E7">
        <w:t xml:space="preserve">-th SNV assigned by method </w:t>
      </w:r>
      <m:oMath>
        <m:r>
          <w:rPr>
            <w:rFonts w:ascii="Cambria Math" w:hAnsi="Cambria Math"/>
          </w:rPr>
          <m:t>h</m:t>
        </m:r>
      </m:oMath>
      <w:r w:rsidRPr="00AC13E7">
        <w:t xml:space="preserve">, and </w:t>
      </w:r>
      <m:oMath>
        <m:r>
          <w:rPr>
            <w:rFonts w:ascii="Cambria Math" w:hAnsi="Cambria Math"/>
          </w:rPr>
          <m:t>H</m:t>
        </m:r>
      </m:oMath>
      <w:r w:rsidRPr="00AC13E7">
        <w:t xml:space="preserve"> denote the total number of methods and </w:t>
      </w:r>
      <m:oMath>
        <m:r>
          <w:rPr>
            <w:rFonts w:ascii="Cambria Math" w:hAnsi="Cambria Math"/>
          </w:rPr>
          <m:t>V</m:t>
        </m:r>
      </m:oMath>
      <w:r w:rsidRPr="00AC13E7">
        <w:t xml:space="preserve"> the total number of SNVs assigned by at least one method. </w:t>
      </w:r>
      <w:r w:rsidR="00547EA5" w:rsidRPr="00AC13E7">
        <w:t>I</w:t>
      </w:r>
      <w:r w:rsidRPr="00AC13E7">
        <w:t>f the</w:t>
      </w:r>
      <m:oMath>
        <m:r>
          <w:rPr>
            <w:rFonts w:ascii="Cambria Math" w:hAnsi="Cambria Math"/>
          </w:rPr>
          <m:t xml:space="preserve"> i</m:t>
        </m:r>
      </m:oMath>
      <w:r w:rsidRPr="00AC13E7">
        <w:t xml:space="preserve">-th SNV was assigned by method </w:t>
      </w:r>
      <m:oMath>
        <m:r>
          <w:rPr>
            <w:rFonts w:ascii="Cambria Math" w:hAnsi="Cambria Math"/>
          </w:rPr>
          <m:t>h</m:t>
        </m:r>
      </m:oMath>
      <w:r w:rsidRPr="00AC13E7">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i</m:t>
            </m:r>
          </m:sub>
          <m:sup>
            <m:r>
              <w:rPr>
                <w:rFonts w:ascii="Cambria Math" w:hAnsi="Cambria Math"/>
              </w:rPr>
              <m:t>(h)</m:t>
            </m:r>
          </m:sup>
        </m:sSubSup>
      </m:oMath>
      <w:r w:rsidRPr="00AC13E7">
        <w:t xml:space="preserve"> takes value from </w:t>
      </w:r>
      <m:oMath>
        <m:r>
          <w:rPr>
            <w:rFonts w:ascii="Cambria Math" w:hAnsi="Cambria Math"/>
          </w:rPr>
          <m:t xml:space="preserve">{1,…, </m:t>
        </m:r>
        <m:sSub>
          <m:sSubPr>
            <m:ctrlPr>
              <w:rPr>
                <w:rFonts w:ascii="Cambria Math" w:hAnsi="Cambria Math"/>
                <w:i/>
              </w:rPr>
            </m:ctrlPr>
          </m:sSubPr>
          <m:e>
            <m:r>
              <w:rPr>
                <w:rFonts w:ascii="Cambria Math" w:hAnsi="Cambria Math"/>
              </w:rPr>
              <m:t>K</m:t>
            </m:r>
          </m:e>
          <m:sub>
            <m:r>
              <w:rPr>
                <w:rFonts w:ascii="Cambria Math" w:hAnsi="Cambria Math"/>
              </w:rPr>
              <m:t>h</m:t>
            </m:r>
          </m:sub>
        </m:sSub>
        <m:r>
          <w:rPr>
            <w:rFonts w:ascii="Cambria Math" w:hAnsi="Cambria Math"/>
          </w:rPr>
          <m:t>}</m:t>
        </m:r>
      </m:oMath>
      <w:r w:rsidRPr="00AC13E7">
        <w:t xml:space="preserve">, where </w:t>
      </w:r>
      <m:oMath>
        <m:sSub>
          <m:sSubPr>
            <m:ctrlPr>
              <w:rPr>
                <w:rFonts w:ascii="Cambria Math" w:hAnsi="Cambria Math"/>
                <w:i/>
              </w:rPr>
            </m:ctrlPr>
          </m:sSubPr>
          <m:e>
            <m:r>
              <w:rPr>
                <w:rFonts w:ascii="Cambria Math" w:hAnsi="Cambria Math"/>
              </w:rPr>
              <m:t>K</m:t>
            </m:r>
          </m:e>
          <m:sub>
            <m:r>
              <w:rPr>
                <w:rFonts w:ascii="Cambria Math" w:hAnsi="Cambria Math"/>
              </w:rPr>
              <m:t>h</m:t>
            </m:r>
          </m:sub>
        </m:sSub>
      </m:oMath>
      <w:r w:rsidRPr="00AC13E7">
        <w:t xml:space="preserve"> is the number of cluster identified by method </w:t>
      </w:r>
      <m:oMath>
        <m:r>
          <w:rPr>
            <w:rFonts w:ascii="Cambria Math" w:hAnsi="Cambria Math"/>
          </w:rPr>
          <m:t>h</m:t>
        </m:r>
      </m:oMath>
      <w:r w:rsidRPr="00AC13E7">
        <w:t xml:space="preserve">; if not assigned it takes value of </w:t>
      </w:r>
      <m:oMath>
        <m:r>
          <w:rPr>
            <w:rFonts w:ascii="Cambria Math" w:hAnsi="Cambria Math"/>
          </w:rPr>
          <m:t>-1</m:t>
        </m:r>
      </m:oMath>
      <w:r w:rsidRPr="00AC13E7">
        <w:t>.</w:t>
      </w:r>
    </w:p>
    <w:p w14:paraId="147B6574" w14:textId="77777777" w:rsidR="005E5252" w:rsidRPr="00AC13E7" w:rsidRDefault="005E5252" w:rsidP="00E37911">
      <w:pPr>
        <w:jc w:val="both"/>
      </w:pPr>
      <w:r w:rsidRPr="00AC13E7">
        <w:t xml:space="preserve">For the </w:t>
      </w:r>
      <m:oMath>
        <m:r>
          <w:rPr>
            <w:rFonts w:ascii="Cambria Math" w:hAnsi="Cambria Math"/>
          </w:rPr>
          <m:t>i</m:t>
        </m:r>
      </m:oMath>
      <w:r w:rsidRPr="00AC13E7">
        <w:t xml:space="preserve">-th SNV, we write the vector of assignment </w:t>
      </w:r>
    </w:p>
    <w:p w14:paraId="5CEFD36D" w14:textId="77777777" w:rsidR="005E5252" w:rsidRPr="00AC13E7" w:rsidRDefault="0036299C" w:rsidP="00E37911">
      <w:pPr>
        <w:jc w:val="both"/>
      </w:pPr>
      <m:oMathPara>
        <m:oMathParaPr>
          <m:jc m:val="center"/>
        </m:oMathParaPr>
        <m:oMath>
          <m:sSub>
            <m:sSubPr>
              <m:ctrlPr>
                <w:rPr>
                  <w:rFonts w:ascii="Cambria Math" w:hAnsi="Cambria Math"/>
                  <w:i/>
                </w:rPr>
              </m:ctrlPr>
            </m:sSubPr>
            <m:e>
              <m:r>
                <m:rPr>
                  <m:sty m:val="bi"/>
                </m:rPr>
                <w:rPr>
                  <w:rFonts w:ascii="Cambria Math" w:hAnsi="Cambria Math"/>
                </w:rPr>
                <m:t>A</m:t>
              </m:r>
              <m:ctrlPr>
                <w:rPr>
                  <w:rFonts w:ascii="Cambria Math" w:hAnsi="Cambria Math"/>
                  <w:b/>
                  <w:i/>
                </w:rPr>
              </m:ctrlP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i</m:t>
              </m:r>
            </m:sub>
            <m:sup>
              <m:d>
                <m:dPr>
                  <m:ctrlPr>
                    <w:rPr>
                      <w:rFonts w:ascii="Cambria Math" w:hAnsi="Cambria Math"/>
                      <w:i/>
                    </w:rPr>
                  </m:ctrlPr>
                </m:dPr>
                <m:e>
                  <m:r>
                    <w:rPr>
                      <w:rFonts w:ascii="Cambria Math" w:hAnsi="Cambria Math"/>
                    </w:rPr>
                    <m:t>1</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i</m:t>
              </m:r>
            </m:sub>
            <m:sup>
              <m:d>
                <m:dPr>
                  <m:ctrlPr>
                    <w:rPr>
                      <w:rFonts w:ascii="Cambria Math" w:hAnsi="Cambria Math"/>
                      <w:i/>
                    </w:rPr>
                  </m:ctrlPr>
                </m:dPr>
                <m:e>
                  <m:r>
                    <w:rPr>
                      <w:rFonts w:ascii="Cambria Math" w:hAnsi="Cambria Math"/>
                    </w:rPr>
                    <m:t>2</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oMath>
      </m:oMathPara>
    </w:p>
    <w:p w14:paraId="447A5305" w14:textId="77777777" w:rsidR="00E37911" w:rsidRPr="00AC13E7" w:rsidRDefault="005E5252" w:rsidP="00E37911">
      <w:pPr>
        <w:jc w:val="both"/>
      </w:pPr>
      <w:r w:rsidRPr="00AC13E7">
        <w:t xml:space="preserve">    </w:t>
      </w:r>
    </w:p>
    <w:p w14:paraId="778EF6F4" w14:textId="03C5ED00" w:rsidR="005E5252" w:rsidRPr="00AC13E7" w:rsidRDefault="005E5252" w:rsidP="00E37911">
      <w:pPr>
        <w:jc w:val="both"/>
      </w:pPr>
      <w:r w:rsidRPr="00AC13E7">
        <w:t xml:space="preserve">If for </w:t>
      </w:r>
      <m:oMath>
        <m:r>
          <w:rPr>
            <w:rFonts w:ascii="Cambria Math" w:hAnsi="Cambria Math"/>
          </w:rPr>
          <m:t>i,j∈</m:t>
        </m:r>
        <m:d>
          <m:dPr>
            <m:begChr m:val="{"/>
            <m:endChr m:val="}"/>
            <m:ctrlPr>
              <w:rPr>
                <w:rFonts w:ascii="Cambria Math" w:hAnsi="Cambria Math"/>
                <w:i/>
              </w:rPr>
            </m:ctrlPr>
          </m:dPr>
          <m:e>
            <m:r>
              <w:rPr>
                <w:rFonts w:ascii="Cambria Math" w:hAnsi="Cambria Math"/>
              </w:rPr>
              <m:t>1,…,V</m:t>
            </m:r>
          </m:e>
        </m:d>
        <m:r>
          <w:rPr>
            <w:rFonts w:ascii="Cambria Math" w:hAnsi="Cambria Math"/>
          </w:rPr>
          <m:t xml:space="preserve">, </m:t>
        </m:r>
        <m:sSub>
          <m:sSubPr>
            <m:ctrlPr>
              <w:rPr>
                <w:rFonts w:ascii="Cambria Math" w:hAnsi="Cambria Math"/>
                <w:i/>
              </w:rPr>
            </m:ctrlPr>
          </m:sSubPr>
          <m:e>
            <m:r>
              <m:rPr>
                <m:sty m:val="bi"/>
              </m:rPr>
              <w:rPr>
                <w:rFonts w:ascii="Cambria Math" w:hAnsi="Cambria Math"/>
              </w:rPr>
              <m:t>A</m:t>
            </m:r>
          </m:e>
          <m:sub>
            <m:r>
              <w:rPr>
                <w:rFonts w:ascii="Cambria Math" w:hAnsi="Cambria Math"/>
              </w:rPr>
              <m:t>i</m:t>
            </m:r>
          </m:sub>
        </m:sSub>
        <m:r>
          <w:rPr>
            <w:rFonts w:ascii="Cambria Math" w:hAnsi="Cambria Math"/>
          </w:rPr>
          <m:t>=</m:t>
        </m:r>
        <m:sSub>
          <m:sSubPr>
            <m:ctrlPr>
              <w:rPr>
                <w:rFonts w:ascii="Cambria Math" w:hAnsi="Cambria Math"/>
                <w:i/>
              </w:rPr>
            </m:ctrlPr>
          </m:sSubPr>
          <m:e>
            <m:r>
              <m:rPr>
                <m:sty m:val="bi"/>
              </m:rPr>
              <w:rPr>
                <w:rFonts w:ascii="Cambria Math" w:hAnsi="Cambria Math"/>
              </w:rPr>
              <m:t>A</m:t>
            </m:r>
          </m:e>
          <m:sub>
            <m:r>
              <w:rPr>
                <w:rFonts w:ascii="Cambria Math" w:hAnsi="Cambria Math"/>
              </w:rPr>
              <m:t>j</m:t>
            </m:r>
          </m:sub>
        </m:sSub>
        <m:r>
          <w:rPr>
            <w:rFonts w:ascii="Cambria Math" w:hAnsi="Cambria Math"/>
          </w:rPr>
          <m:t xml:space="preserve">, </m:t>
        </m:r>
      </m:oMath>
      <w:r w:rsidRPr="00AC13E7">
        <w:t xml:space="preserve">SNV </w:t>
      </w:r>
      <m:oMath>
        <m:r>
          <w:rPr>
            <w:rFonts w:ascii="Cambria Math" w:hAnsi="Cambria Math"/>
          </w:rPr>
          <m:t>i</m:t>
        </m:r>
      </m:oMath>
      <w:r w:rsidRPr="00AC13E7">
        <w:t xml:space="preserve"> and </w:t>
      </w:r>
      <m:oMath>
        <m:r>
          <w:rPr>
            <w:rFonts w:ascii="Cambria Math" w:hAnsi="Cambria Math"/>
          </w:rPr>
          <m:t>j</m:t>
        </m:r>
      </m:oMath>
      <w:r w:rsidRPr="00AC13E7">
        <w:t xml:space="preserve"> were assigned to the same cluster by all methods. </w:t>
      </w:r>
      <w:r w:rsidR="00547EA5" w:rsidRPr="00AC13E7">
        <w:t>There</w:t>
      </w:r>
      <w:r w:rsidRPr="00AC13E7">
        <w:t xml:space="preserve"> will be a limited number of distinct </w:t>
      </w:r>
      <m:oMath>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i</m:t>
            </m:r>
          </m:sub>
        </m:sSub>
        <m:r>
          <m:rPr>
            <m:sty m:val="bi"/>
          </m:rPr>
          <w:rPr>
            <w:rFonts w:ascii="Cambria Math" w:hAnsi="Cambria Math"/>
          </w:rPr>
          <m:t>'</m:t>
        </m:r>
      </m:oMath>
      <w:r w:rsidRPr="00AC13E7">
        <w:t xml:space="preserve">s, let us denote these unique assignment vectors as </w:t>
      </w:r>
      <m:oMath>
        <m:sSub>
          <m:sSubPr>
            <m:ctrlPr>
              <w:rPr>
                <w:rFonts w:ascii="Cambria Math" w:hAnsi="Cambria Math"/>
                <w:i/>
              </w:rPr>
            </m:ctrlPr>
          </m:sSubPr>
          <m:e>
            <m:r>
              <m:rPr>
                <m:sty m:val="bi"/>
              </m:rPr>
              <w:rPr>
                <w:rFonts w:ascii="Cambria Math" w:hAnsi="Cambria Math"/>
              </w:rPr>
              <m:t>U</m:t>
            </m:r>
          </m:e>
          <m:sub>
            <m:r>
              <w:rPr>
                <w:rFonts w:ascii="Cambria Math" w:hAnsi="Cambria Math"/>
              </w:rPr>
              <m:t>l</m:t>
            </m:r>
          </m:sub>
        </m:sSub>
        <m:r>
          <w:rPr>
            <w:rFonts w:ascii="Cambria Math" w:hAnsi="Cambria Math"/>
          </w:rPr>
          <m:t>,l∈{1,…,L}</m:t>
        </m:r>
      </m:oMath>
      <w:r w:rsidRPr="00AC13E7">
        <w:t xml:space="preserve">, and denote </w:t>
      </w:r>
      <m:oMath>
        <m:sSub>
          <m:sSubPr>
            <m:ctrlPr>
              <w:rPr>
                <w:rFonts w:ascii="Cambria Math" w:hAnsi="Cambria Math"/>
                <w:i/>
              </w:rPr>
            </m:ctrlPr>
          </m:sSubPr>
          <m:e>
            <m:r>
              <w:rPr>
                <w:rFonts w:ascii="Cambria Math" w:hAnsi="Cambria Math"/>
              </w:rPr>
              <m:t>N</m:t>
            </m:r>
          </m:e>
          <m:sub>
            <m:r>
              <w:rPr>
                <w:rFonts w:ascii="Cambria Math" w:hAnsi="Cambria Math"/>
              </w:rPr>
              <m:t>l</m:t>
            </m:r>
          </m:sub>
        </m:sSub>
        <m:r>
          <w:rPr>
            <w:rFonts w:ascii="Cambria Math" w:hAnsi="Cambria Math"/>
          </w:rPr>
          <m:t>, l∈{1,…,L}</m:t>
        </m:r>
      </m:oMath>
      <w:r w:rsidRPr="00AC13E7">
        <w:t xml:space="preserve"> as the numbers of SNVs having the unique assignment vectors, respectively. </w:t>
      </w:r>
    </w:p>
    <w:p w14:paraId="75918E04" w14:textId="77777777" w:rsidR="00E37911" w:rsidRPr="00AC13E7" w:rsidRDefault="005E5252" w:rsidP="00E37911">
      <w:pPr>
        <w:jc w:val="both"/>
      </w:pPr>
      <w:r w:rsidRPr="00AC13E7">
        <w:t xml:space="preserve">     </w:t>
      </w:r>
    </w:p>
    <w:p w14:paraId="42A4E03B" w14:textId="6C0234AC" w:rsidR="005E5252" w:rsidRPr="00AC13E7" w:rsidRDefault="005E5252" w:rsidP="00E37911">
      <w:pPr>
        <w:jc w:val="both"/>
      </w:pPr>
      <w:r w:rsidRPr="00AC13E7">
        <w:t xml:space="preserve">For each pair of </w:t>
      </w:r>
      <m:oMath>
        <m:sSub>
          <m:sSubPr>
            <m:ctrlPr>
              <w:rPr>
                <w:rFonts w:ascii="Cambria Math" w:hAnsi="Cambria Math"/>
                <w:i/>
              </w:rPr>
            </m:ctrlPr>
          </m:sSubPr>
          <m:e>
            <m:r>
              <m:rPr>
                <m:sty m:val="bi"/>
              </m:rPr>
              <w:rPr>
                <w:rFonts w:ascii="Cambria Math" w:hAnsi="Cambria Math"/>
              </w:rPr>
              <m:t>U</m:t>
            </m:r>
          </m:e>
          <m:sub>
            <m:r>
              <w:rPr>
                <w:rFonts w:ascii="Cambria Math" w:hAnsi="Cambria Math"/>
              </w:rPr>
              <m:t>i</m:t>
            </m:r>
          </m:sub>
        </m:sSub>
      </m:oMath>
      <w:r w:rsidRPr="00AC13E7">
        <w:t xml:space="preserve"> and </w:t>
      </w:r>
      <m:oMath>
        <m:sSub>
          <m:sSubPr>
            <m:ctrlPr>
              <w:rPr>
                <w:rFonts w:ascii="Cambria Math" w:hAnsi="Cambria Math"/>
                <w:i/>
              </w:rPr>
            </m:ctrlPr>
          </m:sSubPr>
          <m:e>
            <m:r>
              <m:rPr>
                <m:sty m:val="bi"/>
              </m:rPr>
              <w:rPr>
                <w:rFonts w:ascii="Cambria Math" w:hAnsi="Cambria Math"/>
              </w:rPr>
              <m:t>U</m:t>
            </m:r>
            <m:ctrlPr>
              <w:rPr>
                <w:rFonts w:ascii="Cambria Math" w:hAnsi="Cambria Math"/>
                <w:b/>
                <w:i/>
              </w:rPr>
            </m:ctrlPr>
          </m:e>
          <m:sub>
            <m:r>
              <w:rPr>
                <w:rFonts w:ascii="Cambria Math" w:hAnsi="Cambria Math"/>
              </w:rPr>
              <m:t>j</m:t>
            </m:r>
          </m:sub>
        </m:sSub>
        <m:r>
          <w:rPr>
            <w:rFonts w:ascii="Cambria Math" w:hAnsi="Cambria Math"/>
          </w:rPr>
          <m:t>, i≠j∈{1,2,…,L}</m:t>
        </m:r>
      </m:oMath>
      <w:r w:rsidRPr="00AC13E7">
        <w:t xml:space="preserve">, we define a distance between them as: </w:t>
      </w:r>
    </w:p>
    <w:p w14:paraId="4A3B1F5C" w14:textId="77777777" w:rsidR="005E5252" w:rsidRPr="00AC13E7" w:rsidRDefault="005E5252" w:rsidP="00E37911">
      <w:pPr>
        <w:jc w:val="both"/>
      </w:pPr>
      <m:oMathPara>
        <m:oMath>
          <m:r>
            <w:rPr>
              <w:rFonts w:ascii="Cambria Math" w:hAnsi="Cambria Math"/>
            </w:rPr>
            <m:t>d</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U</m:t>
                  </m:r>
                </m:e>
                <m:sub>
                  <m:r>
                    <w:rPr>
                      <w:rFonts w:ascii="Cambria Math" w:hAnsi="Cambria Math"/>
                    </w:rPr>
                    <m:t>i</m:t>
                  </m:r>
                </m:sub>
              </m:sSub>
              <m:r>
                <w:rPr>
                  <w:rFonts w:ascii="Cambria Math" w:hAnsi="Cambria Math"/>
                </w:rPr>
                <m:t>,</m:t>
              </m:r>
              <m:sSub>
                <m:sSubPr>
                  <m:ctrlPr>
                    <w:rPr>
                      <w:rFonts w:ascii="Cambria Math" w:hAnsi="Cambria Math"/>
                      <w:i/>
                    </w:rPr>
                  </m:ctrlPr>
                </m:sSubPr>
                <m:e>
                  <m:r>
                    <m:rPr>
                      <m:sty m:val="bi"/>
                    </m:rPr>
                    <w:rPr>
                      <w:rFonts w:ascii="Cambria Math" w:hAnsi="Cambria Math"/>
                    </w:rPr>
                    <m:t>U</m:t>
                  </m:r>
                </m:e>
                <m:sub>
                  <m:r>
                    <w:rPr>
                      <w:rFonts w:ascii="Cambria Math" w:hAnsi="Cambria Math"/>
                    </w:rPr>
                    <m:t>j</m:t>
                  </m:r>
                </m:sub>
              </m:sSub>
            </m:e>
          </m:d>
          <m:r>
            <w:rPr>
              <w:rFonts w:ascii="Cambria Math" w:hAnsi="Cambria Math"/>
            </w:rPr>
            <m:t xml:space="preserve">= </m:t>
          </m:r>
          <m:nary>
            <m:naryPr>
              <m:chr m:val="∑"/>
              <m:ctrlPr>
                <w:rPr>
                  <w:rFonts w:ascii="Cambria Math" w:hAnsi="Cambria Math"/>
                  <w:i/>
                </w:rPr>
              </m:ctrlPr>
            </m:naryPr>
            <m:sub>
              <m:r>
                <w:rPr>
                  <w:rFonts w:ascii="Cambria Math" w:hAnsi="Cambria Math"/>
                </w:rPr>
                <m:t>h=1</m:t>
              </m:r>
            </m:sub>
            <m:sup>
              <m:r>
                <w:rPr>
                  <w:rFonts w:ascii="Cambria Math" w:hAnsi="Cambria Math"/>
                </w:rPr>
                <m:t>H</m:t>
              </m:r>
            </m:sup>
            <m:e>
              <m:r>
                <w:rPr>
                  <w:rFonts w:ascii="Cambria Math" w:hAnsi="Cambria Math"/>
                </w:rPr>
                <m:t>d</m:t>
              </m:r>
              <m:d>
                <m:dPr>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j</m:t>
                      </m:r>
                    </m:sub>
                    <m:sup>
                      <m:d>
                        <m:dPr>
                          <m:ctrlPr>
                            <w:rPr>
                              <w:rFonts w:ascii="Cambria Math" w:hAnsi="Cambria Math"/>
                              <w:i/>
                            </w:rPr>
                          </m:ctrlPr>
                        </m:dPr>
                        <m:e>
                          <m:r>
                            <w:rPr>
                              <w:rFonts w:ascii="Cambria Math" w:hAnsi="Cambria Math"/>
                            </w:rPr>
                            <m:t>h</m:t>
                          </m:r>
                        </m:e>
                      </m:d>
                    </m:sup>
                  </m:sSubSup>
                </m:e>
              </m:d>
            </m:e>
          </m:nary>
          <m:r>
            <w:rPr>
              <w:rFonts w:ascii="Cambria Math" w:hAnsi="Cambria Math"/>
            </w:rPr>
            <m:t>,</m:t>
          </m:r>
        </m:oMath>
      </m:oMathPara>
    </w:p>
    <w:p w14:paraId="592EE3C9" w14:textId="77777777" w:rsidR="005E5252" w:rsidRPr="00AC13E7" w:rsidRDefault="005E5252" w:rsidP="00E37911">
      <w:pPr>
        <w:jc w:val="both"/>
      </w:pPr>
      <w:r w:rsidRPr="00AC13E7">
        <w:t xml:space="preserve">Where </w:t>
      </w:r>
    </w:p>
    <w:p w14:paraId="76E58E47" w14:textId="77777777" w:rsidR="005E5252" w:rsidRPr="00AC13E7" w:rsidRDefault="005E5252" w:rsidP="00E37911">
      <w:pPr>
        <w:jc w:val="both"/>
      </w:pPr>
      <m:oMathPara>
        <m:oMath>
          <m:r>
            <w:rPr>
              <w:rFonts w:ascii="Cambria Math"/>
            </w:rPr>
            <m:t>d</m:t>
          </m:r>
          <m:d>
            <m:dPr>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j</m:t>
                  </m:r>
                </m:sub>
                <m:sup>
                  <m:d>
                    <m:dPr>
                      <m:ctrlPr>
                        <w:rPr>
                          <w:rFonts w:ascii="Cambria Math" w:hAnsi="Cambria Math"/>
                          <w:i/>
                        </w:rPr>
                      </m:ctrlPr>
                    </m:dPr>
                    <m:e>
                      <m:r>
                        <w:rPr>
                          <w:rFonts w:ascii="Cambria Math" w:hAnsi="Cambria Math"/>
                        </w:rPr>
                        <m:t>h</m:t>
                      </m:r>
                    </m:e>
                  </m:d>
                </m:sup>
              </m:sSubSup>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0,  &amp;</m:t>
                  </m:r>
                  <m:sSubSup>
                    <m:sSubSupPr>
                      <m:ctrlPr>
                        <w:rPr>
                          <w:rFonts w:ascii="Cambria Math" w:hAnsi="Cambria Math"/>
                          <w:i/>
                        </w:rPr>
                      </m:ctrlPr>
                    </m:sSubSupPr>
                    <m:e>
                      <m:r>
                        <w:rPr>
                          <w:rFonts w:ascii="Cambria Math" w:hAnsi="Cambria Math"/>
                        </w:rPr>
                        <m:t>a</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j</m:t>
                      </m:r>
                    </m:sub>
                    <m:sup>
                      <m:d>
                        <m:dPr>
                          <m:ctrlPr>
                            <w:rPr>
                              <w:rFonts w:ascii="Cambria Math" w:hAnsi="Cambria Math"/>
                              <w:i/>
                            </w:rPr>
                          </m:ctrlPr>
                        </m:dPr>
                        <m:e>
                          <m:r>
                            <w:rPr>
                              <w:rFonts w:ascii="Cambria Math" w:hAnsi="Cambria Math"/>
                            </w:rPr>
                            <m:t>h</m:t>
                          </m:r>
                        </m:e>
                      </m:d>
                    </m:sup>
                  </m:sSubSup>
                  <m:r>
                    <w:rPr>
                      <w:rFonts w:ascii="Cambria Math" w:hAnsi="Cambria Math"/>
                    </w:rPr>
                    <m:t xml:space="preserve"> and </m:t>
                  </m:r>
                  <m:sSubSup>
                    <m:sSubSupPr>
                      <m:ctrlPr>
                        <w:rPr>
                          <w:rFonts w:ascii="Cambria Math" w:hAnsi="Cambria Math"/>
                          <w:i/>
                        </w:rPr>
                      </m:ctrlPr>
                    </m:sSubSupPr>
                    <m:e>
                      <m:r>
                        <w:rPr>
                          <w:rFonts w:ascii="Cambria Math" w:hAnsi="Cambria Math"/>
                        </w:rPr>
                        <m:t>a</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≠-1,</m:t>
                  </m:r>
                  <m:sSubSup>
                    <m:sSubSupPr>
                      <m:ctrlPr>
                        <w:rPr>
                          <w:rFonts w:ascii="Cambria Math" w:hAnsi="Cambria Math"/>
                          <w:i/>
                        </w:rPr>
                      </m:ctrlPr>
                    </m:sSubSupPr>
                    <m:e>
                      <m:r>
                        <w:rPr>
                          <w:rFonts w:ascii="Cambria Math" w:hAnsi="Cambria Math"/>
                        </w:rPr>
                        <m:t>a</m:t>
                      </m:r>
                    </m:e>
                    <m:sub>
                      <m:r>
                        <w:rPr>
                          <w:rFonts w:ascii="Cambria Math" w:hAnsi="Cambria Math"/>
                        </w:rPr>
                        <m:t>j</m:t>
                      </m:r>
                    </m:sub>
                    <m:sup>
                      <m:d>
                        <m:dPr>
                          <m:ctrlPr>
                            <w:rPr>
                              <w:rFonts w:ascii="Cambria Math" w:hAnsi="Cambria Math"/>
                              <w:i/>
                            </w:rPr>
                          </m:ctrlPr>
                        </m:dPr>
                        <m:e>
                          <m:r>
                            <w:rPr>
                              <w:rFonts w:ascii="Cambria Math" w:hAnsi="Cambria Math"/>
                            </w:rPr>
                            <m:t>h</m:t>
                          </m:r>
                        </m:e>
                      </m:d>
                    </m:sup>
                  </m:sSubSup>
                  <m:r>
                    <w:rPr>
                      <w:rFonts w:ascii="Cambria Math" w:hAnsi="Cambria Math"/>
                    </w:rPr>
                    <m:t>≠-1</m:t>
                  </m:r>
                </m:e>
                <m:e>
                  <m:r>
                    <w:rPr>
                      <w:rFonts w:ascii="Cambria Math" w:hAnsi="Cambria Math"/>
                    </w:rPr>
                    <m:t>1,  &amp;</m:t>
                  </m:r>
                  <m:sSubSup>
                    <m:sSubSupPr>
                      <m:ctrlPr>
                        <w:rPr>
                          <w:rFonts w:ascii="Cambria Math" w:hAnsi="Cambria Math"/>
                          <w:i/>
                        </w:rPr>
                      </m:ctrlPr>
                    </m:sSubSupPr>
                    <m:e>
                      <m:r>
                        <w:rPr>
                          <w:rFonts w:ascii="Cambria Math" w:hAnsi="Cambria Math"/>
                        </w:rPr>
                        <m:t>a</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j</m:t>
                      </m:r>
                    </m:sub>
                    <m:sup>
                      <m:d>
                        <m:dPr>
                          <m:ctrlPr>
                            <w:rPr>
                              <w:rFonts w:ascii="Cambria Math" w:hAnsi="Cambria Math"/>
                              <w:i/>
                            </w:rPr>
                          </m:ctrlPr>
                        </m:dPr>
                        <m:e>
                          <m:r>
                            <w:rPr>
                              <w:rFonts w:ascii="Cambria Math" w:hAnsi="Cambria Math"/>
                            </w:rPr>
                            <m:t>h</m:t>
                          </m:r>
                        </m:e>
                      </m:d>
                    </m:sup>
                  </m:sSubSup>
                  <m:r>
                    <w:rPr>
                      <w:rFonts w:ascii="Cambria Math" w:hAnsi="Cambria Math"/>
                    </w:rPr>
                    <m:t xml:space="preserve"> or </m:t>
                  </m:r>
                  <m:sSubSup>
                    <m:sSubSupPr>
                      <m:ctrlPr>
                        <w:rPr>
                          <w:rFonts w:ascii="Cambria Math" w:hAnsi="Cambria Math"/>
                          <w:i/>
                        </w:rPr>
                      </m:ctrlPr>
                    </m:sSubSupPr>
                    <m:e>
                      <m:r>
                        <w:rPr>
                          <w:rFonts w:ascii="Cambria Math" w:hAnsi="Cambria Math"/>
                        </w:rPr>
                        <m:t>a</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j</m:t>
                      </m:r>
                    </m:sub>
                    <m:sup>
                      <m:d>
                        <m:dPr>
                          <m:ctrlPr>
                            <w:rPr>
                              <w:rFonts w:ascii="Cambria Math" w:hAnsi="Cambria Math"/>
                              <w:i/>
                            </w:rPr>
                          </m:ctrlPr>
                        </m:dPr>
                        <m:e>
                          <m:r>
                            <w:rPr>
                              <w:rFonts w:ascii="Cambria Math" w:hAnsi="Cambria Math"/>
                            </w:rPr>
                            <m:t>h</m:t>
                          </m:r>
                        </m:e>
                      </m:d>
                    </m:sup>
                  </m:sSubSup>
                  <m:r>
                    <w:rPr>
                      <w:rFonts w:ascii="Cambria Math" w:hAnsi="Cambria Math"/>
                    </w:rPr>
                    <m:t>=-1</m:t>
                  </m:r>
                </m:e>
              </m:eqArr>
            </m:e>
          </m:d>
        </m:oMath>
      </m:oMathPara>
    </w:p>
    <w:p w14:paraId="2BABA931" w14:textId="77777777" w:rsidR="00E37911" w:rsidRPr="00AC13E7" w:rsidRDefault="00E37911" w:rsidP="00E37911">
      <w:pPr>
        <w:jc w:val="both"/>
      </w:pPr>
    </w:p>
    <w:p w14:paraId="5F902816" w14:textId="77777777" w:rsidR="005E5252" w:rsidRPr="00AC13E7" w:rsidRDefault="005E5252" w:rsidP="00E37911">
      <w:pPr>
        <w:jc w:val="both"/>
      </w:pPr>
      <w:r w:rsidRPr="00AC13E7">
        <w:t xml:space="preserve">An extended distance between </w:t>
      </w:r>
      <m:oMath>
        <m:sSub>
          <m:sSubPr>
            <m:ctrlPr>
              <w:rPr>
                <w:rFonts w:ascii="Cambria Math" w:hAnsi="Cambria Math"/>
                <w:i/>
              </w:rPr>
            </m:ctrlPr>
          </m:sSubPr>
          <m:e>
            <m:r>
              <m:rPr>
                <m:sty m:val="bi"/>
              </m:rPr>
              <w:rPr>
                <w:rFonts w:ascii="Cambria Math" w:hAnsi="Cambria Math"/>
              </w:rPr>
              <m:t>U</m:t>
            </m:r>
          </m:e>
          <m:sub>
            <m:r>
              <w:rPr>
                <w:rFonts w:ascii="Cambria Math" w:hAnsi="Cambria Math"/>
              </w:rPr>
              <m:t>i</m:t>
            </m:r>
          </m:sub>
        </m:sSub>
      </m:oMath>
      <w:r w:rsidRPr="00AC13E7">
        <w:t xml:space="preserve"> and </w:t>
      </w:r>
      <m:oMath>
        <m:sSub>
          <m:sSubPr>
            <m:ctrlPr>
              <w:rPr>
                <w:rFonts w:ascii="Cambria Math" w:hAnsi="Cambria Math"/>
                <w:i/>
              </w:rPr>
            </m:ctrlPr>
          </m:sSubPr>
          <m:e>
            <m:r>
              <m:rPr>
                <m:sty m:val="bi"/>
              </m:rPr>
              <w:rPr>
                <w:rFonts w:ascii="Cambria Math" w:hAnsi="Cambria Math"/>
              </w:rPr>
              <m:t>U</m:t>
            </m:r>
            <m:ctrlPr>
              <w:rPr>
                <w:rFonts w:ascii="Cambria Math" w:hAnsi="Cambria Math"/>
                <w:b/>
                <w:i/>
              </w:rPr>
            </m:ctrlPr>
          </m:e>
          <m:sub>
            <m:r>
              <w:rPr>
                <w:rFonts w:ascii="Cambria Math" w:hAnsi="Cambria Math"/>
              </w:rPr>
              <m:t>j</m:t>
            </m:r>
          </m:sub>
        </m:sSub>
      </m:oMath>
      <w:r w:rsidRPr="00AC13E7">
        <w:t xml:space="preserve"> is defined as</w:t>
      </w:r>
    </w:p>
    <w:p w14:paraId="385EBC38" w14:textId="77777777" w:rsidR="005E5252" w:rsidRPr="00AC13E7" w:rsidRDefault="0036299C" w:rsidP="00E37911">
      <w:pPr>
        <w:jc w:val="both"/>
      </w:pPr>
      <m:oMathPara>
        <m:oMath>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=10</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max</m:t>
                  </m:r>
                </m:e>
                <m:lim>
                  <m:r>
                    <w:rPr>
                      <w:rFonts w:ascii="Cambria Math" w:hAnsi="Cambria Math"/>
                    </w:rPr>
                    <m:t>j∈{1,…L}</m:t>
                  </m:r>
                </m:lim>
              </m:limLow>
              <m:ctrlPr>
                <w:rPr>
                  <w:rFonts w:ascii="Cambria Math" w:hAnsi="Cambria Math"/>
                  <w:i/>
                </w:rPr>
              </m:ctrlPr>
            </m:fName>
            <m:e>
              <m:sSub>
                <m:sSubPr>
                  <m:ctrlPr>
                    <w:rPr>
                      <w:rFonts w:ascii="Cambria Math" w:hAnsi="Cambria Math"/>
                      <w:i/>
                    </w:rPr>
                  </m:ctrlPr>
                </m:sSubPr>
                <m:e>
                  <m:r>
                    <w:rPr>
                      <w:rFonts w:ascii="Cambria Math" w:hAnsi="Cambria Math"/>
                    </w:rPr>
                    <m:t>N</m:t>
                  </m:r>
                </m:e>
                <m:sub>
                  <m:r>
                    <w:rPr>
                      <w:rFonts w:ascii="Cambria Math"/>
                    </w:rPr>
                    <m:t>j</m:t>
                  </m:r>
                </m:sub>
              </m:sSub>
              <m:r>
                <w:rPr>
                  <w:rFonts w:ascii="Cambria Math" w:hAnsi="Cambria Math"/>
                </w:rPr>
                <m:t>d</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U</m:t>
                      </m:r>
                    </m:e>
                    <m:sub>
                      <m:r>
                        <w:rPr>
                          <w:rFonts w:ascii="Cambria Math" w:hAnsi="Cambria Math"/>
                        </w:rPr>
                        <m:t>i</m:t>
                      </m:r>
                    </m:sub>
                  </m:sSub>
                  <m:r>
                    <w:rPr>
                      <w:rFonts w:ascii="Cambria Math" w:hAnsi="Cambria Math"/>
                    </w:rPr>
                    <m:t>,</m:t>
                  </m:r>
                  <m:sSub>
                    <m:sSubPr>
                      <m:ctrlPr>
                        <w:rPr>
                          <w:rFonts w:ascii="Cambria Math" w:hAnsi="Cambria Math"/>
                          <w:i/>
                        </w:rPr>
                      </m:ctrlPr>
                    </m:sSubPr>
                    <m:e>
                      <m:r>
                        <m:rPr>
                          <m:sty m:val="bi"/>
                        </m:rPr>
                        <w:rPr>
                          <w:rFonts w:ascii="Cambria Math" w:hAnsi="Cambria Math"/>
                        </w:rPr>
                        <m:t>U</m:t>
                      </m:r>
                    </m:e>
                    <m:sub>
                      <m:r>
                        <w:rPr>
                          <w:rFonts w:ascii="Cambria Math" w:hAnsi="Cambria Math"/>
                        </w:rPr>
                        <m:t>j</m:t>
                      </m:r>
                    </m:sub>
                  </m:sSub>
                </m:e>
              </m:d>
              <m:r>
                <w:rPr>
                  <w:rFonts w:ascii="Cambria Math" w:hAnsi="Cambria Math"/>
                </w:rPr>
                <m:t>-</m:t>
              </m:r>
              <m:r>
                <m:rPr>
                  <m:sty m:val="p"/>
                </m:rPr>
                <w:rPr>
                  <w:rFonts w:ascii="Cambria Math" w:hAnsi="Cambria Math"/>
                </w:rPr>
                <m:t>max⁡</m:t>
              </m:r>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j</m:t>
                  </m:r>
                </m:sub>
              </m:sSub>
              <m:r>
                <w:rPr>
                  <w:rFonts w:ascii="Cambria Math" w:hAnsi="Cambria Math"/>
                </w:rPr>
                <m:t>)</m:t>
              </m:r>
              <m:ctrlPr>
                <w:rPr>
                  <w:rFonts w:ascii="Cambria Math" w:hAnsi="Cambria Math"/>
                  <w:i/>
                </w:rPr>
              </m:ctrlPr>
            </m:e>
          </m:func>
        </m:oMath>
      </m:oMathPara>
    </w:p>
    <w:p w14:paraId="25677D39" w14:textId="3C2F64AA" w:rsidR="005E5252" w:rsidRPr="00AC13E7" w:rsidRDefault="005E5252" w:rsidP="00E37911">
      <w:pPr>
        <w:jc w:val="both"/>
      </w:pPr>
      <m:oMath>
        <m:r>
          <w:rPr>
            <w:rFonts w:ascii="Cambria Math" w:hAnsi="Cambria Math"/>
          </w:rPr>
          <m:t>D=(</m:t>
        </m:r>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m:t>
        </m:r>
      </m:oMath>
      <w:r w:rsidR="009E4043" w:rsidRPr="00AC13E7">
        <w:t xml:space="preserve"> wa</w:t>
      </w:r>
      <w:r w:rsidRPr="00AC13E7">
        <w:t xml:space="preserve">s used to quantify the assignment distance between </w:t>
      </w:r>
      <m:oMath>
        <m:sSub>
          <m:sSubPr>
            <m:ctrlPr>
              <w:rPr>
                <w:rFonts w:ascii="Cambria Math" w:hAnsi="Cambria Math"/>
                <w:i/>
              </w:rPr>
            </m:ctrlPr>
          </m:sSubPr>
          <m:e>
            <m:r>
              <m:rPr>
                <m:sty m:val="bi"/>
              </m:rPr>
              <w:rPr>
                <w:rFonts w:ascii="Cambria Math" w:hAnsi="Cambria Math"/>
              </w:rPr>
              <m:t>U</m:t>
            </m:r>
          </m:e>
          <m:sub>
            <m:r>
              <w:rPr>
                <w:rFonts w:ascii="Cambria Math" w:hAnsi="Cambria Math"/>
              </w:rPr>
              <m:t>i</m:t>
            </m:r>
          </m:sub>
        </m:sSub>
      </m:oMath>
      <w:r w:rsidRPr="00AC13E7">
        <w:t xml:space="preserve"> and </w:t>
      </w:r>
      <m:oMath>
        <m:sSub>
          <m:sSubPr>
            <m:ctrlPr>
              <w:rPr>
                <w:rFonts w:ascii="Cambria Math" w:hAnsi="Cambria Math"/>
                <w:i/>
              </w:rPr>
            </m:ctrlPr>
          </m:sSubPr>
          <m:e>
            <m:r>
              <m:rPr>
                <m:sty m:val="bi"/>
              </m:rPr>
              <w:rPr>
                <w:rFonts w:ascii="Cambria Math" w:hAnsi="Cambria Math"/>
              </w:rPr>
              <m:t>U</m:t>
            </m:r>
            <m:ctrlPr>
              <w:rPr>
                <w:rFonts w:ascii="Cambria Math" w:hAnsi="Cambria Math"/>
                <w:b/>
                <w:i/>
              </w:rPr>
            </m:ctrlPr>
          </m:e>
          <m:sub>
            <m:r>
              <w:rPr>
                <w:rFonts w:ascii="Cambria Math" w:hAnsi="Cambria Math"/>
              </w:rPr>
              <m:t>j</m:t>
            </m:r>
          </m:sub>
        </m:sSub>
      </m:oMath>
      <w:r w:rsidRPr="00AC13E7">
        <w:t xml:space="preserve">, and a hierarchical clustering with Ward’s criterion was performed on </w:t>
      </w:r>
      <m:oMath>
        <m:r>
          <w:rPr>
            <w:rFonts w:ascii="Cambria Math" w:hAnsi="Cambria Math"/>
          </w:rPr>
          <m:t>D</m:t>
        </m:r>
      </m:oMath>
      <w:r w:rsidRPr="00AC13E7">
        <w:t xml:space="preserve"> to obtain the dendrogram.</w:t>
      </w:r>
    </w:p>
    <w:p w14:paraId="73867645" w14:textId="77777777" w:rsidR="00E37911" w:rsidRPr="00AC13E7" w:rsidRDefault="005E5252" w:rsidP="00E37911">
      <w:pPr>
        <w:jc w:val="both"/>
        <w:rPr>
          <w:b/>
        </w:rPr>
      </w:pPr>
      <w:r w:rsidRPr="00AC13E7">
        <w:rPr>
          <w:b/>
        </w:rPr>
        <w:t xml:space="preserve">    </w:t>
      </w:r>
    </w:p>
    <w:p w14:paraId="0E3BB51F" w14:textId="5EED29FE" w:rsidR="005E5252" w:rsidRPr="00AC13E7" w:rsidRDefault="005E5252" w:rsidP="00D86E26">
      <w:pPr>
        <w:jc w:val="both"/>
      </w:pPr>
      <w:r w:rsidRPr="00AC13E7">
        <w:t xml:space="preserve">If </w:t>
      </w:r>
      <m:oMath>
        <m:sSub>
          <m:sSubPr>
            <m:ctrlPr>
              <w:rPr>
                <w:rFonts w:ascii="Cambria Math" w:hAnsi="Cambria Math"/>
                <w:i/>
              </w:rPr>
            </m:ctrlPr>
          </m:sSubPr>
          <m:e>
            <m:r>
              <w:rPr>
                <w:rFonts w:ascii="Cambria Math" w:hAnsi="Cambria Math"/>
              </w:rPr>
              <m:t>K</m:t>
            </m:r>
          </m:e>
          <m:sub>
            <m:r>
              <w:rPr>
                <w:rFonts w:ascii="Cambria Math" w:hAnsi="Cambria Math"/>
              </w:rPr>
              <m:t xml:space="preserve">max </m:t>
            </m:r>
          </m:sub>
        </m:sSub>
        <m:r>
          <w:rPr>
            <w:rFonts w:ascii="Cambria Math" w:hAnsi="Cambria Math"/>
          </w:rPr>
          <m:t>≔median(</m:t>
        </m:r>
        <m:sSub>
          <m:sSubPr>
            <m:ctrlPr>
              <w:rPr>
                <w:rFonts w:ascii="Cambria Math" w:hAnsi="Cambria Math"/>
                <w:i/>
              </w:rPr>
            </m:ctrlPr>
          </m:sSubPr>
          <m:e>
            <m:r>
              <w:rPr>
                <w:rFonts w:ascii="Cambria Math" w:hAnsi="Cambria Math"/>
              </w:rPr>
              <m:t>K</m:t>
            </m:r>
          </m:e>
          <m:sub>
            <m:r>
              <w:rPr>
                <w:rFonts w:ascii="Cambria Math" w:hAnsi="Cambria Math"/>
              </w:rPr>
              <m:t>i</m:t>
            </m:r>
          </m:sub>
        </m:sSub>
        <m:r>
          <w:rPr>
            <w:rFonts w:ascii="Cambria Math" w:hAnsi="Cambria Math"/>
          </w:rPr>
          <m:t>)&lt;3</m:t>
        </m:r>
      </m:oMath>
      <w:r w:rsidRPr="00AC13E7">
        <w:t xml:space="preserve">, where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rsidRPr="00AC13E7">
        <w:rPr>
          <w:i/>
        </w:rPr>
        <w:t xml:space="preserve"> </w:t>
      </w:r>
      <w:r w:rsidRPr="00AC13E7">
        <w:t>is the number of clusters for method</w:t>
      </w:r>
      <w:r w:rsidRPr="00AC13E7">
        <w:rPr>
          <w:i/>
        </w:rPr>
        <w:t xml:space="preserve"> </w:t>
      </w:r>
      <m:oMath>
        <m:r>
          <w:rPr>
            <w:rFonts w:ascii="Cambria Math" w:hAnsi="Cambria Math"/>
          </w:rPr>
          <m:t>h,</m:t>
        </m:r>
      </m:oMath>
      <w:r w:rsidRPr="00AC13E7">
        <w:rPr>
          <w:i/>
        </w:rPr>
        <w:t xml:space="preserve"> </w:t>
      </w:r>
      <w:r w:rsidR="009E4043" w:rsidRPr="00AC13E7">
        <w:t>we s</w:t>
      </w:r>
      <w:r w:rsidRPr="00AC13E7">
        <w:t xml:space="preserve">et </w:t>
      </w:r>
      <m:oMath>
        <m:sSub>
          <m:sSubPr>
            <m:ctrlPr>
              <w:rPr>
                <w:rFonts w:ascii="Cambria Math" w:hAnsi="Cambria Math"/>
                <w:i/>
              </w:rPr>
            </m:ctrlPr>
          </m:sSubPr>
          <m:e>
            <m:r>
              <w:rPr>
                <w:rFonts w:ascii="Cambria Math" w:hAnsi="Cambria Math"/>
              </w:rPr>
              <m:t>K</m:t>
            </m:r>
          </m:e>
          <m:sub>
            <m:r>
              <w:rPr>
                <w:rFonts w:ascii="Cambria Math" w:hAnsi="Cambria Math"/>
              </w:rPr>
              <m:t>opt</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max</m:t>
            </m:r>
          </m:sub>
        </m:sSub>
      </m:oMath>
      <w:r w:rsidR="009E4043" w:rsidRPr="00AC13E7">
        <w:t xml:space="preserve">, where </w:t>
      </w:r>
      <w:r w:rsidR="009E4043" w:rsidRPr="00AC13E7">
        <w:rPr>
          <w:i/>
        </w:rPr>
        <w:t>K</w:t>
      </w:r>
      <w:r w:rsidR="009E4043" w:rsidRPr="00AC13E7">
        <w:rPr>
          <w:i/>
          <w:vertAlign w:val="subscript"/>
        </w:rPr>
        <w:t>opt</w:t>
      </w:r>
      <w:r w:rsidR="009E4043" w:rsidRPr="00AC13E7">
        <w:t xml:space="preserve"> is the optimal number of output clusters</w:t>
      </w:r>
      <w:r w:rsidRPr="00AC13E7">
        <w:t>. Otherwise, the Proportion of Ambiguous Clusters (PAC)</w:t>
      </w:r>
      <w:r w:rsidR="009E4043" w:rsidRPr="00AC13E7">
        <w:t xml:space="preserve"> </w:t>
      </w:r>
      <w:r w:rsidR="009E4043" w:rsidRPr="00AC13E7">
        <w:fldChar w:fldCharType="begin"/>
      </w:r>
      <w:r w:rsidR="00D86E26">
        <w:instrText xml:space="preserve"> ADDIN EN.CITE &lt;EndNote&gt;&lt;Cite&gt;&lt;Author&gt;Șenbabaoğlu&lt;/Author&gt;&lt;Year&gt;2014&lt;/Year&gt;&lt;RecNum&gt;1&lt;/RecNum&gt;&lt;DisplayText&gt;&lt;style face="superscript"&gt;42&lt;/style&gt;&lt;/DisplayText&gt;&lt;record&gt;&lt;rec-number&gt;1&lt;/rec-number&gt;&lt;foreign-keys&gt;&lt;key app="EN" db-id="exerdt2tz2sasdefvzh55ws59waexf0vss5a" timestamp="1508789446"&gt;1&lt;/key&gt;&lt;/foreign-keys&gt;&lt;ref-type name="Journal Article"&gt;17&lt;/ref-type&gt;&lt;contributors&gt;&lt;authors&gt;&lt;author&gt;Șenbabaoğlu, Yasin&lt;/author&gt;&lt;author&gt;Michailidis, George&lt;/author&gt;&lt;author&gt;Li, Jun Z.&lt;/author&gt;&lt;/authors&gt;&lt;/contributors&gt;&lt;titles&gt;&lt;title&gt;Critical limitations of consensus clustering in class discovery&lt;/title&gt;&lt;/titles&gt;&lt;pages&gt;6207&lt;/pages&gt;&lt;volume&gt;4&lt;/volume&gt;&lt;dates&gt;&lt;year&gt;2014&lt;/year&gt;&lt;pub-dates&gt;&lt;date&gt;08/27/online&lt;/date&gt;&lt;/pub-dates&gt;&lt;/dates&gt;&lt;publisher&gt;The Author(s)&lt;/publisher&gt;&lt;work-type&gt;Article&lt;/work-type&gt;&lt;urls&gt;&lt;related-urls&gt;&lt;url&gt;http://dx.doi.org/10.1038/srep06207&lt;/url&gt;&lt;/related-urls&gt;&lt;/urls&gt;&lt;electronic-resource-num&gt;10.1038/srep06207&amp;#xD;https://www.nature.com/articles/srep06207#supplementary-information&lt;/electronic-resource-num&gt;&lt;/record&gt;&lt;/Cite&gt;&lt;/EndNote&gt;</w:instrText>
      </w:r>
      <w:r w:rsidR="009E4043" w:rsidRPr="00AC13E7">
        <w:fldChar w:fldCharType="separate"/>
      </w:r>
      <w:r w:rsidR="00D86E26" w:rsidRPr="00D86E26">
        <w:rPr>
          <w:noProof/>
          <w:vertAlign w:val="superscript"/>
        </w:rPr>
        <w:t>42</w:t>
      </w:r>
      <w:r w:rsidR="009E4043" w:rsidRPr="00AC13E7">
        <w:fldChar w:fldCharType="end"/>
      </w:r>
      <w:r w:rsidR="009E4043" w:rsidRPr="00AC13E7">
        <w:t xml:space="preserve"> wa</w:t>
      </w:r>
      <w:r w:rsidRPr="00AC13E7">
        <w:t xml:space="preserve">s used to obtain </w:t>
      </w:r>
      <m:oMath>
        <m:sSub>
          <m:sSubPr>
            <m:ctrlPr>
              <w:rPr>
                <w:rFonts w:ascii="Cambria Math" w:hAnsi="Cambria Math"/>
                <w:i/>
              </w:rPr>
            </m:ctrlPr>
          </m:sSubPr>
          <m:e>
            <m:r>
              <w:rPr>
                <w:rFonts w:ascii="Cambria Math" w:hAnsi="Cambria Math"/>
              </w:rPr>
              <m:t>K</m:t>
            </m:r>
          </m:e>
          <m:sub>
            <m:r>
              <w:rPr>
                <w:rFonts w:ascii="Cambria Math" w:hAnsi="Cambria Math"/>
              </w:rPr>
              <m:t>opt</m:t>
            </m:r>
          </m:sub>
        </m:sSub>
      </m:oMath>
      <w:r w:rsidRPr="00AC13E7">
        <w:t xml:space="preserve">. First, </w:t>
      </w:r>
      <m:oMath>
        <m:r>
          <w:rPr>
            <w:rFonts w:ascii="Cambria Math" w:hAnsi="Cambria Math"/>
          </w:rPr>
          <m:t>H</m:t>
        </m:r>
      </m:oMath>
      <w:r w:rsidRPr="00AC13E7">
        <w:t xml:space="preserve"> methods were sampled with replacement from the original methods. For each </w:t>
      </w:r>
      <m:oMath>
        <m:r>
          <w:rPr>
            <w:rFonts w:ascii="Cambria Math" w:hAnsi="Cambria Math"/>
          </w:rPr>
          <m:t>k∈</m:t>
        </m:r>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K</m:t>
                </m:r>
              </m:e>
              <m:sub>
                <m:r>
                  <w:rPr>
                    <w:rFonts w:ascii="Cambria Math" w:hAnsi="Cambria Math"/>
                  </w:rPr>
                  <m:t>max</m:t>
                </m:r>
              </m:sub>
            </m:sSub>
          </m:e>
        </m:d>
        <m:r>
          <w:rPr>
            <w:rFonts w:ascii="Cambria Math" w:hAnsi="Cambria Math"/>
          </w:rPr>
          <m:t xml:space="preserve"> </m:t>
        </m:r>
      </m:oMath>
      <w:r w:rsidR="009E4043" w:rsidRPr="00AC13E7">
        <w:t xml:space="preserve">we </w:t>
      </w:r>
      <w:r w:rsidRPr="00AC13E7">
        <w:t>repeat</w:t>
      </w:r>
      <w:r w:rsidR="009E4043" w:rsidRPr="00AC13E7">
        <w:t>ed</w:t>
      </w:r>
      <w:r w:rsidRPr="00AC13E7">
        <w:t xml:space="preserve"> the procedure 100 times to derive a consensus co-clustering matrix </w:t>
      </w:r>
      <m:oMath>
        <m:sSub>
          <m:sSubPr>
            <m:ctrlPr>
              <w:rPr>
                <w:rFonts w:ascii="Cambria Math" w:hAnsi="Cambria Math"/>
                <w:i/>
              </w:rPr>
            </m:ctrlPr>
          </m:sSubPr>
          <m:e>
            <m:r>
              <w:rPr>
                <w:rFonts w:ascii="Cambria Math" w:hAnsi="Cambria Math"/>
              </w:rPr>
              <m:t>M</m:t>
            </m:r>
          </m:e>
          <m:sub>
            <m:r>
              <w:rPr>
                <w:rFonts w:ascii="Cambria Math" w:hAnsi="Cambria Math"/>
              </w:rPr>
              <m:t>k</m:t>
            </m:r>
          </m:sub>
        </m:sSub>
      </m:oMath>
      <w:r w:rsidRPr="00AC13E7">
        <w:t xml:space="preserve"> and set </w:t>
      </w:r>
      <m:oMath>
        <m:sSub>
          <m:sSubPr>
            <m:ctrlPr>
              <w:rPr>
                <w:rFonts w:ascii="Cambria Math" w:hAnsi="Cambria Math"/>
                <w:i/>
              </w:rPr>
            </m:ctrlPr>
          </m:sSubPr>
          <m:e>
            <m:r>
              <w:rPr>
                <w:rFonts w:ascii="Cambria Math" w:hAnsi="Cambria Math"/>
              </w:rPr>
              <m:t>K</m:t>
            </m:r>
          </m:e>
          <m:sub>
            <m:r>
              <w:rPr>
                <w:rFonts w:ascii="Cambria Math" w:hAnsi="Cambria Math"/>
              </w:rPr>
              <m:t>opt</m:t>
            </m:r>
          </m:sub>
        </m:sSub>
        <m:r>
          <w:rPr>
            <w:rFonts w:ascii="Cambria Math" w:hAnsi="Cambria Math"/>
          </w:rPr>
          <m:t>=</m:t>
        </m:r>
        <m:sSub>
          <m:sSubPr>
            <m:ctrlPr>
              <w:rPr>
                <w:rFonts w:ascii="Cambria Math" w:hAnsi="Cambria Math"/>
              </w:rPr>
            </m:ctrlPr>
          </m:sSubPr>
          <m:e>
            <m:r>
              <m:rPr>
                <m:sty m:val="p"/>
              </m:rPr>
              <w:rPr>
                <w:rFonts w:ascii="Cambria Math" w:hAnsi="Cambria Math"/>
              </w:rPr>
              <m:t>argmin</m:t>
            </m:r>
          </m:e>
          <m:sub>
            <m:r>
              <w:rPr>
                <w:rFonts w:ascii="Cambria Math" w:hAnsi="Cambria Math"/>
              </w:rPr>
              <m:t>k</m:t>
            </m:r>
          </m:sub>
        </m:sSub>
        <m:r>
          <w:rPr>
            <w:rFonts w:ascii="Cambria Math" w:hAnsi="Cambria Math"/>
          </w:rPr>
          <m:t xml:space="preserve"> PAC</m:t>
        </m:r>
        <m:d>
          <m:dPr>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k</m:t>
                </m:r>
              </m:sub>
            </m:sSub>
          </m:e>
        </m:d>
      </m:oMath>
      <w:r w:rsidRPr="00AC13E7">
        <w:t>.</w:t>
      </w:r>
    </w:p>
    <w:p w14:paraId="69413705" w14:textId="77777777" w:rsidR="00E37911" w:rsidRPr="00AC13E7" w:rsidRDefault="005E5252" w:rsidP="00E37911">
      <w:pPr>
        <w:jc w:val="both"/>
        <w:rPr>
          <w:b/>
        </w:rPr>
      </w:pPr>
      <w:r w:rsidRPr="00AC13E7">
        <w:rPr>
          <w:b/>
        </w:rPr>
        <w:t xml:space="preserve">    </w:t>
      </w:r>
    </w:p>
    <w:p w14:paraId="23A02FB2" w14:textId="05E8B4F4" w:rsidR="005E5252" w:rsidRPr="00AC13E7" w:rsidRDefault="005E5252" w:rsidP="00E37911">
      <w:pPr>
        <w:jc w:val="both"/>
      </w:pPr>
      <w:r w:rsidRPr="00AC13E7">
        <w:t xml:space="preserve">We then cut the original dendrogram to obtain </w:t>
      </w:r>
      <m:oMath>
        <m:sSub>
          <m:sSubPr>
            <m:ctrlPr>
              <w:rPr>
                <w:rFonts w:ascii="Cambria Math" w:hAnsi="Cambria Math"/>
                <w:i/>
              </w:rPr>
            </m:ctrlPr>
          </m:sSubPr>
          <m:e>
            <m:r>
              <w:rPr>
                <w:rFonts w:ascii="Cambria Math" w:hAnsi="Cambria Math"/>
              </w:rPr>
              <m:t>K</m:t>
            </m:r>
          </m:e>
          <m:sub>
            <m:r>
              <w:rPr>
                <w:rFonts w:ascii="Cambria Math" w:hAnsi="Cambria Math"/>
              </w:rPr>
              <m:t>opt</m:t>
            </m:r>
          </m:sub>
        </m:sSub>
      </m:oMath>
      <w:r w:rsidRPr="00AC13E7">
        <w:t xml:space="preserve"> clusters of </w:t>
      </w:r>
      <m:oMath>
        <m:sSub>
          <m:sSubPr>
            <m:ctrlPr>
              <w:rPr>
                <w:rFonts w:ascii="Cambria Math" w:hAnsi="Cambria Math"/>
                <w:i/>
              </w:rPr>
            </m:ctrlPr>
          </m:sSubPr>
          <m:e>
            <m:r>
              <m:rPr>
                <m:sty m:val="bi"/>
              </m:rPr>
              <w:rPr>
                <w:rFonts w:ascii="Cambria Math" w:hAnsi="Cambria Math"/>
              </w:rPr>
              <m:t>U</m:t>
            </m:r>
          </m:e>
          <m:sub>
            <m:r>
              <w:rPr>
                <w:rFonts w:ascii="Cambria Math" w:hAnsi="Cambria Math"/>
              </w:rPr>
              <m:t>i</m:t>
            </m:r>
          </m:sub>
        </m:sSub>
        <m:r>
          <w:rPr>
            <w:rFonts w:ascii="Cambria Math" w:hAnsi="Cambria Math"/>
          </w:rPr>
          <m:t>'</m:t>
        </m:r>
      </m:oMath>
      <w:r w:rsidRPr="00AC13E7">
        <w:t xml:space="preserve">s. SNVs were assigned to the same cluster if their corresponding assignment vector </w:t>
      </w:r>
      <m:oMath>
        <m:r>
          <m:rPr>
            <m:sty m:val="bi"/>
          </m:rPr>
          <w:rPr>
            <w:rFonts w:ascii="Cambria Math" w:hAnsi="Cambria Math"/>
          </w:rPr>
          <m:t>U'</m:t>
        </m:r>
      </m:oMath>
      <w:r w:rsidRPr="00AC13E7">
        <w:t>s were clustered together.</w:t>
      </w:r>
    </w:p>
    <w:p w14:paraId="4B72AAF7" w14:textId="77777777" w:rsidR="00E37911" w:rsidRPr="00AC13E7" w:rsidRDefault="005E5252" w:rsidP="00E37911">
      <w:pPr>
        <w:jc w:val="both"/>
        <w:rPr>
          <w:b/>
        </w:rPr>
      </w:pPr>
      <w:r w:rsidRPr="00AC13E7">
        <w:rPr>
          <w:b/>
        </w:rPr>
        <w:t xml:space="preserve">    </w:t>
      </w:r>
    </w:p>
    <w:p w14:paraId="53527370" w14:textId="091593A9" w:rsidR="005E5252" w:rsidRPr="00AC13E7" w:rsidRDefault="005E5252" w:rsidP="00E37911">
      <w:pPr>
        <w:jc w:val="both"/>
      </w:pPr>
      <w:r w:rsidRPr="00AC13E7">
        <w:t xml:space="preserve">The CCF of each consensus cluster was calculated as the median of the consensus CCFs of the mutations assigned to that cluster. The consensus CCF of a mutation is computed as </w:t>
      </w:r>
    </w:p>
    <w:p w14:paraId="1D237D3C" w14:textId="77777777" w:rsidR="005E5252" w:rsidRPr="00AC13E7" w:rsidRDefault="005E5252" w:rsidP="00E37911">
      <w:pPr>
        <w:jc w:val="both"/>
      </w:pPr>
      <m:oMathPara>
        <m:oMath>
          <m:r>
            <w:rPr>
              <w:rFonts w:ascii="Cambria Math" w:hAnsi="Cambria Math"/>
            </w:rPr>
            <m:t>CC</m:t>
          </m:r>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i</m:t>
                  </m:r>
                </m:sub>
              </m:sSub>
            </m:num>
            <m:den>
              <m:r>
                <w:rPr>
                  <w:rFonts w:ascii="Cambria Math" w:hAnsi="Cambria Math"/>
                </w:rPr>
                <m:t>ρ</m:t>
              </m:r>
              <m:sSub>
                <m:sSubPr>
                  <m:ctrlPr>
                    <w:rPr>
                      <w:rFonts w:ascii="Cambria Math" w:hAnsi="Cambria Math"/>
                      <w:i/>
                    </w:rPr>
                  </m:ctrlPr>
                </m:sSubPr>
                <m:e>
                  <m:r>
                    <w:rPr>
                      <w:rFonts w:ascii="Cambria Math" w:hAnsi="Cambria Math"/>
                    </w:rPr>
                    <m:t>m</m:t>
                  </m:r>
                </m:e>
                <m:sub>
                  <m:r>
                    <w:rPr>
                      <w:rFonts w:ascii="Cambria Math" w:hAnsi="Cambria Math"/>
                    </w:rPr>
                    <m:t>i</m:t>
                  </m:r>
                </m:sub>
              </m:sSub>
            </m:den>
          </m:f>
          <m:d>
            <m:dPr>
              <m:ctrlPr>
                <w:rPr>
                  <w:rFonts w:ascii="Cambria Math" w:hAnsi="Cambria Math"/>
                  <w:i/>
                </w:rPr>
              </m:ctrlPr>
            </m:dPr>
            <m:e>
              <m:r>
                <w:rPr>
                  <w:rFonts w:ascii="Cambria Math" w:hAnsi="Cambria Math"/>
                </w:rPr>
                <m:t>ρ</m:t>
              </m:r>
              <m:sSubSup>
                <m:sSubSupPr>
                  <m:ctrlPr>
                    <w:rPr>
                      <w:rFonts w:ascii="Cambria Math" w:hAnsi="Cambria Math"/>
                      <w:i/>
                    </w:rPr>
                  </m:ctrlPr>
                </m:sSubSupPr>
                <m:e>
                  <m:r>
                    <w:rPr>
                      <w:rFonts w:ascii="Cambria Math" w:hAnsi="Cambria Math"/>
                    </w:rPr>
                    <m:t>C</m:t>
                  </m:r>
                </m:e>
                <m:sub>
                  <m:r>
                    <w:rPr>
                      <w:rFonts w:ascii="Cambria Math" w:hAnsi="Cambria Math"/>
                    </w:rPr>
                    <m:t>i</m:t>
                  </m:r>
                </m:sub>
                <m:sup>
                  <m:d>
                    <m:dPr>
                      <m:ctrlPr>
                        <w:rPr>
                          <w:rFonts w:ascii="Cambria Math" w:hAnsi="Cambria Math"/>
                          <w:i/>
                        </w:rPr>
                      </m:ctrlPr>
                    </m:dPr>
                    <m:e>
                      <m:r>
                        <w:rPr>
                          <w:rFonts w:ascii="Cambria Math" w:hAnsi="Cambria Math"/>
                        </w:rPr>
                        <m:t>T</m:t>
                      </m:r>
                    </m:e>
                  </m:d>
                </m:sup>
              </m:sSubSup>
              <m:r>
                <w:rPr>
                  <w:rFonts w:ascii="Cambria Math" w:hAnsi="Cambria Math"/>
                </w:rPr>
                <m:t>+</m:t>
              </m:r>
              <m:d>
                <m:dPr>
                  <m:ctrlPr>
                    <w:rPr>
                      <w:rFonts w:ascii="Cambria Math" w:hAnsi="Cambria Math"/>
                      <w:i/>
                    </w:rPr>
                  </m:ctrlPr>
                </m:dPr>
                <m:e>
                  <m:r>
                    <w:rPr>
                      <w:rFonts w:ascii="Cambria Math" w:hAnsi="Cambria Math"/>
                    </w:rPr>
                    <m:t>1-ρ</m:t>
                  </m:r>
                </m:e>
              </m:d>
              <m:sSubSup>
                <m:sSubSupPr>
                  <m:ctrlPr>
                    <w:rPr>
                      <w:rFonts w:ascii="Cambria Math" w:hAnsi="Cambria Math"/>
                      <w:i/>
                    </w:rPr>
                  </m:ctrlPr>
                </m:sSubSupPr>
                <m:e>
                  <m:r>
                    <w:rPr>
                      <w:rFonts w:ascii="Cambria Math" w:hAnsi="Cambria Math"/>
                    </w:rPr>
                    <m:t>C</m:t>
                  </m:r>
                </m:e>
                <m:sub>
                  <m:r>
                    <w:rPr>
                      <w:rFonts w:ascii="Cambria Math" w:hAnsi="Cambria Math"/>
                    </w:rPr>
                    <m:t>i</m:t>
                  </m:r>
                </m:sub>
                <m:sup>
                  <m:d>
                    <m:dPr>
                      <m:ctrlPr>
                        <w:rPr>
                          <w:rFonts w:ascii="Cambria Math" w:hAnsi="Cambria Math"/>
                          <w:i/>
                        </w:rPr>
                      </m:ctrlPr>
                    </m:dPr>
                    <m:e>
                      <m:r>
                        <w:rPr>
                          <w:rFonts w:ascii="Cambria Math" w:hAnsi="Cambria Math"/>
                        </w:rPr>
                        <m:t>N</m:t>
                      </m:r>
                    </m:e>
                  </m:d>
                </m:sup>
              </m:sSubSup>
            </m:e>
          </m:d>
        </m:oMath>
      </m:oMathPara>
    </w:p>
    <w:p w14:paraId="75882FB3" w14:textId="77777777" w:rsidR="005E5252" w:rsidRPr="00AC13E7" w:rsidRDefault="005E5252" w:rsidP="00E37911">
      <w:pPr>
        <w:jc w:val="both"/>
      </w:pPr>
      <w:r w:rsidRPr="00AC13E7">
        <w:lastRenderedPageBreak/>
        <w:t xml:space="preserve">where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rsidRPr="00AC13E7">
        <w:t xml:space="preserve"> is the variant allelic fraction for SNV </w:t>
      </w:r>
      <m:oMath>
        <m:r>
          <w:rPr>
            <w:rFonts w:ascii="Cambria Math" w:hAnsi="Cambria Math"/>
          </w:rPr>
          <m:t>i</m:t>
        </m:r>
      </m:oMath>
      <w:r w:rsidRPr="00AC13E7">
        <w:t xml:space="preserve">, </w:t>
      </w:r>
      <m:oMath>
        <m:r>
          <w:rPr>
            <w:rFonts w:ascii="Cambria Math" w:hAnsi="Cambria Math"/>
          </w:rPr>
          <m:t>ρ</m:t>
        </m:r>
      </m:oMath>
      <w:r w:rsidRPr="00AC13E7">
        <w:t xml:space="preserve"> is the consensus purity, </w:t>
      </w:r>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(T)</m:t>
            </m:r>
          </m:sup>
        </m:sSubSup>
      </m:oMath>
      <w:r w:rsidRPr="00AC13E7">
        <w:t xml:space="preserve"> is the consensus number of clonal copies, </w:t>
      </w:r>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(N)</m:t>
            </m:r>
          </m:sup>
        </m:sSubSup>
      </m:oMath>
      <w:r w:rsidRPr="00AC13E7">
        <w:t xml:space="preserve"> is the number of copies in the normal tissues and it is fixed to the diploid state, i.e. </w:t>
      </w:r>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(N)</m:t>
            </m:r>
          </m:sup>
        </m:sSubSup>
        <m:r>
          <w:rPr>
            <w:rFonts w:ascii="Cambria Math" w:hAnsi="Cambria Math"/>
          </w:rPr>
          <m:t>=2</m:t>
        </m:r>
      </m:oMath>
      <w:r w:rsidRPr="00AC13E7">
        <w:t xml:space="preserve"> in our study, and the multiplicity is the floor of median of the multiplicities given by individual methods: </w:t>
      </w:r>
      <m:oMath>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m:t>
        </m:r>
        <m:d>
          <m:dPr>
            <m:begChr m:val="⌊"/>
            <m:endChr m:val="⌋"/>
            <m:ctrlPr>
              <w:rPr>
                <w:rFonts w:ascii="Cambria Math" w:hAnsi="Cambria Math"/>
                <w:i/>
              </w:rPr>
            </m:ctrlPr>
          </m:dPr>
          <m:e>
            <m:r>
              <w:rPr>
                <w:rFonts w:ascii="Cambria Math" w:hAnsi="Cambria Math"/>
              </w:rPr>
              <m:t>median</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m</m:t>
                    </m:r>
                  </m:e>
                  <m:sub>
                    <m:r>
                      <w:rPr>
                        <w:rFonts w:ascii="Cambria Math" w:hAnsi="Cambria Math"/>
                      </w:rPr>
                      <m:t>i</m:t>
                    </m:r>
                  </m:sub>
                  <m:sup>
                    <m:d>
                      <m:dPr>
                        <m:ctrlPr>
                          <w:rPr>
                            <w:rFonts w:ascii="Cambria Math" w:hAnsi="Cambria Math"/>
                            <w:i/>
                          </w:rPr>
                        </m:ctrlPr>
                      </m:dPr>
                      <m:e>
                        <m:r>
                          <w:rPr>
                            <w:rFonts w:ascii="Cambria Math" w:hAnsi="Cambria Math"/>
                          </w:rPr>
                          <m:t>1</m:t>
                        </m:r>
                      </m:e>
                    </m:d>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i</m:t>
                    </m:r>
                  </m:sub>
                  <m:sup>
                    <m:d>
                      <m:dPr>
                        <m:ctrlPr>
                          <w:rPr>
                            <w:rFonts w:ascii="Cambria Math" w:hAnsi="Cambria Math"/>
                            <w:i/>
                          </w:rPr>
                        </m:ctrlPr>
                      </m:dPr>
                      <m:e>
                        <m:r>
                          <w:rPr>
                            <w:rFonts w:ascii="Cambria Math" w:hAnsi="Cambria Math"/>
                          </w:rPr>
                          <m:t>H</m:t>
                        </m:r>
                      </m:e>
                    </m:d>
                  </m:sup>
                </m:sSubSup>
              </m:e>
            </m:d>
          </m:e>
        </m:d>
        <m:r>
          <w:rPr>
            <w:rFonts w:ascii="Cambria Math" w:hAnsi="Cambria Math"/>
          </w:rPr>
          <m:t>.</m:t>
        </m:r>
      </m:oMath>
      <w:r w:rsidRPr="00AC13E7">
        <w:t xml:space="preserve"> The cellular prevalence (CP) of the cluster is </w:t>
      </w:r>
      <m:oMath>
        <m:r>
          <w:rPr>
            <w:rFonts w:ascii="Cambria Math" w:hAnsi="Cambria Math"/>
          </w:rPr>
          <m:t>C</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=ρCC</m:t>
        </m:r>
        <m:sSub>
          <m:sSubPr>
            <m:ctrlPr>
              <w:rPr>
                <w:rFonts w:ascii="Cambria Math" w:hAnsi="Cambria Math"/>
                <w:i/>
              </w:rPr>
            </m:ctrlPr>
          </m:sSubPr>
          <m:e>
            <m:r>
              <w:rPr>
                <w:rFonts w:ascii="Cambria Math" w:hAnsi="Cambria Math"/>
              </w:rPr>
              <m:t>F</m:t>
            </m:r>
          </m:e>
          <m:sub>
            <m:r>
              <w:rPr>
                <w:rFonts w:ascii="Cambria Math" w:hAnsi="Cambria Math"/>
              </w:rPr>
              <m:t>i</m:t>
            </m:r>
          </m:sub>
        </m:sSub>
      </m:oMath>
      <w:r w:rsidRPr="00AC13E7">
        <w:t>.</w:t>
      </w:r>
    </w:p>
    <w:p w14:paraId="04373F10" w14:textId="77777777" w:rsidR="00785282" w:rsidRPr="00AC13E7" w:rsidRDefault="00785282" w:rsidP="00E37911">
      <w:pPr>
        <w:jc w:val="both"/>
      </w:pPr>
    </w:p>
    <w:p w14:paraId="567AEAD4" w14:textId="77777777" w:rsidR="00785282" w:rsidRPr="00AC13E7" w:rsidRDefault="00785282" w:rsidP="00E37911">
      <w:pPr>
        <w:jc w:val="both"/>
      </w:pPr>
    </w:p>
    <w:p w14:paraId="32DE6F83" w14:textId="16EF3A1B" w:rsidR="00273821" w:rsidRPr="00AC13E7" w:rsidRDefault="00273821" w:rsidP="00273821">
      <w:pPr>
        <w:rPr>
          <w:b/>
        </w:rPr>
      </w:pPr>
      <w:r w:rsidRPr="00AC13E7">
        <w:rPr>
          <w:b/>
        </w:rPr>
        <w:t>2.2.1.3 Weme (WM – Weighted Median)</w:t>
      </w:r>
    </w:p>
    <w:p w14:paraId="1A68CB22" w14:textId="77777777" w:rsidR="00273821" w:rsidRPr="00AC13E7" w:rsidRDefault="00273821" w:rsidP="00273821">
      <w:pPr>
        <w:jc w:val="both"/>
      </w:pPr>
    </w:p>
    <w:p w14:paraId="4145A953" w14:textId="77777777" w:rsidR="00273821" w:rsidRPr="00AC13E7" w:rsidRDefault="00273821" w:rsidP="00273821">
      <w:pPr>
        <w:jc w:val="both"/>
      </w:pPr>
      <w:r w:rsidRPr="00AC13E7">
        <w:t xml:space="preserve">The Weighted Median (WeMe) method takes as input (i) a set of different </w:t>
      </w:r>
      <w:r w:rsidRPr="00AC13E7">
        <w:rPr>
          <w:i/>
          <w:iCs/>
        </w:rPr>
        <w:t>clusterings</w:t>
      </w:r>
      <w:r w:rsidRPr="00AC13E7">
        <w:t xml:space="preserve"> of 1-d data and (ii) the proportion of outlier clusterings (</w:t>
      </w:r>
      <m:oMath>
        <m:r>
          <w:rPr>
            <w:rFonts w:ascii="Cambria Math" w:hAnsi="Cambria Math"/>
          </w:rPr>
          <m:t>r%</m:t>
        </m:r>
      </m:oMath>
      <w:r w:rsidRPr="00AC13E7">
        <w:t xml:space="preserve">) and it outputs a consensus clustering of the 1-d data with </w:t>
      </w:r>
      <m:oMath>
        <m:r>
          <w:rPr>
            <w:rFonts w:ascii="Cambria Math" w:hAnsi="Cambria Math"/>
          </w:rPr>
          <m:t>K</m:t>
        </m:r>
      </m:oMath>
      <w:r w:rsidRPr="00AC13E7">
        <w:t xml:space="preserve"> clusters where </w:t>
      </w:r>
      <m:oMath>
        <m:r>
          <w:rPr>
            <w:rFonts w:ascii="Cambria Math" w:hAnsi="Cambria Math"/>
          </w:rPr>
          <m:t>K</m:t>
        </m:r>
      </m:oMath>
      <w:r w:rsidRPr="00AC13E7">
        <w:t xml:space="preserve"> is a typical number of clusters in the set of clusterings. This consensus clustering has the property that, among all clusterings with at most </w:t>
      </w:r>
      <m:oMath>
        <m:r>
          <w:rPr>
            <w:rFonts w:ascii="Cambria Math" w:hAnsi="Cambria Math"/>
          </w:rPr>
          <m:t>K</m:t>
        </m:r>
      </m:oMath>
      <w:r w:rsidRPr="00AC13E7">
        <w:t xml:space="preserve"> clusters, it minimizes the earth mover distance (EMD) to the </w:t>
      </w:r>
      <w:r w:rsidRPr="00AC13E7">
        <w:rPr>
          <w:i/>
          <w:iCs/>
        </w:rPr>
        <w:t>median clustering</w:t>
      </w:r>
      <w:r w:rsidRPr="00AC13E7">
        <w:t xml:space="preserve"> of the </w:t>
      </w:r>
      <m:oMath>
        <m:r>
          <w:rPr>
            <w:rFonts w:ascii="Cambria Math" w:hAnsi="Cambria Math"/>
          </w:rPr>
          <m:t>(100-r)%</m:t>
        </m:r>
      </m:oMath>
      <w:r w:rsidRPr="00AC13E7">
        <w:t xml:space="preserve"> inlier clusterings. The median clustering of a set of clusterings is a clustering that minimizes the sum of the EMDs from it to all members of the set, however, in general, this clustering has many more clusters than </w:t>
      </w:r>
      <m:oMath>
        <m:r>
          <w:rPr>
            <w:rFonts w:ascii="Cambria Math" w:hAnsi="Cambria Math"/>
          </w:rPr>
          <m:t>K</m:t>
        </m:r>
      </m:oMath>
      <w:r w:rsidRPr="00AC13E7">
        <w:t xml:space="preserve">. Below we define the term, </w:t>
      </w:r>
      <w:r w:rsidRPr="00AC13E7">
        <w:rPr>
          <w:i/>
          <w:iCs/>
        </w:rPr>
        <w:t>clustering</w:t>
      </w:r>
      <w:r w:rsidRPr="00AC13E7">
        <w:t xml:space="preserve"> of 1-d data, formally.   </w:t>
      </w:r>
    </w:p>
    <w:p w14:paraId="287DA40E" w14:textId="77777777" w:rsidR="00273821" w:rsidRPr="00AC13E7" w:rsidRDefault="00273821" w:rsidP="00273821">
      <w:pPr>
        <w:jc w:val="both"/>
      </w:pPr>
      <w:r w:rsidRPr="00AC13E7">
        <w:t xml:space="preserve">    </w:t>
      </w:r>
    </w:p>
    <w:p w14:paraId="770B6AD3" w14:textId="77777777" w:rsidR="00273821" w:rsidRPr="00AC13E7" w:rsidRDefault="00273821" w:rsidP="00273821">
      <w:pPr>
        <w:jc w:val="both"/>
      </w:pPr>
      <w:r w:rsidRPr="00AC13E7">
        <w:t xml:space="preserve">A </w:t>
      </w:r>
      <w:r w:rsidRPr="00AC13E7">
        <w:rPr>
          <w:i/>
          <w:iCs/>
        </w:rPr>
        <w:t>clustering</w:t>
      </w:r>
      <w:r w:rsidRPr="00AC13E7">
        <w:t xml:space="preserve"> of 1-d data is a set of ordered pairs </w:t>
      </w:r>
      <m:oMath>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k</m:t>
            </m:r>
          </m:sub>
        </m:sSub>
        <m:r>
          <w:rPr>
            <w:rFonts w:ascii="Cambria Math" w:hAnsi="Cambria Math"/>
          </w:rPr>
          <m:t>}</m:t>
        </m:r>
      </m:oMath>
      <w:r w:rsidRPr="00AC13E7">
        <w:t xml:space="preserve">, </w:t>
      </w:r>
      <m:oMath>
        <m:r>
          <w:rPr>
            <w:rFonts w:ascii="Cambria Math" w:hAnsi="Cambria Math"/>
          </w:rPr>
          <m:t>k=1,…,</m:t>
        </m:r>
        <m:sSub>
          <m:sSubPr>
            <m:ctrlPr>
              <w:rPr>
                <w:rFonts w:ascii="Cambria Math" w:hAnsi="Cambria Math"/>
                <w:i/>
              </w:rPr>
            </m:ctrlPr>
          </m:sSubPr>
          <m:e>
            <m:r>
              <w:rPr>
                <w:rFonts w:ascii="Cambria Math" w:hAnsi="Cambria Math"/>
              </w:rPr>
              <m:t>K</m:t>
            </m:r>
          </m:e>
          <m:sub>
            <m:r>
              <w:rPr>
                <w:rFonts w:ascii="Cambria Math" w:hAnsi="Cambria Math"/>
              </w:rPr>
              <m:t>h</m:t>
            </m:r>
          </m:sub>
        </m:sSub>
      </m:oMath>
      <w:r w:rsidRPr="00AC13E7">
        <w:t xml:space="preserve">, where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rsidRPr="00AC13E7">
        <w:t xml:space="preserve"> is the proportion of data objects assigned to cluster </w:t>
      </w:r>
      <m:oMath>
        <m:r>
          <w:rPr>
            <w:rFonts w:ascii="Cambria Math" w:hAnsi="Cambria Math"/>
          </w:rPr>
          <m:t>k</m:t>
        </m:r>
      </m:oMath>
      <w:r w:rsidRPr="00AC13E7">
        <w:t xml:space="preserve">, and </w:t>
      </w:r>
      <m:oMath>
        <m:sSub>
          <m:sSubPr>
            <m:ctrlPr>
              <w:rPr>
                <w:rFonts w:ascii="Cambria Math" w:hAnsi="Cambria Math"/>
                <w:i/>
              </w:rPr>
            </m:ctrlPr>
          </m:sSubPr>
          <m:e>
            <m:r>
              <w:rPr>
                <w:rFonts w:ascii="Cambria Math" w:hAnsi="Cambria Math"/>
              </w:rPr>
              <m:t>f</m:t>
            </m:r>
          </m:e>
          <m:sub>
            <m:r>
              <w:rPr>
                <w:rFonts w:ascii="Cambria Math" w:hAnsi="Cambria Math"/>
              </w:rPr>
              <m:t>k</m:t>
            </m:r>
          </m:sub>
        </m:sSub>
      </m:oMath>
      <w:r w:rsidRPr="00AC13E7">
        <w:t xml:space="preserve"> is the location of cluster </w:t>
      </w:r>
      <m:oMath>
        <m:r>
          <w:rPr>
            <w:rFonts w:ascii="Cambria Math" w:hAnsi="Cambria Math"/>
          </w:rPr>
          <m:t>k</m:t>
        </m:r>
      </m:oMath>
      <w:r w:rsidRPr="00AC13E7">
        <w:t xml:space="preserve"> in the 1-d scale. In this study, </w:t>
      </w:r>
      <m:oMath>
        <m:sSub>
          <m:sSubPr>
            <m:ctrlPr>
              <w:rPr>
                <w:rFonts w:ascii="Cambria Math" w:hAnsi="Cambria Math"/>
                <w:i/>
              </w:rPr>
            </m:ctrlPr>
          </m:sSubPr>
          <m:e>
            <m:r>
              <w:rPr>
                <w:rFonts w:ascii="Cambria Math" w:hAnsi="Cambria Math"/>
              </w:rPr>
              <m:t>f</m:t>
            </m:r>
          </m:e>
          <m:sub>
            <m:r>
              <w:rPr>
                <w:rFonts w:ascii="Cambria Math" w:hAnsi="Cambria Math"/>
              </w:rPr>
              <m:t>k</m:t>
            </m:r>
          </m:sub>
        </m:sSub>
      </m:oMath>
      <w:r w:rsidRPr="00AC13E7">
        <w:rPr>
          <w:i/>
          <w:iCs/>
          <w:vertAlign w:val="subscript"/>
        </w:rPr>
        <w:t xml:space="preserve"> </w:t>
      </w:r>
      <w:r w:rsidRPr="00AC13E7">
        <w:t xml:space="preserve">corresponds to the cellular prevalence of cluster (i.e. lineage) </w:t>
      </w:r>
      <m:oMath>
        <m:r>
          <w:rPr>
            <w:rFonts w:ascii="Cambria Math" w:hAnsi="Cambria Math"/>
          </w:rPr>
          <m:t>k</m:t>
        </m:r>
      </m:oMath>
      <w:r w:rsidRPr="00AC13E7">
        <w:t xml:space="preserve"> and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rsidRPr="00AC13E7">
        <w:t xml:space="preserve"> the proportion of the SNVs assigned to that cluster. </w:t>
      </w:r>
      <m:oMath>
        <m:sSub>
          <m:sSubPr>
            <m:ctrlPr>
              <w:rPr>
                <w:rFonts w:ascii="Cambria Math" w:hAnsi="Cambria Math"/>
                <w:i/>
              </w:rPr>
            </m:ctrlPr>
          </m:sSubPr>
          <m:e>
            <m:r>
              <w:rPr>
                <w:rFonts w:ascii="Cambria Math" w:hAnsi="Cambria Math"/>
              </w:rPr>
              <m:t>K</m:t>
            </m:r>
          </m:e>
          <m:sub>
            <m:r>
              <w:rPr>
                <w:rFonts w:ascii="Cambria Math" w:hAnsi="Cambria Math"/>
              </w:rPr>
              <m:t>h</m:t>
            </m:r>
          </m:sub>
        </m:sSub>
      </m:oMath>
      <w:r w:rsidRPr="00AC13E7">
        <w:rPr>
          <w:i/>
          <w:iCs/>
        </w:rPr>
        <w:t xml:space="preserve"> </w:t>
      </w:r>
      <w:r w:rsidRPr="00AC13E7">
        <w:t xml:space="preserve">is the number of clusters of method </w:t>
      </w:r>
      <m:oMath>
        <m:r>
          <w:rPr>
            <w:rFonts w:ascii="Cambria Math" w:hAnsi="Cambria Math"/>
          </w:rPr>
          <m:t>h</m:t>
        </m:r>
      </m:oMath>
      <w:r w:rsidRPr="00AC13E7">
        <w:t>, this number can vary between the different clusterings of the data objects (e.g. SNVs in this study).</w:t>
      </w:r>
    </w:p>
    <w:p w14:paraId="0C0E1445" w14:textId="77777777" w:rsidR="00273821" w:rsidRPr="00AC13E7" w:rsidRDefault="00273821" w:rsidP="00273821">
      <w:pPr>
        <w:jc w:val="both"/>
      </w:pPr>
      <w:r w:rsidRPr="00AC13E7">
        <w:t xml:space="preserve">    </w:t>
      </w:r>
    </w:p>
    <w:p w14:paraId="132C5909" w14:textId="45B91537" w:rsidR="00273821" w:rsidRPr="00AC13E7" w:rsidRDefault="00273821" w:rsidP="00273821">
      <w:pPr>
        <w:jc w:val="both"/>
      </w:pPr>
      <w:r w:rsidRPr="00AC13E7">
        <w:t>Here, each clustering is derived from a subclonal architecture summary generated by an indi</w:t>
      </w:r>
      <w:r w:rsidR="00F943FC" w:rsidRPr="00AC13E7">
        <w:t>vidual reconstruction algorithm</w:t>
      </w:r>
      <w:r w:rsidRPr="00AC13E7">
        <w:t xml:space="preserve">. These summaries provide for each subclonal lineage (i.e. cluster): a cellular prevalence of the lineage </w:t>
      </w:r>
      <m:oMath>
        <m:r>
          <w:rPr>
            <w:rFonts w:ascii="Cambria Math" w:hAnsi="Cambria Math"/>
          </w:rPr>
          <m:t>k</m:t>
        </m:r>
      </m:oMath>
      <w:r w:rsidRPr="00AC13E7">
        <w:t xml:space="preserve">, </w:t>
      </w:r>
      <m:oMath>
        <m:sSub>
          <m:sSubPr>
            <m:ctrlPr>
              <w:rPr>
                <w:rFonts w:ascii="Cambria Math" w:hAnsi="Cambria Math"/>
                <w:i/>
              </w:rPr>
            </m:ctrlPr>
          </m:sSubPr>
          <m:e>
            <m:r>
              <w:rPr>
                <w:rFonts w:ascii="Cambria Math" w:hAnsi="Cambria Math"/>
              </w:rPr>
              <m:t>f</m:t>
            </m:r>
          </m:e>
          <m:sub>
            <m:r>
              <w:rPr>
                <w:rFonts w:ascii="Cambria Math" w:hAnsi="Cambria Math"/>
              </w:rPr>
              <m:t>k</m:t>
            </m:r>
          </m:sub>
        </m:sSub>
      </m:oMath>
      <w:r w:rsidRPr="00AC13E7">
        <w:t xml:space="preserve">, and the fraction of mutations assigned to that lineage,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rsidRPr="00AC13E7">
        <w:t>. Importantly, Weme does not include any per-mutation information.</w:t>
      </w:r>
    </w:p>
    <w:p w14:paraId="27606A10" w14:textId="77777777" w:rsidR="00273821" w:rsidRPr="00AC13E7" w:rsidRDefault="00273821" w:rsidP="00273821">
      <w:pPr>
        <w:jc w:val="both"/>
      </w:pPr>
      <w:r w:rsidRPr="00AC13E7">
        <w:t xml:space="preserve">    </w:t>
      </w:r>
    </w:p>
    <w:p w14:paraId="38D1BFB4" w14:textId="77777777" w:rsidR="00273821" w:rsidRPr="00AC13E7" w:rsidRDefault="00273821" w:rsidP="00273821">
      <w:pPr>
        <w:jc w:val="both"/>
      </w:pPr>
      <w:r w:rsidRPr="00AC13E7">
        <w:t xml:space="preserve">To justify and explain the WeMe algorithm, we first note that the EMD between any two clusterings in 1-d is equal to the integral of the absolute difference between their corresponding cumulative distribution functions (CDF). Specifically, the EMD between clusterings </w:t>
      </w:r>
      <m:oMath>
        <m:r>
          <w:rPr>
            <w:rFonts w:ascii="Cambria Math" w:hAnsi="Cambria Math"/>
          </w:rPr>
          <m:t>i</m:t>
        </m:r>
      </m:oMath>
      <w:r w:rsidRPr="00AC13E7">
        <w:t xml:space="preserve"> and </w:t>
      </w:r>
      <m:oMath>
        <m:r>
          <w:rPr>
            <w:rFonts w:ascii="Cambria Math" w:hAnsi="Cambria Math"/>
          </w:rPr>
          <m:t>j</m:t>
        </m:r>
      </m:oMath>
      <w:r w:rsidRPr="00AC13E7">
        <w:t xml:space="preserve">, </w:t>
      </w:r>
      <m:oMath>
        <m:r>
          <w:rPr>
            <w:rFonts w:ascii="Cambria Math" w:hAnsi="Cambria Math"/>
          </w:rPr>
          <m:t>i,j∈</m:t>
        </m:r>
        <m:d>
          <m:dPr>
            <m:begChr m:val="{"/>
            <m:endChr m:val="}"/>
            <m:ctrlPr>
              <w:rPr>
                <w:rFonts w:ascii="Cambria Math" w:hAnsi="Cambria Math"/>
                <w:i/>
              </w:rPr>
            </m:ctrlPr>
          </m:dPr>
          <m:e>
            <m:r>
              <w:rPr>
                <w:rFonts w:ascii="Cambria Math" w:hAnsi="Cambria Math"/>
              </w:rPr>
              <m:t>1,2,…,H</m:t>
            </m:r>
          </m:e>
        </m:d>
      </m:oMath>
      <w:r w:rsidRPr="00AC13E7">
        <w:t xml:space="preserve"> whose CDFs are </w:t>
      </w:r>
      <m:oMath>
        <m:sSub>
          <m:sSubPr>
            <m:ctrlPr>
              <w:rPr>
                <w:rFonts w:ascii="Cambria Math" w:hAnsi="Cambria Math"/>
                <w:i/>
              </w:rPr>
            </m:ctrlPr>
          </m:sSubPr>
          <m:e>
            <m:r>
              <w:rPr>
                <w:rFonts w:ascii="Cambria Math" w:hAnsi="Cambria Math"/>
              </w:rPr>
              <m:t>F</m:t>
            </m:r>
          </m:e>
          <m:sub>
            <m:r>
              <w:rPr>
                <w:rFonts w:ascii="Cambria Math" w:hAnsi="Cambria Math"/>
              </w:rPr>
              <m:t>i</m:t>
            </m:r>
          </m:sub>
        </m:sSub>
        <m:d>
          <m:dPr>
            <m:ctrlPr>
              <w:rPr>
                <w:rFonts w:ascii="Cambria Math" w:hAnsi="Cambria Math"/>
                <w:i/>
              </w:rPr>
            </m:ctrlPr>
          </m:dPr>
          <m:e>
            <m:r>
              <w:rPr>
                <w:rFonts w:ascii="Cambria Math" w:hAnsi="Cambria Math"/>
              </w:rPr>
              <m:t>x</m:t>
            </m:r>
          </m:e>
        </m:d>
      </m:oMath>
      <w:r w:rsidRPr="00AC13E7">
        <w:t xml:space="preserve"> and </w:t>
      </w:r>
      <m:oMath>
        <m:sSub>
          <m:sSubPr>
            <m:ctrlPr>
              <w:rPr>
                <w:rFonts w:ascii="Cambria Math" w:hAnsi="Cambria Math"/>
                <w:i/>
              </w:rPr>
            </m:ctrlPr>
          </m:sSubPr>
          <m:e>
            <m:r>
              <w:rPr>
                <w:rFonts w:ascii="Cambria Math" w:hAnsi="Cambria Math"/>
              </w:rPr>
              <m:t>F</m:t>
            </m:r>
          </m:e>
          <m:sub>
            <m:r>
              <w:rPr>
                <w:rFonts w:ascii="Cambria Math" w:hAnsi="Cambria Math"/>
              </w:rPr>
              <m:t>j</m:t>
            </m:r>
          </m:sub>
        </m:sSub>
        <m:d>
          <m:dPr>
            <m:ctrlPr>
              <w:rPr>
                <w:rFonts w:ascii="Cambria Math" w:hAnsi="Cambria Math"/>
                <w:i/>
              </w:rPr>
            </m:ctrlPr>
          </m:dPr>
          <m:e>
            <m:r>
              <w:rPr>
                <w:rFonts w:ascii="Cambria Math" w:hAnsi="Cambria Math"/>
              </w:rPr>
              <m:t>x</m:t>
            </m:r>
          </m:e>
        </m:d>
      </m:oMath>
      <w:r w:rsidRPr="00AC13E7">
        <w:t>, respectively is</w:t>
      </w:r>
    </w:p>
    <w:p w14:paraId="61B438B3" w14:textId="77777777" w:rsidR="00273821" w:rsidRPr="00AC13E7" w:rsidRDefault="00273821" w:rsidP="00273821">
      <w:pPr>
        <w:jc w:val="both"/>
        <w:rPr>
          <w:rFonts w:asciiTheme="minorBidi" w:eastAsia="Arial" w:hAnsiTheme="minorBidi" w:cstheme="minorBidi"/>
        </w:rPr>
      </w:pPr>
      <m:oMathPara>
        <m:oMath>
          <m:r>
            <w:rPr>
              <w:rFonts w:ascii="Cambria Math" w:eastAsia="Arial" w:hAnsi="Cambria Math" w:cstheme="minorBidi"/>
            </w:rPr>
            <m:t>EMD</m:t>
          </m:r>
          <m:d>
            <m:dPr>
              <m:ctrlPr>
                <w:rPr>
                  <w:rFonts w:ascii="Cambria Math" w:eastAsia="Arial" w:hAnsi="Cambria Math" w:cstheme="minorBidi"/>
                  <w:i/>
                </w:rPr>
              </m:ctrlPr>
            </m:dPr>
            <m:e>
              <m:sSub>
                <m:sSubPr>
                  <m:ctrlPr>
                    <w:rPr>
                      <w:rFonts w:ascii="Cambria Math" w:eastAsia="Arial" w:hAnsi="Cambria Math" w:cstheme="minorBidi"/>
                      <w:i/>
                    </w:rPr>
                  </m:ctrlPr>
                </m:sSubPr>
                <m:e>
                  <m:r>
                    <w:rPr>
                      <w:rFonts w:ascii="Cambria Math" w:eastAsia="Arial" w:hAnsi="Cambria Math" w:cstheme="minorBidi"/>
                    </w:rPr>
                    <m:t>F</m:t>
                  </m:r>
                </m:e>
                <m:sub>
                  <m:r>
                    <w:rPr>
                      <w:rFonts w:ascii="Cambria Math" w:eastAsia="Arial" w:hAnsi="Cambria Math" w:cstheme="minorBidi"/>
                    </w:rPr>
                    <m:t>i</m:t>
                  </m:r>
                </m:sub>
              </m:sSub>
              <m:r>
                <w:rPr>
                  <w:rFonts w:ascii="Cambria Math" w:eastAsia="Arial" w:hAnsi="Cambria Math" w:cstheme="minorBidi"/>
                </w:rPr>
                <m:t>,</m:t>
              </m:r>
              <m:sSub>
                <m:sSubPr>
                  <m:ctrlPr>
                    <w:rPr>
                      <w:rFonts w:ascii="Cambria Math" w:eastAsia="Arial" w:hAnsi="Cambria Math" w:cstheme="minorBidi"/>
                      <w:i/>
                    </w:rPr>
                  </m:ctrlPr>
                </m:sSubPr>
                <m:e>
                  <m:r>
                    <w:rPr>
                      <w:rFonts w:ascii="Cambria Math" w:eastAsia="Arial" w:hAnsi="Cambria Math" w:cstheme="minorBidi"/>
                    </w:rPr>
                    <m:t>F</m:t>
                  </m:r>
                </m:e>
                <m:sub>
                  <m:r>
                    <w:rPr>
                      <w:rFonts w:ascii="Cambria Math" w:eastAsia="Arial" w:hAnsi="Cambria Math" w:cstheme="minorBidi"/>
                    </w:rPr>
                    <m:t>j</m:t>
                  </m:r>
                </m:sub>
              </m:sSub>
            </m:e>
          </m:d>
          <m:r>
            <w:rPr>
              <w:rFonts w:ascii="Cambria Math" w:eastAsia="Arial" w:hAnsi="Cambria Math" w:cstheme="minorBidi"/>
            </w:rPr>
            <m:t>=</m:t>
          </m:r>
          <m:nary>
            <m:naryPr>
              <m:ctrlPr>
                <w:rPr>
                  <w:rFonts w:ascii="Cambria Math" w:eastAsia="Arial" w:hAnsi="Cambria Math" w:cstheme="minorBidi"/>
                  <w:i/>
                </w:rPr>
              </m:ctrlPr>
            </m:naryPr>
            <m:sub>
              <m:r>
                <w:rPr>
                  <w:rFonts w:ascii="Cambria Math" w:eastAsia="Arial" w:hAnsi="Cambria Math" w:cstheme="minorBidi"/>
                </w:rPr>
                <m:t>-∞</m:t>
              </m:r>
            </m:sub>
            <m:sup>
              <m:r>
                <w:rPr>
                  <w:rFonts w:ascii="Cambria Math" w:eastAsia="Arial" w:hAnsi="Cambria Math" w:cstheme="minorBidi"/>
                </w:rPr>
                <m:t>∞</m:t>
              </m:r>
            </m:sup>
            <m:e>
              <m:d>
                <m:dPr>
                  <m:begChr m:val="|"/>
                  <m:endChr m:val="|"/>
                  <m:ctrlPr>
                    <w:rPr>
                      <w:rFonts w:ascii="Cambria Math" w:eastAsia="Arial" w:hAnsi="Cambria Math" w:cstheme="minorBidi"/>
                      <w:i/>
                    </w:rPr>
                  </m:ctrlPr>
                </m:dPr>
                <m:e>
                  <m:sSub>
                    <m:sSubPr>
                      <m:ctrlPr>
                        <w:rPr>
                          <w:rFonts w:ascii="Cambria Math" w:eastAsia="Arial" w:hAnsi="Cambria Math" w:cstheme="minorBidi"/>
                          <w:i/>
                        </w:rPr>
                      </m:ctrlPr>
                    </m:sSubPr>
                    <m:e>
                      <m:r>
                        <w:rPr>
                          <w:rFonts w:ascii="Cambria Math" w:eastAsia="Arial" w:hAnsi="Cambria Math" w:cstheme="minorBidi"/>
                        </w:rPr>
                        <m:t>F</m:t>
                      </m:r>
                    </m:e>
                    <m:sub>
                      <m:r>
                        <w:rPr>
                          <w:rFonts w:ascii="Cambria Math" w:eastAsia="Arial" w:hAnsi="Cambria Math" w:cstheme="minorBidi"/>
                        </w:rPr>
                        <m:t>i</m:t>
                      </m:r>
                    </m:sub>
                  </m:sSub>
                  <m:d>
                    <m:dPr>
                      <m:ctrlPr>
                        <w:rPr>
                          <w:rFonts w:ascii="Cambria Math" w:eastAsia="Arial" w:hAnsi="Cambria Math" w:cstheme="minorBidi"/>
                          <w:i/>
                        </w:rPr>
                      </m:ctrlPr>
                    </m:dPr>
                    <m:e>
                      <m:r>
                        <w:rPr>
                          <w:rFonts w:ascii="Cambria Math" w:eastAsia="Arial" w:hAnsi="Cambria Math" w:cstheme="minorBidi"/>
                        </w:rPr>
                        <m:t>x</m:t>
                      </m:r>
                    </m:e>
                  </m:d>
                  <m:r>
                    <w:rPr>
                      <w:rFonts w:ascii="Cambria Math" w:eastAsia="Arial" w:hAnsi="Cambria Math" w:cstheme="minorBidi"/>
                    </w:rPr>
                    <m:t>-</m:t>
                  </m:r>
                  <m:sSub>
                    <m:sSubPr>
                      <m:ctrlPr>
                        <w:rPr>
                          <w:rFonts w:ascii="Cambria Math" w:eastAsia="Arial" w:hAnsi="Cambria Math" w:cstheme="minorBidi"/>
                          <w:i/>
                        </w:rPr>
                      </m:ctrlPr>
                    </m:sSubPr>
                    <m:e>
                      <m:r>
                        <w:rPr>
                          <w:rFonts w:ascii="Cambria Math" w:eastAsia="Arial" w:hAnsi="Cambria Math" w:cstheme="minorBidi"/>
                        </w:rPr>
                        <m:t>F</m:t>
                      </m:r>
                    </m:e>
                    <m:sub>
                      <m:r>
                        <w:rPr>
                          <w:rFonts w:ascii="Cambria Math" w:eastAsia="Arial" w:hAnsi="Cambria Math" w:cstheme="minorBidi"/>
                        </w:rPr>
                        <m:t>j</m:t>
                      </m:r>
                    </m:sub>
                  </m:sSub>
                  <m:d>
                    <m:dPr>
                      <m:ctrlPr>
                        <w:rPr>
                          <w:rFonts w:ascii="Cambria Math" w:eastAsia="Arial" w:hAnsi="Cambria Math" w:cstheme="minorBidi"/>
                          <w:i/>
                        </w:rPr>
                      </m:ctrlPr>
                    </m:dPr>
                    <m:e>
                      <m:r>
                        <w:rPr>
                          <w:rFonts w:ascii="Cambria Math" w:eastAsia="Arial" w:hAnsi="Cambria Math" w:cstheme="minorBidi"/>
                        </w:rPr>
                        <m:t>x</m:t>
                      </m:r>
                    </m:e>
                  </m:d>
                </m:e>
              </m:d>
              <m:r>
                <w:rPr>
                  <w:rFonts w:ascii="Cambria Math" w:eastAsia="Arial" w:hAnsi="Cambria Math" w:cstheme="minorBidi"/>
                </w:rPr>
                <m:t xml:space="preserve"> dx </m:t>
              </m:r>
            </m:e>
          </m:nary>
        </m:oMath>
      </m:oMathPara>
    </w:p>
    <w:p w14:paraId="59F022D6" w14:textId="77777777" w:rsidR="00273821" w:rsidRPr="00AC13E7" w:rsidRDefault="00273821" w:rsidP="00273821">
      <w:pPr>
        <w:jc w:val="both"/>
      </w:pPr>
    </w:p>
    <w:p w14:paraId="6C755696" w14:textId="77777777" w:rsidR="00273821" w:rsidRPr="00AC13E7" w:rsidRDefault="00273821" w:rsidP="00273821">
      <w:pPr>
        <w:jc w:val="both"/>
      </w:pPr>
      <w:r w:rsidRPr="00AC13E7">
        <w:t xml:space="preserve">Where the </w:t>
      </w:r>
      <m:oMath>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(x)</m:t>
        </m:r>
      </m:oMath>
      <w:r w:rsidRPr="00AC13E7">
        <w:t xml:space="preserve"> of a clustering, </w:t>
      </w:r>
      <m:oMath>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k</m:t>
            </m:r>
          </m:sub>
        </m:sSub>
        <m:r>
          <w:rPr>
            <w:rFonts w:ascii="Cambria Math" w:hAnsi="Cambria Math"/>
          </w:rPr>
          <m:t>}</m:t>
        </m:r>
      </m:oMath>
      <w:r w:rsidRPr="00AC13E7">
        <w:t xml:space="preserve">, </w:t>
      </w:r>
      <m:oMath>
        <m:r>
          <w:rPr>
            <w:rFonts w:ascii="Cambria Math" w:hAnsi="Cambria Math"/>
          </w:rPr>
          <m:t>k=1,…,</m:t>
        </m:r>
        <m:sSub>
          <m:sSubPr>
            <m:ctrlPr>
              <w:rPr>
                <w:rFonts w:ascii="Cambria Math" w:hAnsi="Cambria Math"/>
                <w:i/>
              </w:rPr>
            </m:ctrlPr>
          </m:sSubPr>
          <m:e>
            <m:r>
              <w:rPr>
                <w:rFonts w:ascii="Cambria Math" w:hAnsi="Cambria Math"/>
              </w:rPr>
              <m:t>K</m:t>
            </m:r>
          </m:e>
          <m:sub>
            <m:r>
              <w:rPr>
                <w:rFonts w:ascii="Cambria Math" w:hAnsi="Cambria Math"/>
              </w:rPr>
              <m:t>h</m:t>
            </m:r>
          </m:sub>
        </m:sSub>
      </m:oMath>
      <w:r w:rsidRPr="00AC13E7">
        <w:t>, is:</w:t>
      </w:r>
    </w:p>
    <w:p w14:paraId="6C87B971" w14:textId="77777777" w:rsidR="00273821" w:rsidRPr="00AC13E7" w:rsidRDefault="00273821" w:rsidP="00273821">
      <w:pPr>
        <w:jc w:val="both"/>
      </w:pPr>
      <m:oMathPara>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 </m:t>
          </m:r>
          <m:nary>
            <m:naryPr>
              <m:chr m:val="∑"/>
              <m:supHide m:val="1"/>
              <m:ctrlPr>
                <w:rPr>
                  <w:rFonts w:ascii="Cambria Math" w:hAnsi="Cambria Math"/>
                  <w:i/>
                </w:rPr>
              </m:ctrlPr>
            </m:naryPr>
            <m:sub>
              <m:r>
                <w:rPr>
                  <w:rFonts w:ascii="Cambria Math" w:hAnsi="Cambria Math"/>
                </w:rPr>
                <m:t>i∈{k|</m:t>
              </m:r>
              <m:sSub>
                <m:sSubPr>
                  <m:ctrlPr>
                    <w:rPr>
                      <w:rFonts w:ascii="Cambria Math" w:hAnsi="Cambria Math"/>
                      <w:i/>
                    </w:rPr>
                  </m:ctrlPr>
                </m:sSubPr>
                <m:e>
                  <m:r>
                    <w:rPr>
                      <w:rFonts w:ascii="Cambria Math" w:hAnsi="Cambria Math"/>
                    </w:rPr>
                    <m:t>f</m:t>
                  </m:r>
                </m:e>
                <m:sub>
                  <m:r>
                    <w:rPr>
                      <w:rFonts w:ascii="Cambria Math" w:hAnsi="Cambria Math"/>
                    </w:rPr>
                    <m:t>k</m:t>
                  </m:r>
                </m:sub>
              </m:sSub>
              <m:r>
                <w:rPr>
                  <w:rFonts w:ascii="Cambria Math" w:hAnsi="Cambria Math"/>
                </w:rPr>
                <m:t>≤x}</m:t>
              </m:r>
            </m:sub>
            <m:sup/>
            <m:e>
              <m:sSub>
                <m:sSubPr>
                  <m:ctrlPr>
                    <w:rPr>
                      <w:rFonts w:ascii="Cambria Math" w:hAnsi="Cambria Math"/>
                      <w:i/>
                    </w:rPr>
                  </m:ctrlPr>
                </m:sSubPr>
                <m:e>
                  <m:r>
                    <w:rPr>
                      <w:rFonts w:ascii="Cambria Math" w:hAnsi="Cambria Math"/>
                    </w:rPr>
                    <m:t>p</m:t>
                  </m:r>
                </m:e>
                <m:sub>
                  <m:r>
                    <w:rPr>
                      <w:rFonts w:ascii="Cambria Math" w:hAnsi="Cambria Math"/>
                    </w:rPr>
                    <m:t>i</m:t>
                  </m:r>
                </m:sub>
              </m:sSub>
            </m:e>
          </m:nary>
        </m:oMath>
      </m:oMathPara>
    </w:p>
    <w:p w14:paraId="2DE2151E" w14:textId="77777777" w:rsidR="00273821" w:rsidRPr="00AC13E7" w:rsidRDefault="00273821" w:rsidP="00273821">
      <w:pPr>
        <w:jc w:val="both"/>
      </w:pPr>
      <w:r w:rsidRPr="00AC13E7">
        <w:t xml:space="preserve">    </w:t>
      </w:r>
    </w:p>
    <w:p w14:paraId="5550FD7C" w14:textId="77777777" w:rsidR="00273821" w:rsidRPr="00AC13E7" w:rsidRDefault="00273821" w:rsidP="00273821">
      <w:pPr>
        <w:jc w:val="both"/>
      </w:pPr>
      <w:r w:rsidRPr="00AC13E7">
        <w:t xml:space="preserve">Note, as indicated above, that the CDF, </w:t>
      </w:r>
      <m:oMath>
        <m:r>
          <w:rPr>
            <w:rFonts w:ascii="Cambria Math" w:hAnsi="Cambria Math"/>
          </w:rPr>
          <m:t>F(x)</m:t>
        </m:r>
      </m:oMath>
      <w:r w:rsidRPr="00AC13E7">
        <w:t xml:space="preserve">, corresponding to a clustering is a piecewise constant function of </w:t>
      </w:r>
      <m:oMath>
        <m:r>
          <w:rPr>
            <w:rFonts w:ascii="Cambria Math" w:hAnsi="Cambria Math"/>
          </w:rPr>
          <m:t>x</m:t>
        </m:r>
      </m:oMath>
      <w:r w:rsidRPr="00AC13E7">
        <w:t xml:space="preserve">, with the discontinuities occurring at the values of </w:t>
      </w:r>
      <m:oMath>
        <m:sSub>
          <m:sSubPr>
            <m:ctrlPr>
              <w:rPr>
                <w:rFonts w:ascii="Cambria Math" w:hAnsi="Cambria Math"/>
                <w:i/>
              </w:rPr>
            </m:ctrlPr>
          </m:sSubPr>
          <m:e>
            <m:r>
              <w:rPr>
                <w:rFonts w:ascii="Cambria Math" w:hAnsi="Cambria Math"/>
              </w:rPr>
              <m:t>f</m:t>
            </m:r>
          </m:e>
          <m:sub>
            <m:r>
              <w:rPr>
                <w:rFonts w:ascii="Cambria Math" w:hAnsi="Cambria Math"/>
              </w:rPr>
              <m:t>k</m:t>
            </m:r>
          </m:sub>
        </m:sSub>
      </m:oMath>
      <w:r w:rsidRPr="00AC13E7">
        <w:t xml:space="preserve"> </w:t>
      </w:r>
      <w:r w:rsidRPr="00AC13E7">
        <w:lastRenderedPageBreak/>
        <w:t>(</w:t>
      </w:r>
      <w:r w:rsidRPr="00AC13E7">
        <w:rPr>
          <w:b/>
          <w:bCs/>
        </w:rPr>
        <w:fldChar w:fldCharType="begin"/>
      </w:r>
      <w:r w:rsidRPr="00AC13E7">
        <w:instrText xml:space="preserve"> REF _Ref380789689 \h </w:instrText>
      </w:r>
      <w:r w:rsidRPr="00AC13E7">
        <w:rPr>
          <w:b/>
          <w:bCs/>
        </w:rPr>
      </w:r>
      <w:r w:rsidRPr="00AC13E7">
        <w:rPr>
          <w:b/>
          <w:bCs/>
        </w:rPr>
        <w:fldChar w:fldCharType="separate"/>
      </w:r>
      <w:r w:rsidR="00673FBD" w:rsidRPr="00AC13E7">
        <w:t xml:space="preserve">Fig. </w:t>
      </w:r>
      <w:r w:rsidR="00673FBD">
        <w:rPr>
          <w:noProof/>
        </w:rPr>
        <w:t>27</w:t>
      </w:r>
      <w:r w:rsidRPr="00AC13E7">
        <w:rPr>
          <w:b/>
          <w:bCs/>
        </w:rPr>
        <w:fldChar w:fldCharType="end"/>
      </w:r>
      <w:r w:rsidRPr="00AC13E7">
        <w:rPr>
          <w:b/>
          <w:bCs/>
        </w:rPr>
        <w:t xml:space="preserve"> </w:t>
      </w:r>
      <w:r w:rsidRPr="00AC13E7">
        <w:rPr>
          <w:bCs/>
        </w:rPr>
        <w:t>– top left</w:t>
      </w:r>
      <w:r w:rsidRPr="00AC13E7">
        <w:t xml:space="preserve">). At these discontinuities, the y-value of the CDF jumps by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rsidRPr="00AC13E7">
        <w:t xml:space="preserve">. Because of this, it is easy to compute the EMD between two methods, namely </w:t>
      </w:r>
      <m:oMath>
        <m:r>
          <w:rPr>
            <w:rFonts w:ascii="Cambria Math" w:hAnsi="Cambria Math"/>
          </w:rPr>
          <m:t>i</m:t>
        </m:r>
      </m:oMath>
      <w:r w:rsidRPr="00AC13E7">
        <w:t xml:space="preserve"> and </w:t>
      </w:r>
      <m:oMath>
        <m:r>
          <w:rPr>
            <w:rFonts w:ascii="Cambria Math" w:hAnsi="Cambria Math"/>
          </w:rPr>
          <m:t>j</m:t>
        </m:r>
      </m:oMath>
      <w:r w:rsidRPr="00AC13E7">
        <w:t xml:space="preserve">. We just need to compute the area of, at most, </w:t>
      </w:r>
      <m:oMath>
        <m:sSub>
          <m:sSubPr>
            <m:ctrlPr>
              <w:rPr>
                <w:rFonts w:ascii="Cambria Math" w:hAnsi="Cambria Math"/>
                <w:i/>
              </w:rPr>
            </m:ctrlPr>
          </m:sSubPr>
          <m:e>
            <m:r>
              <w:rPr>
                <w:rFonts w:ascii="Cambria Math" w:hAnsi="Cambria Math"/>
              </w:rPr>
              <m:t>k</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j</m:t>
            </m:r>
          </m:sub>
        </m:sSub>
      </m:oMath>
      <w:r w:rsidRPr="00AC13E7">
        <w:t xml:space="preserve"> different rectangles, where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rsidRPr="00AC13E7">
        <w:t xml:space="preserve"> and </w:t>
      </w:r>
      <m:oMath>
        <m:sSub>
          <m:sSubPr>
            <m:ctrlPr>
              <w:rPr>
                <w:rFonts w:ascii="Cambria Math" w:hAnsi="Cambria Math"/>
                <w:i/>
              </w:rPr>
            </m:ctrlPr>
          </m:sSubPr>
          <m:e>
            <m:r>
              <w:rPr>
                <w:rFonts w:ascii="Cambria Math" w:hAnsi="Cambria Math"/>
              </w:rPr>
              <m:t>k</m:t>
            </m:r>
          </m:e>
          <m:sub>
            <m:r>
              <w:rPr>
                <w:rFonts w:ascii="Cambria Math" w:hAnsi="Cambria Math"/>
              </w:rPr>
              <m:t>j</m:t>
            </m:r>
          </m:sub>
        </m:sSub>
      </m:oMath>
      <w:r w:rsidRPr="00AC13E7">
        <w:t xml:space="preserve"> are the number of clusters in the </w:t>
      </w:r>
      <m:oMath>
        <m:r>
          <w:rPr>
            <w:rFonts w:ascii="Cambria Math" w:hAnsi="Cambria Math"/>
          </w:rPr>
          <m:t>i</m:t>
        </m:r>
      </m:oMath>
      <w:r w:rsidRPr="00AC13E7">
        <w:t xml:space="preserve">- and </w:t>
      </w:r>
      <m:oMath>
        <m:r>
          <w:rPr>
            <w:rFonts w:ascii="Cambria Math" w:hAnsi="Cambria Math"/>
          </w:rPr>
          <m:t>j</m:t>
        </m:r>
      </m:oMath>
      <w:r w:rsidRPr="00AC13E7">
        <w:t>-th clusterings, respectively. These rectangles are delineated by the union of the cluster locations of the two clusterings - these are the discontinuities in each individual CDF (</w:t>
      </w:r>
      <w:r w:rsidRPr="00AC13E7">
        <w:rPr>
          <w:b/>
          <w:bCs/>
        </w:rPr>
        <w:fldChar w:fldCharType="begin"/>
      </w:r>
      <w:r w:rsidRPr="00AC13E7">
        <w:instrText xml:space="preserve"> REF _Ref380789689 \h </w:instrText>
      </w:r>
      <w:r w:rsidRPr="00AC13E7">
        <w:rPr>
          <w:b/>
          <w:bCs/>
        </w:rPr>
      </w:r>
      <w:r w:rsidRPr="00AC13E7">
        <w:rPr>
          <w:b/>
          <w:bCs/>
        </w:rPr>
        <w:fldChar w:fldCharType="separate"/>
      </w:r>
      <w:r w:rsidR="00673FBD" w:rsidRPr="00AC13E7">
        <w:t xml:space="preserve">Fig. </w:t>
      </w:r>
      <w:r w:rsidR="00673FBD">
        <w:rPr>
          <w:noProof/>
        </w:rPr>
        <w:t>27</w:t>
      </w:r>
      <w:r w:rsidRPr="00AC13E7">
        <w:rPr>
          <w:b/>
          <w:bCs/>
        </w:rPr>
        <w:fldChar w:fldCharType="end"/>
      </w:r>
      <w:r w:rsidRPr="00AC13E7">
        <w:rPr>
          <w:b/>
          <w:bCs/>
        </w:rPr>
        <w:t xml:space="preserve"> </w:t>
      </w:r>
      <w:r w:rsidRPr="00AC13E7">
        <w:rPr>
          <w:bCs/>
        </w:rPr>
        <w:t>– top right</w:t>
      </w:r>
      <w:r w:rsidRPr="00AC13E7">
        <w:t>).</w:t>
      </w:r>
    </w:p>
    <w:p w14:paraId="1F1952DE" w14:textId="77777777" w:rsidR="00273821" w:rsidRPr="00AC13E7" w:rsidRDefault="00273821" w:rsidP="00273821">
      <w:pPr>
        <w:jc w:val="both"/>
      </w:pPr>
    </w:p>
    <w:p w14:paraId="298CD9CE" w14:textId="77777777" w:rsidR="00273821" w:rsidRPr="00AC13E7" w:rsidRDefault="00273821" w:rsidP="00273821">
      <w:pPr>
        <w:jc w:val="both"/>
      </w:pPr>
      <w:r w:rsidRPr="00AC13E7">
        <w:t xml:space="preserve">We defined an unconstrained consensus clustering for a set of clusterings </w:t>
      </w:r>
      <m:oMath>
        <m:d>
          <m:dPr>
            <m:begChr m:val="{"/>
            <m:endChr m:val="}"/>
            <m:ctrlPr>
              <w:rPr>
                <w:rFonts w:ascii="Cambria Math" w:hAnsi="Cambria Math"/>
                <w:i/>
              </w:rPr>
            </m:ctrlPr>
          </m:dPr>
          <m:e>
            <m:r>
              <w:rPr>
                <w:rFonts w:ascii="Cambria Math" w:hAnsi="Cambria Math"/>
              </w:rPr>
              <m:t>1,2,…,H</m:t>
            </m:r>
          </m:e>
        </m:d>
      </m:oMath>
      <w:r w:rsidRPr="00AC13E7">
        <w:t xml:space="preserve"> as a new clustering </w:t>
      </w:r>
      <m:oMath>
        <m:sSup>
          <m:sSupPr>
            <m:ctrlPr>
              <w:rPr>
                <w:rFonts w:ascii="Cambria Math" w:hAnsi="Cambria Math"/>
                <w:i/>
              </w:rPr>
            </m:ctrlPr>
          </m:sSupPr>
          <m:e>
            <m:r>
              <w:rPr>
                <w:rFonts w:ascii="Cambria Math" w:hAnsi="Cambria Math"/>
              </w:rPr>
              <m:t>H</m:t>
            </m:r>
          </m:e>
          <m:sup>
            <m:r>
              <w:rPr>
                <w:rFonts w:ascii="Cambria Math" w:hAnsi="Cambria Math"/>
              </w:rPr>
              <m:t>*</m:t>
            </m:r>
          </m:sup>
        </m:sSup>
      </m:oMath>
      <w:r w:rsidRPr="00AC13E7">
        <w:t xml:space="preserve">, </w:t>
      </w:r>
      <m:oMath>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m:t>
            </m:r>
          </m:sup>
        </m:sSubSup>
        <m:r>
          <w:rPr>
            <w:rFonts w:ascii="Cambria Math" w:hAnsi="Cambria Math"/>
          </w:rPr>
          <m:t>}</m:t>
        </m:r>
      </m:oMath>
      <w:r w:rsidRPr="00AC13E7">
        <w:t>, that minimizes the sum of the EMDs to all other clusterings, i.e.</w:t>
      </w:r>
    </w:p>
    <w:p w14:paraId="1B8C6E6F" w14:textId="77777777" w:rsidR="00273821" w:rsidRPr="00AC13E7" w:rsidRDefault="0036299C" w:rsidP="00273821">
      <w:pPr>
        <w:jc w:val="both"/>
      </w:pPr>
      <m:oMathPara>
        <m:oMath>
          <m:sSub>
            <m:sSubPr>
              <m:ctrlPr>
                <w:rPr>
                  <w:rFonts w:ascii="Cambria Math" w:hAnsi="Cambria Math"/>
                </w:rPr>
              </m:ctrlPr>
            </m:sSubPr>
            <m:e>
              <m:r>
                <m:rPr>
                  <m:sty m:val="p"/>
                </m:rPr>
                <w:rPr>
                  <w:rFonts w:ascii="Cambria Math" w:hAnsi="Cambria Math"/>
                </w:rPr>
                <m:t>argmin</m:t>
              </m:r>
            </m:e>
            <m:sub>
              <m:d>
                <m:dPr>
                  <m:begChr m:val="{"/>
                  <m:endChr m:val="}"/>
                  <m:ctrlPr>
                    <w:rPr>
                      <w:rFonts w:ascii="Cambria Math" w:hAnsi="Cambria Math"/>
                      <w:i/>
                    </w:rPr>
                  </m:ctrlPr>
                </m:dPr>
                <m:e>
                  <m:d>
                    <m:dPr>
                      <m:ctrlPr>
                        <w:rPr>
                          <w:rFonts w:ascii="Cambria Math" w:hAnsi="Cambria Math"/>
                          <w:i/>
                        </w:rPr>
                      </m:ctrlPr>
                    </m:dPr>
                    <m:e>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m:t>
                          </m:r>
                        </m:sup>
                      </m:sSubSup>
                    </m:e>
                  </m:d>
                </m:e>
              </m:d>
            </m:sub>
          </m:sSub>
          <m:nary>
            <m:naryPr>
              <m:chr m:val="∑"/>
              <m:limLoc m:val="undOvr"/>
              <m:ctrlPr>
                <w:rPr>
                  <w:rFonts w:ascii="Cambria Math" w:hAnsi="Cambria Math"/>
                  <w:i/>
                </w:rPr>
              </m:ctrlPr>
            </m:naryPr>
            <m:sub>
              <m:r>
                <w:rPr>
                  <w:rFonts w:ascii="Cambria Math" w:hAnsi="Cambria Math"/>
                </w:rPr>
                <m:t>h=1</m:t>
              </m:r>
            </m:sub>
            <m:sup>
              <m:r>
                <w:rPr>
                  <w:rFonts w:ascii="Cambria Math" w:hAnsi="Cambria Math"/>
                </w:rPr>
                <m:t>H</m:t>
              </m:r>
            </m:sup>
            <m:e>
              <m:r>
                <w:rPr>
                  <w:rFonts w:ascii="Cambria Math" w:hAnsi="Cambria Math"/>
                </w:rPr>
                <m:t>EMD</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h</m:t>
                      </m:r>
                    </m:sub>
                  </m:sSub>
                  <m:r>
                    <w:rPr>
                      <w:rFonts w:ascii="Cambria Math" w:hAnsi="Cambria Math"/>
                    </w:rPr>
                    <m:t xml:space="preserve">, </m:t>
                  </m:r>
                  <m:sSub>
                    <m:sSubPr>
                      <m:ctrlPr>
                        <w:rPr>
                          <w:rFonts w:ascii="Cambria Math" w:hAnsi="Cambria Math"/>
                          <w:i/>
                        </w:rPr>
                      </m:ctrlPr>
                    </m:sSubPr>
                    <m:e>
                      <m:r>
                        <w:rPr>
                          <w:rFonts w:ascii="Cambria Math" w:hAnsi="Cambria Math"/>
                        </w:rPr>
                        <m:t>F</m:t>
                      </m:r>
                    </m:e>
                    <m:sub>
                      <m:sSup>
                        <m:sSupPr>
                          <m:ctrlPr>
                            <w:rPr>
                              <w:rFonts w:ascii="Cambria Math" w:hAnsi="Cambria Math"/>
                              <w:i/>
                            </w:rPr>
                          </m:ctrlPr>
                        </m:sSupPr>
                        <m:e>
                          <m:r>
                            <w:rPr>
                              <w:rFonts w:ascii="Cambria Math" w:hAnsi="Cambria Math"/>
                            </w:rPr>
                            <m:t>H</m:t>
                          </m:r>
                        </m:e>
                        <m:sup>
                          <m:r>
                            <w:rPr>
                              <w:rFonts w:ascii="Cambria Math" w:hAnsi="Cambria Math"/>
                            </w:rPr>
                            <m:t>*</m:t>
                          </m:r>
                        </m:sup>
                      </m:sSup>
                    </m:sub>
                  </m:sSub>
                </m:e>
              </m:d>
            </m:e>
          </m:nary>
        </m:oMath>
      </m:oMathPara>
    </w:p>
    <w:p w14:paraId="75754D72" w14:textId="77777777" w:rsidR="00273821" w:rsidRPr="00AC13E7" w:rsidRDefault="00273821" w:rsidP="00273821">
      <w:pPr>
        <w:jc w:val="both"/>
      </w:pPr>
    </w:p>
    <w:p w14:paraId="3029064D" w14:textId="77777777" w:rsidR="00273821" w:rsidRPr="00AC13E7" w:rsidRDefault="00273821" w:rsidP="00273821">
      <w:pPr>
        <w:jc w:val="both"/>
      </w:pPr>
      <w:r w:rsidRPr="00AC13E7">
        <w:t xml:space="preserve">It is straightforward to prove that clustering </w:t>
      </w:r>
      <m:oMath>
        <m:sSup>
          <m:sSupPr>
            <m:ctrlPr>
              <w:rPr>
                <w:rFonts w:ascii="Cambria Math" w:hAnsi="Cambria Math"/>
                <w:i/>
              </w:rPr>
            </m:ctrlPr>
          </m:sSupPr>
          <m:e>
            <m:r>
              <w:rPr>
                <w:rFonts w:ascii="Cambria Math" w:hAnsi="Cambria Math"/>
              </w:rPr>
              <m:t>H</m:t>
            </m:r>
          </m:e>
          <m:sup>
            <m:r>
              <w:rPr>
                <w:rFonts w:ascii="Cambria Math" w:hAnsi="Cambria Math"/>
              </w:rPr>
              <m:t>*</m:t>
            </m:r>
          </m:sup>
        </m:sSup>
      </m:oMath>
      <w:r w:rsidRPr="00AC13E7">
        <w:t xml:space="preserve"> has clusters at each location in the union of the cluster locations from the set of clusterings, and these clusters have their proportions set so that </w:t>
      </w:r>
    </w:p>
    <w:p w14:paraId="30E3836D" w14:textId="77777777" w:rsidR="00273821" w:rsidRPr="00AC13E7" w:rsidRDefault="0036299C" w:rsidP="00273821">
      <w:pPr>
        <w:jc w:val="both"/>
      </w:pPr>
      <m:oMathPara>
        <m:oMath>
          <m:sSub>
            <m:sSubPr>
              <m:ctrlPr>
                <w:rPr>
                  <w:rFonts w:ascii="Cambria Math" w:hAnsi="Cambria Math"/>
                  <w:i/>
                </w:rPr>
              </m:ctrlPr>
            </m:sSubPr>
            <m:e>
              <m:r>
                <w:rPr>
                  <w:rFonts w:ascii="Cambria Math" w:hAnsi="Cambria Math"/>
                </w:rPr>
                <m:t>F</m:t>
              </m:r>
            </m:e>
            <m:sub>
              <m:sSup>
                <m:sSupPr>
                  <m:ctrlPr>
                    <w:rPr>
                      <w:rFonts w:ascii="Cambria Math" w:hAnsi="Cambria Math"/>
                      <w:i/>
                    </w:rPr>
                  </m:ctrlPr>
                </m:sSupPr>
                <m:e>
                  <m:r>
                    <w:rPr>
                      <w:rFonts w:ascii="Cambria Math" w:hAnsi="Cambria Math"/>
                    </w:rPr>
                    <m:t>H</m:t>
                  </m:r>
                </m:e>
                <m:sup>
                  <m:r>
                    <w:rPr>
                      <w:rFonts w:ascii="Cambria Math" w:hAnsi="Cambria Math"/>
                    </w:rPr>
                    <m:t>*</m:t>
                  </m:r>
                </m:sup>
              </m:sSup>
            </m:sub>
          </m:sSub>
          <m:d>
            <m:dPr>
              <m:ctrlPr>
                <w:rPr>
                  <w:rFonts w:ascii="Cambria Math" w:hAnsi="Cambria Math"/>
                  <w:i/>
                </w:rPr>
              </m:ctrlPr>
            </m:dPr>
            <m:e>
              <m:r>
                <w:rPr>
                  <w:rFonts w:ascii="Cambria Math" w:hAnsi="Cambria Math"/>
                </w:rPr>
                <m:t>x</m:t>
              </m:r>
            </m:e>
          </m:d>
          <m:r>
            <w:rPr>
              <w:rFonts w:ascii="Cambria Math" w:hAnsi="Cambria Math"/>
            </w:rPr>
            <m:t>=median</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h</m:t>
                  </m:r>
                </m:sub>
              </m:sSub>
            </m:e>
          </m:d>
          <m:r>
            <w:rPr>
              <w:rFonts w:ascii="Cambria Math" w:hAnsi="Cambria Math"/>
            </w:rPr>
            <m:t xml:space="preserve">, </m:t>
          </m:r>
          <m:r>
            <m:rPr>
              <m:sty m:val="p"/>
            </m:rPr>
            <w:rPr>
              <w:rFonts w:ascii="Cambria Math" w:hAnsi="Cambria Math"/>
            </w:rPr>
            <m:t>for</m:t>
          </m:r>
          <m:r>
            <w:rPr>
              <w:rFonts w:ascii="Cambria Math" w:hAnsi="Cambria Math"/>
            </w:rPr>
            <m:t xml:space="preserve"> h=</m:t>
          </m:r>
          <m:r>
            <w:rPr>
              <w:rFonts w:ascii="Cambria Math" w:hAnsi="Cambria Math"/>
            </w:rPr>
            <m:t xml:space="preserve">1,…,H </m:t>
          </m:r>
        </m:oMath>
      </m:oMathPara>
    </w:p>
    <w:p w14:paraId="2335C311" w14:textId="77777777" w:rsidR="00273821" w:rsidRPr="00AC13E7" w:rsidRDefault="00273821" w:rsidP="00273821">
      <w:pPr>
        <w:jc w:val="both"/>
        <w:rPr>
          <w:b/>
          <w:bCs/>
        </w:rPr>
      </w:pPr>
      <w:r w:rsidRPr="00AC13E7">
        <w:rPr>
          <w:b/>
          <w:bCs/>
        </w:rPr>
        <w:t xml:space="preserve">    </w:t>
      </w:r>
    </w:p>
    <w:p w14:paraId="60892E2D" w14:textId="77777777" w:rsidR="00273821" w:rsidRPr="00AC13E7" w:rsidRDefault="00273821" w:rsidP="00273821">
      <w:pPr>
        <w:jc w:val="both"/>
      </w:pPr>
      <w:r w:rsidRPr="00AC13E7">
        <w:rPr>
          <w:b/>
          <w:bCs/>
        </w:rPr>
        <w:fldChar w:fldCharType="begin"/>
      </w:r>
      <w:r w:rsidRPr="00AC13E7">
        <w:instrText xml:space="preserve"> REF _Ref380789689 \h </w:instrText>
      </w:r>
      <w:r w:rsidRPr="00AC13E7">
        <w:rPr>
          <w:b/>
          <w:bCs/>
        </w:rPr>
      </w:r>
      <w:r w:rsidRPr="00AC13E7">
        <w:rPr>
          <w:b/>
          <w:bCs/>
        </w:rPr>
        <w:fldChar w:fldCharType="separate"/>
      </w:r>
      <w:r w:rsidR="00673FBD" w:rsidRPr="00AC13E7">
        <w:t xml:space="preserve">Fig. </w:t>
      </w:r>
      <w:r w:rsidR="00673FBD">
        <w:rPr>
          <w:noProof/>
        </w:rPr>
        <w:t>27</w:t>
      </w:r>
      <w:r w:rsidRPr="00AC13E7">
        <w:rPr>
          <w:b/>
          <w:bCs/>
        </w:rPr>
        <w:fldChar w:fldCharType="end"/>
      </w:r>
      <w:r w:rsidRPr="00AC13E7">
        <w:rPr>
          <w:b/>
          <w:bCs/>
        </w:rPr>
        <w:t xml:space="preserve"> </w:t>
      </w:r>
      <w:r w:rsidRPr="00AC13E7">
        <w:rPr>
          <w:bCs/>
        </w:rPr>
        <w:t>(bottom left)</w:t>
      </w:r>
      <w:r w:rsidRPr="00AC13E7">
        <w:rPr>
          <w:b/>
          <w:bCs/>
        </w:rPr>
        <w:t xml:space="preserve"> </w:t>
      </w:r>
      <w:r w:rsidRPr="00AC13E7">
        <w:t xml:space="preserve">displays a visual proof of this for </w:t>
      </w:r>
      <m:oMath>
        <m:r>
          <w:rPr>
            <w:rFonts w:ascii="Cambria Math" w:hAnsi="Cambria Math"/>
          </w:rPr>
          <m:t>H=3</m:t>
        </m:r>
      </m:oMath>
      <w:r w:rsidRPr="00AC13E7">
        <w:t xml:space="preserve">. Because </w:t>
      </w:r>
      <m:oMath>
        <m:sSup>
          <m:sSupPr>
            <m:ctrlPr>
              <w:rPr>
                <w:rFonts w:ascii="Cambria Math" w:hAnsi="Cambria Math"/>
                <w:i/>
              </w:rPr>
            </m:ctrlPr>
          </m:sSupPr>
          <m:e>
            <m:r>
              <w:rPr>
                <w:rFonts w:ascii="Cambria Math" w:hAnsi="Cambria Math"/>
              </w:rPr>
              <m:t>H</m:t>
            </m:r>
          </m:e>
          <m:sup>
            <m:r>
              <w:rPr>
                <w:rFonts w:ascii="Cambria Math" w:hAnsi="Cambria Math"/>
              </w:rPr>
              <m:t>*</m:t>
            </m:r>
          </m:sup>
        </m:sSup>
      </m:oMath>
      <w:r w:rsidRPr="00AC13E7">
        <w:t xml:space="preserve"> is defined using the median of the CDFs for the other clusterings, we use the term </w:t>
      </w:r>
      <w:r w:rsidRPr="00AC13E7">
        <w:rPr>
          <w:i/>
          <w:iCs/>
        </w:rPr>
        <w:t>median clustering</w:t>
      </w:r>
      <w:r w:rsidRPr="00AC13E7">
        <w:t xml:space="preserve"> to refer to the unconstrained consensus clustering </w:t>
      </w:r>
      <m:oMath>
        <m:sSup>
          <m:sSupPr>
            <m:ctrlPr>
              <w:rPr>
                <w:rFonts w:ascii="Cambria Math" w:hAnsi="Cambria Math"/>
                <w:i/>
              </w:rPr>
            </m:ctrlPr>
          </m:sSupPr>
          <m:e>
            <m:r>
              <w:rPr>
                <w:rFonts w:ascii="Cambria Math" w:hAnsi="Cambria Math"/>
              </w:rPr>
              <m:t>H</m:t>
            </m:r>
          </m:e>
          <m:sup>
            <m:r>
              <w:rPr>
                <w:rFonts w:ascii="Cambria Math" w:hAnsi="Cambria Math"/>
              </w:rPr>
              <m:t>*</m:t>
            </m:r>
          </m:sup>
        </m:sSup>
      </m:oMath>
      <w:r w:rsidRPr="00AC13E7">
        <w:t xml:space="preserve">. However, that the median clustering can have many more cluster locations than a typical clustering in the set. We would prefer a consensus clustering that also has a number of clusters that is typical for the set of clusterings. As such, we define the </w:t>
      </w:r>
      <m:oMath>
        <m:r>
          <w:rPr>
            <w:rFonts w:ascii="Cambria Math" w:hAnsi="Cambria Math"/>
          </w:rPr>
          <m:t>K</m:t>
        </m:r>
      </m:oMath>
      <w:r w:rsidRPr="00AC13E7">
        <w:rPr>
          <w:i/>
          <w:iCs/>
        </w:rPr>
        <w:t xml:space="preserve">-constrained median </w:t>
      </w:r>
      <w:r w:rsidRPr="00AC13E7">
        <w:t xml:space="preserve">clustering as the clustering </w:t>
      </w:r>
      <m:oMath>
        <m:sSup>
          <m:sSupPr>
            <m:ctrlPr>
              <w:rPr>
                <w:rFonts w:ascii="Cambria Math" w:hAnsi="Cambria Math"/>
                <w:i/>
              </w:rPr>
            </m:ctrlPr>
          </m:sSupPr>
          <m:e>
            <m:r>
              <w:rPr>
                <w:rFonts w:ascii="Cambria Math" w:hAnsi="Cambria Math"/>
              </w:rPr>
              <m:t>H</m:t>
            </m:r>
          </m:e>
          <m:sup>
            <m:r>
              <w:rPr>
                <w:rFonts w:ascii="Cambria Math" w:hAnsi="Cambria Math"/>
              </w:rPr>
              <m:t>W</m:t>
            </m:r>
          </m:sup>
        </m:sSup>
      </m:oMath>
      <w:r w:rsidRPr="00AC13E7">
        <w:t xml:space="preserve">, </w:t>
      </w:r>
      <m:oMath>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W</m:t>
            </m:r>
          </m:sup>
        </m:sSubSup>
        <m:r>
          <w:rPr>
            <w:rFonts w:ascii="Cambria Math" w:hAnsi="Cambria Math"/>
          </w:rPr>
          <m:t>,</m:t>
        </m:r>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W</m:t>
            </m:r>
          </m:sup>
        </m:sSubSup>
        <m:r>
          <w:rPr>
            <w:rFonts w:ascii="Cambria Math" w:hAnsi="Cambria Math"/>
          </w:rPr>
          <m:t>}</m:t>
        </m:r>
      </m:oMath>
      <w:r w:rsidRPr="00AC13E7">
        <w:t xml:space="preserve">, with no more than </w:t>
      </w:r>
      <m:oMath>
        <m:r>
          <w:rPr>
            <w:rFonts w:ascii="Cambria Math" w:hAnsi="Cambria Math"/>
          </w:rPr>
          <m:t>K</m:t>
        </m:r>
      </m:oMath>
      <w:r w:rsidRPr="00AC13E7">
        <w:t xml:space="preserve"> cluster locations that minimizes </w:t>
      </w:r>
      <m:oMath>
        <m:r>
          <w:rPr>
            <w:rFonts w:ascii="Cambria Math" w:hAnsi="Cambria Math"/>
          </w:rPr>
          <m:t>EMD(</m:t>
        </m:r>
        <m:sSup>
          <m:sSupPr>
            <m:ctrlPr>
              <w:rPr>
                <w:rFonts w:ascii="Cambria Math" w:hAnsi="Cambria Math"/>
                <w:i/>
              </w:rPr>
            </m:ctrlPr>
          </m:sSupPr>
          <m:e>
            <m:r>
              <w:rPr>
                <w:rFonts w:ascii="Cambria Math" w:hAnsi="Cambria Math"/>
              </w:rPr>
              <m:t>H</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W</m:t>
            </m:r>
          </m:sup>
        </m:sSup>
        <m:r>
          <w:rPr>
            <w:rFonts w:ascii="Cambria Math" w:hAnsi="Cambria Math"/>
          </w:rPr>
          <m:t>)</m:t>
        </m:r>
      </m:oMath>
      <w:r w:rsidRPr="00AC13E7">
        <w:t xml:space="preserve">. Note that, in general, </w:t>
      </w:r>
      <m:oMath>
        <m:sSup>
          <m:sSupPr>
            <m:ctrlPr>
              <w:rPr>
                <w:rFonts w:ascii="Cambria Math" w:hAnsi="Cambria Math"/>
                <w:i/>
              </w:rPr>
            </m:ctrlPr>
          </m:sSupPr>
          <m:e>
            <m:r>
              <w:rPr>
                <w:rFonts w:ascii="Cambria Math" w:hAnsi="Cambria Math"/>
              </w:rPr>
              <m:t>H</m:t>
            </m:r>
          </m:e>
          <m:sup>
            <m:r>
              <w:rPr>
                <w:rFonts w:ascii="Cambria Math" w:hAnsi="Cambria Math"/>
              </w:rPr>
              <m:t>W</m:t>
            </m:r>
          </m:sup>
        </m:sSup>
      </m:oMath>
      <w:r w:rsidRPr="00AC13E7">
        <w:t xml:space="preserve"> need not have cluster locations corresponding to any of those in the median clustering </w:t>
      </w:r>
      <m:oMath>
        <m:sSup>
          <m:sSupPr>
            <m:ctrlPr>
              <w:rPr>
                <w:rFonts w:ascii="Cambria Math" w:hAnsi="Cambria Math"/>
                <w:i/>
              </w:rPr>
            </m:ctrlPr>
          </m:sSupPr>
          <m:e>
            <m:r>
              <w:rPr>
                <w:rFonts w:ascii="Cambria Math" w:hAnsi="Cambria Math"/>
              </w:rPr>
              <m:t>H</m:t>
            </m:r>
          </m:e>
          <m:sup>
            <m:r>
              <w:rPr>
                <w:rFonts w:ascii="Cambria Math" w:hAnsi="Cambria Math"/>
              </w:rPr>
              <m:t>*</m:t>
            </m:r>
          </m:sup>
        </m:sSup>
      </m:oMath>
      <w:r w:rsidRPr="00AC13E7">
        <w:t xml:space="preserve">. We will describe how to select </w:t>
      </w:r>
      <m:oMath>
        <m:r>
          <w:rPr>
            <w:rFonts w:ascii="Cambria Math" w:hAnsi="Cambria Math"/>
          </w:rPr>
          <m:t>K</m:t>
        </m:r>
      </m:oMath>
      <w:r w:rsidRPr="00AC13E7">
        <w:t xml:space="preserve"> later, and for now, assume </w:t>
      </w:r>
      <m:oMath>
        <m:r>
          <w:rPr>
            <w:rFonts w:ascii="Cambria Math" w:hAnsi="Cambria Math"/>
          </w:rPr>
          <m:t>K</m:t>
        </m:r>
      </m:oMath>
      <w:r w:rsidRPr="00AC13E7">
        <w:t xml:space="preserve"> is known.</w:t>
      </w:r>
    </w:p>
    <w:p w14:paraId="09BD6DBC" w14:textId="77777777" w:rsidR="00273821" w:rsidRPr="00AC13E7" w:rsidRDefault="00273821" w:rsidP="00273821">
      <w:pPr>
        <w:jc w:val="both"/>
      </w:pPr>
      <w:r w:rsidRPr="00AC13E7">
        <w:t xml:space="preserve">    </w:t>
      </w:r>
    </w:p>
    <w:p w14:paraId="432782AA" w14:textId="77777777" w:rsidR="00273821" w:rsidRPr="00AC13E7" w:rsidRDefault="00273821" w:rsidP="00273821">
      <w:pPr>
        <w:jc w:val="both"/>
      </w:pPr>
      <w:r w:rsidRPr="00AC13E7">
        <w:t xml:space="preserve">To find the </w:t>
      </w:r>
      <m:oMath>
        <m:r>
          <w:rPr>
            <w:rFonts w:ascii="Cambria Math" w:hAnsi="Cambria Math"/>
          </w:rPr>
          <m:t>K</m:t>
        </m:r>
      </m:oMath>
      <w:r w:rsidRPr="00AC13E7">
        <w:t xml:space="preserve">-constrained median clustering </w:t>
      </w:r>
      <m:oMath>
        <m:sSup>
          <m:sSupPr>
            <m:ctrlPr>
              <w:rPr>
                <w:rFonts w:ascii="Cambria Math" w:hAnsi="Cambria Math"/>
                <w:i/>
              </w:rPr>
            </m:ctrlPr>
          </m:sSupPr>
          <m:e>
            <m:r>
              <w:rPr>
                <w:rFonts w:ascii="Cambria Math" w:hAnsi="Cambria Math"/>
              </w:rPr>
              <m:t>H</m:t>
            </m:r>
          </m:e>
          <m:sup>
            <m:r>
              <w:rPr>
                <w:rFonts w:ascii="Cambria Math" w:hAnsi="Cambria Math"/>
              </w:rPr>
              <m:t>W</m:t>
            </m:r>
          </m:sup>
        </m:sSup>
      </m:oMath>
      <w:r w:rsidRPr="00AC13E7">
        <w:t xml:space="preserve">, we first compute the median clustering, </w:t>
      </w:r>
      <m:oMath>
        <m:sSup>
          <m:sSupPr>
            <m:ctrlPr>
              <w:rPr>
                <w:rFonts w:ascii="Cambria Math" w:hAnsi="Cambria Math"/>
                <w:i/>
              </w:rPr>
            </m:ctrlPr>
          </m:sSupPr>
          <m:e>
            <m:r>
              <w:rPr>
                <w:rFonts w:ascii="Cambria Math" w:hAnsi="Cambria Math"/>
              </w:rPr>
              <m:t>H</m:t>
            </m:r>
          </m:e>
          <m:sup>
            <m:r>
              <w:rPr>
                <w:rFonts w:ascii="Cambria Math" w:hAnsi="Cambria Math"/>
              </w:rPr>
              <m:t>*</m:t>
            </m:r>
          </m:sup>
        </m:sSup>
      </m:oMath>
      <w:r w:rsidRPr="00AC13E7">
        <w:t xml:space="preserve">. Then we perform a grid search over possible settings of a vector </w:t>
      </w:r>
      <m:oMath>
        <m:r>
          <m:rPr>
            <m:sty m:val="bi"/>
          </m:rPr>
          <w:rPr>
            <w:rFonts w:ascii="Cambria Math" w:hAnsi="Cambria Math"/>
          </w:rPr>
          <m:t>p</m:t>
        </m:r>
      </m:oMath>
      <w:r w:rsidRPr="00AC13E7">
        <w:t xml:space="preserve"> of length </w:t>
      </w:r>
      <m:oMath>
        <m:r>
          <w:rPr>
            <w:rFonts w:ascii="Cambria Math" w:hAnsi="Cambria Math"/>
          </w:rPr>
          <m:t>K</m:t>
        </m:r>
      </m:oMath>
      <w:r w:rsidRPr="00AC13E7">
        <w:t xml:space="preserve"> whose elements represent the proportions of objects assigned to each of the </w:t>
      </w:r>
      <m:oMath>
        <m:r>
          <w:rPr>
            <w:rFonts w:ascii="Cambria Math" w:hAnsi="Cambria Math"/>
          </w:rPr>
          <m:t>K</m:t>
        </m:r>
      </m:oMath>
      <w:r w:rsidRPr="00AC13E7">
        <w:t xml:space="preserve"> clusters. On the CDF,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rsidRPr="00AC13E7">
        <w:t xml:space="preserve"> is the jump at the </w:t>
      </w:r>
      <m:oMath>
        <m:r>
          <w:rPr>
            <w:rFonts w:ascii="Cambria Math" w:hAnsi="Cambria Math"/>
          </w:rPr>
          <m:t>k</m:t>
        </m:r>
      </m:oMath>
      <w:r w:rsidRPr="00AC13E7">
        <w:t xml:space="preserve">-th discontinuity. Given </w:t>
      </w:r>
      <m:oMath>
        <m:r>
          <m:rPr>
            <m:sty m:val="bi"/>
          </m:rPr>
          <w:rPr>
            <w:rFonts w:ascii="Cambria Math" w:hAnsi="Cambria Math"/>
          </w:rPr>
          <m:t>p</m:t>
        </m:r>
      </m:oMath>
      <w:r w:rsidRPr="00AC13E7">
        <w:t xml:space="preserve">, we then set the corresponding cluster locations, </w:t>
      </w:r>
      <m:oMath>
        <m:r>
          <m:rPr>
            <m:sty m:val="bi"/>
          </m:rPr>
          <w:rPr>
            <w:rFonts w:ascii="Cambria Math" w:hAnsi="Cambria Math"/>
          </w:rPr>
          <m:t>f</m:t>
        </m:r>
      </m:oMath>
      <w:r w:rsidRPr="00AC13E7">
        <w:t xml:space="preserve">, to minimize </w:t>
      </w:r>
      <m:oMath>
        <m:r>
          <w:rPr>
            <w:rFonts w:ascii="Cambria Math" w:hAnsi="Cambria Math"/>
          </w:rPr>
          <m:t>EMD</m:t>
        </m:r>
        <m:d>
          <m:dPr>
            <m:ctrlPr>
              <w:rPr>
                <w:rFonts w:ascii="Cambria Math" w:hAnsi="Cambria Math"/>
                <w:i/>
              </w:rPr>
            </m:ctrlPr>
          </m:dPr>
          <m:e>
            <m:sSup>
              <m:sSupPr>
                <m:ctrlPr>
                  <w:rPr>
                    <w:rFonts w:ascii="Cambria Math" w:hAnsi="Cambria Math"/>
                    <w:i/>
                  </w:rPr>
                </m:ctrlPr>
              </m:sSupPr>
              <m:e>
                <m:r>
                  <w:rPr>
                    <w:rFonts w:ascii="Cambria Math" w:hAnsi="Cambria Math"/>
                  </w:rPr>
                  <m:t>H</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W</m:t>
                </m:r>
              </m:sup>
            </m:sSup>
          </m:e>
        </m:d>
      </m:oMath>
      <w:r w:rsidRPr="00AC13E7">
        <w:t xml:space="preserve">. We can minimize this by taking the weighted median of the cluster locations of </w:t>
      </w:r>
      <m:oMath>
        <m:sSub>
          <m:sSubPr>
            <m:ctrlPr>
              <w:rPr>
                <w:rFonts w:ascii="Cambria Math" w:hAnsi="Cambria Math"/>
                <w:i/>
              </w:rPr>
            </m:ctrlPr>
          </m:sSubPr>
          <m:e>
            <m:r>
              <w:rPr>
                <w:rFonts w:ascii="Cambria Math" w:hAnsi="Cambria Math"/>
              </w:rPr>
              <m:t>F</m:t>
            </m:r>
          </m:e>
          <m:sub>
            <m:sSup>
              <m:sSupPr>
                <m:ctrlPr>
                  <w:rPr>
                    <w:rFonts w:ascii="Cambria Math" w:hAnsi="Cambria Math"/>
                    <w:i/>
                  </w:rPr>
                </m:ctrlPr>
              </m:sSupPr>
              <m:e>
                <m:r>
                  <w:rPr>
                    <w:rFonts w:ascii="Cambria Math" w:hAnsi="Cambria Math"/>
                  </w:rPr>
                  <m:t>H</m:t>
                </m:r>
              </m:e>
              <m:sup>
                <m:r>
                  <w:rPr>
                    <w:rFonts w:ascii="Cambria Math" w:hAnsi="Cambria Math"/>
                  </w:rPr>
                  <m:t>*</m:t>
                </m:r>
              </m:sup>
            </m:sSup>
          </m:sub>
        </m:sSub>
        <m:r>
          <w:rPr>
            <w:rFonts w:ascii="Cambria Math" w:hAnsi="Cambria Math"/>
          </w:rPr>
          <m:t>(x)</m:t>
        </m:r>
      </m:oMath>
      <w:r w:rsidRPr="00AC13E7">
        <w:t xml:space="preserve"> within the </w:t>
      </w:r>
      <m:oMath>
        <m:r>
          <w:rPr>
            <w:rFonts w:ascii="Cambria Math" w:hAnsi="Cambria Math"/>
          </w:rPr>
          <m:t>y</m:t>
        </m:r>
      </m:oMath>
      <w:r w:rsidRPr="00AC13E7">
        <w:t>-range of the step (</w:t>
      </w:r>
      <w:r w:rsidRPr="00AC13E7">
        <w:rPr>
          <w:b/>
          <w:bCs/>
        </w:rPr>
        <w:fldChar w:fldCharType="begin"/>
      </w:r>
      <w:r w:rsidRPr="00AC13E7">
        <w:instrText xml:space="preserve"> REF _Ref380789689 \h </w:instrText>
      </w:r>
      <w:r w:rsidRPr="00AC13E7">
        <w:rPr>
          <w:b/>
          <w:bCs/>
        </w:rPr>
      </w:r>
      <w:r w:rsidRPr="00AC13E7">
        <w:rPr>
          <w:b/>
          <w:bCs/>
        </w:rPr>
        <w:fldChar w:fldCharType="separate"/>
      </w:r>
      <w:r w:rsidR="00673FBD" w:rsidRPr="00AC13E7">
        <w:t xml:space="preserve">Fig. </w:t>
      </w:r>
      <w:r w:rsidR="00673FBD">
        <w:rPr>
          <w:noProof/>
        </w:rPr>
        <w:t>27</w:t>
      </w:r>
      <w:r w:rsidRPr="00AC13E7">
        <w:rPr>
          <w:b/>
          <w:bCs/>
        </w:rPr>
        <w:fldChar w:fldCharType="end"/>
      </w:r>
      <w:r w:rsidRPr="00AC13E7">
        <w:rPr>
          <w:b/>
          <w:bCs/>
        </w:rPr>
        <w:t xml:space="preserve"> –</w:t>
      </w:r>
      <w:r w:rsidRPr="00AC13E7">
        <w:rPr>
          <w:bCs/>
        </w:rPr>
        <w:t xml:space="preserve"> bottom right</w:t>
      </w:r>
      <w:r w:rsidRPr="00AC13E7">
        <w:t xml:space="preserve">). We then set the </w:t>
      </w:r>
      <m:oMath>
        <m:r>
          <w:rPr>
            <w:rFonts w:ascii="Cambria Math" w:hAnsi="Cambria Math"/>
          </w:rPr>
          <m:t>K</m:t>
        </m:r>
      </m:oMath>
      <w:r w:rsidRPr="00AC13E7">
        <w:t xml:space="preserve">-constrained median clustering to be the one that minimizes this minimal EMD over all settings of </w:t>
      </w:r>
      <m:oMath>
        <m:r>
          <m:rPr>
            <m:sty m:val="bi"/>
          </m:rPr>
          <w:rPr>
            <w:rFonts w:ascii="Cambria Math" w:hAnsi="Cambria Math"/>
          </w:rPr>
          <m:t>p</m:t>
        </m:r>
      </m:oMath>
      <w:r w:rsidRPr="00AC13E7">
        <w:t>.</w:t>
      </w:r>
    </w:p>
    <w:p w14:paraId="5DCC8487" w14:textId="77777777" w:rsidR="00273821" w:rsidRPr="00AC13E7" w:rsidRDefault="00273821" w:rsidP="00273821">
      <w:pPr>
        <w:jc w:val="both"/>
      </w:pPr>
      <w:r w:rsidRPr="00AC13E7">
        <w:t xml:space="preserve">    </w:t>
      </w:r>
    </w:p>
    <w:p w14:paraId="0A0527E8" w14:textId="77777777" w:rsidR="00273821" w:rsidRPr="00AC13E7" w:rsidRDefault="00273821" w:rsidP="00273821">
      <w:pPr>
        <w:jc w:val="both"/>
      </w:pPr>
      <w:r w:rsidRPr="00AC13E7">
        <w:t xml:space="preserve">To define a robust WeMe consensus, we remove outlier clusterings, and compute the </w:t>
      </w:r>
      <m:oMath>
        <m:r>
          <w:rPr>
            <w:rFonts w:ascii="Cambria Math" w:hAnsi="Cambria Math"/>
          </w:rPr>
          <m:t>K</m:t>
        </m:r>
      </m:oMath>
      <w:r w:rsidRPr="00AC13E7">
        <w:t xml:space="preserve">-constrained median clustering only on the remaining, </w:t>
      </w:r>
      <w:r w:rsidRPr="00AC13E7">
        <w:rPr>
          <w:i/>
          <w:iCs/>
        </w:rPr>
        <w:t>inlier</w:t>
      </w:r>
      <w:r w:rsidRPr="00AC13E7">
        <w:t xml:space="preserve"> clusterings. To identify the outliers, we do the following:</w:t>
      </w:r>
    </w:p>
    <w:p w14:paraId="02D8A23D" w14:textId="77777777" w:rsidR="00273821" w:rsidRPr="00AC13E7" w:rsidRDefault="00273821" w:rsidP="00273821">
      <w:pPr>
        <w:jc w:val="both"/>
      </w:pPr>
      <w:r w:rsidRPr="00AC13E7">
        <w:t>We compute the median clustering of all of the methods</w:t>
      </w:r>
    </w:p>
    <w:p w14:paraId="4BD49F0E" w14:textId="77777777" w:rsidR="00273821" w:rsidRPr="00AC13E7" w:rsidRDefault="00273821" w:rsidP="00273821">
      <w:pPr>
        <w:jc w:val="both"/>
      </w:pPr>
      <w:r w:rsidRPr="00AC13E7">
        <w:t xml:space="preserve">We remove the reconstructions with the highest </w:t>
      </w:r>
      <m:oMath>
        <m:r>
          <w:rPr>
            <w:rFonts w:ascii="Cambria Math" w:hAnsi="Cambria Math"/>
          </w:rPr>
          <m:t>r%</m:t>
        </m:r>
      </m:oMath>
      <w:r w:rsidRPr="00AC13E7">
        <w:t xml:space="preserve"> of EMDs to the median clustering (rounded down)</w:t>
      </w:r>
    </w:p>
    <w:p w14:paraId="36E6ABF6" w14:textId="77777777" w:rsidR="00273821" w:rsidRPr="00AC13E7" w:rsidRDefault="00273821" w:rsidP="00273821">
      <w:pPr>
        <w:jc w:val="both"/>
      </w:pPr>
      <w:r w:rsidRPr="00AC13E7">
        <w:t xml:space="preserve">    </w:t>
      </w:r>
    </w:p>
    <w:p w14:paraId="4A5FDEF9" w14:textId="77777777" w:rsidR="00273821" w:rsidRPr="00AC13E7" w:rsidRDefault="00273821" w:rsidP="00273821">
      <w:pPr>
        <w:jc w:val="both"/>
      </w:pPr>
      <w:r w:rsidRPr="00AC13E7">
        <w:t xml:space="preserve">Then WeMe recomputes the median clustering using only the remaining clusterings, and computes the </w:t>
      </w:r>
      <m:oMath>
        <m:r>
          <w:rPr>
            <w:rFonts w:ascii="Cambria Math" w:hAnsi="Cambria Math"/>
          </w:rPr>
          <m:t>K</m:t>
        </m:r>
      </m:oMath>
      <w:r w:rsidRPr="00AC13E7">
        <w:t xml:space="preserve">-median clustering based on the new median clustering, setting </w:t>
      </w:r>
      <m:oMath>
        <m:r>
          <w:rPr>
            <w:rFonts w:ascii="Cambria Math" w:hAnsi="Cambria Math"/>
          </w:rPr>
          <m:t>K</m:t>
        </m:r>
      </m:oMath>
      <w:r w:rsidRPr="00AC13E7">
        <w:t xml:space="preserve"> to be the ceiling of the median of the remaining clusterings.</w:t>
      </w:r>
    </w:p>
    <w:p w14:paraId="5AF9D1CB" w14:textId="77777777" w:rsidR="00273821" w:rsidRPr="00AC13E7" w:rsidRDefault="00273821" w:rsidP="00273821">
      <w:pPr>
        <w:jc w:val="both"/>
        <w:rPr>
          <w:rFonts w:asciiTheme="minorBidi" w:eastAsia="Arial" w:hAnsiTheme="minorBidi" w:cstheme="minorBidi"/>
        </w:rPr>
      </w:pPr>
    </w:p>
    <w:p w14:paraId="3CF242B2" w14:textId="77777777" w:rsidR="00273821" w:rsidRPr="00AC13E7" w:rsidRDefault="00273821" w:rsidP="00273821"/>
    <w:p w14:paraId="34F57A5C" w14:textId="77777777" w:rsidR="00273821" w:rsidRPr="00AC13E7" w:rsidRDefault="00273821" w:rsidP="00273821">
      <w:pPr>
        <w:keepNext/>
      </w:pPr>
      <w:r w:rsidRPr="00AC13E7">
        <w:rPr>
          <w:b/>
          <w:noProof/>
          <w:lang w:eastAsia="en-GB"/>
        </w:rPr>
        <w:drawing>
          <wp:inline distT="0" distB="0" distL="0" distR="0" wp14:anchorId="3D26C420" wp14:editId="133ED57F">
            <wp:extent cx="5264785" cy="4822190"/>
            <wp:effectExtent l="0" t="0" r="0" b="3810"/>
            <wp:docPr id="10" name="Picture 10" descr="Macintosh HD:Users:tarabim:Desktop:WeMe_expla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rabim:Desktop:WeMe_explanation.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64785" cy="4822190"/>
                    </a:xfrm>
                    <a:prstGeom prst="rect">
                      <a:avLst/>
                    </a:prstGeom>
                    <a:noFill/>
                    <a:ln>
                      <a:noFill/>
                    </a:ln>
                  </pic:spPr>
                </pic:pic>
              </a:graphicData>
            </a:graphic>
          </wp:inline>
        </w:drawing>
      </w:r>
    </w:p>
    <w:p w14:paraId="4863F124" w14:textId="77777777" w:rsidR="00273821" w:rsidRPr="00AC13E7" w:rsidRDefault="00273821" w:rsidP="004916C9">
      <w:pPr>
        <w:pStyle w:val="Caption"/>
      </w:pPr>
      <w:bookmarkStart w:id="177" w:name="_Ref380789689"/>
      <w:bookmarkStart w:id="178" w:name="_Toc384459598"/>
      <w:r w:rsidRPr="00AC13E7">
        <w:t xml:space="preserve">Fig. </w:t>
      </w:r>
      <w:r w:rsidR="001003E9">
        <w:fldChar w:fldCharType="begin"/>
      </w:r>
      <w:r w:rsidR="001003E9">
        <w:instrText xml:space="preserve"> SEQ Fig. \* ARABIC </w:instrText>
      </w:r>
      <w:r w:rsidR="001003E9">
        <w:fldChar w:fldCharType="separate"/>
      </w:r>
      <w:r w:rsidR="00673FBD">
        <w:rPr>
          <w:noProof/>
        </w:rPr>
        <w:t>27</w:t>
      </w:r>
      <w:r w:rsidR="001003E9">
        <w:rPr>
          <w:noProof/>
        </w:rPr>
        <w:fldChar w:fldCharType="end"/>
      </w:r>
      <w:bookmarkEnd w:id="177"/>
      <w:r w:rsidRPr="00AC13E7">
        <w:t xml:space="preserve"> </w:t>
      </w:r>
      <w:r w:rsidRPr="00AC13E7">
        <w:rPr>
          <w:b/>
        </w:rPr>
        <w:t>Illustration of the WeMe algorithm</w:t>
      </w:r>
      <w:r w:rsidRPr="00AC13E7">
        <w:t>. (Top left) CDF representation of a 1-d “clustering”. Stars indicate the cellular prevalence of the cluster centres; height of the CDF jumps corresponds to the proportion of mutations assigned to that cluster. (Top right) Two CDFs (orange and purple lines) indicate different clusterings of the same sample. Total area of grey region is equal to the Earth Mover Distance (EMD), also known as Wasserstein distance, between the two clusterings. (Bottom left) Three solid lines (orange, blue, purple) are CDFs for three different clusterings. The median clustering (dashed grey line) corresponds to the CDF made by taking the median in the x-axis direction of the three CDFs for each y-value. Note that the median clustering has four cluster centres. (Bottom right) The weighted median clustering corresponds to the CDF (red line) with the desired number of centres (i.e., jumps) that minimizes the EMD to the CDF for the median clustering (dashed grey line).</w:t>
      </w:r>
      <w:bookmarkEnd w:id="178"/>
    </w:p>
    <w:p w14:paraId="0F60E77D" w14:textId="77777777" w:rsidR="00785282" w:rsidRPr="00AC13E7" w:rsidRDefault="00785282">
      <w:pPr>
        <w:rPr>
          <w:b/>
        </w:rPr>
      </w:pPr>
      <w:r w:rsidRPr="00AC13E7">
        <w:rPr>
          <w:b/>
        </w:rPr>
        <w:br w:type="page"/>
      </w:r>
    </w:p>
    <w:p w14:paraId="57C6E473" w14:textId="53C80B19" w:rsidR="00785282" w:rsidRPr="00AC13E7" w:rsidRDefault="00785282" w:rsidP="00785282">
      <w:pPr>
        <w:rPr>
          <w:b/>
        </w:rPr>
      </w:pPr>
      <w:r w:rsidRPr="00AC13E7">
        <w:rPr>
          <w:b/>
        </w:rPr>
        <w:lastRenderedPageBreak/>
        <w:t xml:space="preserve">2.2.1.4 </w:t>
      </w:r>
      <w:r w:rsidR="009B7930" w:rsidRPr="00AC13E7">
        <w:rPr>
          <w:b/>
        </w:rPr>
        <w:t>Three r</w:t>
      </w:r>
      <w:r w:rsidR="000C7EF5" w:rsidRPr="00AC13E7">
        <w:rPr>
          <w:b/>
        </w:rPr>
        <w:t>andom</w:t>
      </w:r>
      <w:r w:rsidRPr="00AC13E7">
        <w:rPr>
          <w:b/>
        </w:rPr>
        <w:t xml:space="preserve"> methods</w:t>
      </w:r>
    </w:p>
    <w:p w14:paraId="448FB2B0" w14:textId="77777777" w:rsidR="00785282" w:rsidRPr="00AC13E7" w:rsidRDefault="00785282" w:rsidP="00E37911">
      <w:pPr>
        <w:jc w:val="both"/>
      </w:pPr>
    </w:p>
    <w:p w14:paraId="34ACD5DB" w14:textId="77777777" w:rsidR="00A51BA2" w:rsidRPr="00AC13E7" w:rsidRDefault="00A51BA2" w:rsidP="00A51BA2">
      <w:pPr>
        <w:jc w:val="both"/>
      </w:pPr>
      <w:r w:rsidRPr="00AC13E7">
        <w:t>The subclonal architecture summary metrics described below can be used to assess the performance of a subclonal architecture caller, where low scores mean a method is performing well. Often methods will not obtain the perfect solution and therefore their scores will deviate from the perfect score. What is not clear however is what performance can be reasonably expected. We reasoned that a caller should be able to outperform a simple random method and that running a method that yields a random subclonal architecture on the same data as the caller would then provide an upper bound of what can be considered reasonable performance. To this end we have developed two simple methods that generate subclonal reconstructions with varying degrees of randomness and one method that returns only clonal tumours.</w:t>
      </w:r>
    </w:p>
    <w:p w14:paraId="6595086D" w14:textId="77777777" w:rsidR="00A51BA2" w:rsidRPr="00AC13E7" w:rsidRDefault="00A51BA2" w:rsidP="00A51BA2">
      <w:pPr>
        <w:jc w:val="both"/>
      </w:pPr>
    </w:p>
    <w:p w14:paraId="21711D95" w14:textId="3C5EACFA" w:rsidR="00A51BA2" w:rsidRPr="00AC13E7" w:rsidRDefault="009B7930" w:rsidP="00A51BA2">
      <w:pPr>
        <w:jc w:val="both"/>
        <w:rPr>
          <w:b/>
        </w:rPr>
      </w:pPr>
      <w:r w:rsidRPr="00AC13E7">
        <w:rPr>
          <w:b/>
        </w:rPr>
        <w:t xml:space="preserve">1 - </w:t>
      </w:r>
      <w:r w:rsidR="00A51BA2" w:rsidRPr="00AC13E7">
        <w:rPr>
          <w:b/>
        </w:rPr>
        <w:t>Stick breaking</w:t>
      </w:r>
    </w:p>
    <w:p w14:paraId="0B88AAC2" w14:textId="77777777" w:rsidR="00A51BA2" w:rsidRPr="00AC13E7" w:rsidRDefault="00A51BA2" w:rsidP="00A51BA2">
      <w:pPr>
        <w:jc w:val="both"/>
      </w:pPr>
      <w:r w:rsidRPr="00AC13E7">
        <w:t>The stick breaking method starts with drawing a random number between 0 and 6 to determine the number of clusters. It then orders the mutations by their CCF and iteratively breaks a randomly sized chunk of the ordered mutations. Each of these chunks represents a mutation cluster and its location is obtained by taking the mean CCF of the mutations in the chunk. Mutations are automatically assigned as they belong to a particular chunk. The advantage of this approach is that it is more likely to place a cluster where there are large real clusters, but it does also tend to place multiple clusters within large real clusters.</w:t>
      </w:r>
    </w:p>
    <w:p w14:paraId="150B8ED9" w14:textId="77777777" w:rsidR="00A51BA2" w:rsidRPr="00AC13E7" w:rsidRDefault="00A51BA2" w:rsidP="00A51BA2">
      <w:pPr>
        <w:jc w:val="both"/>
      </w:pPr>
    </w:p>
    <w:p w14:paraId="7773E169" w14:textId="52BAB10F" w:rsidR="00A51BA2" w:rsidRPr="00AC13E7" w:rsidRDefault="009B7930" w:rsidP="00A51BA2">
      <w:pPr>
        <w:jc w:val="both"/>
        <w:rPr>
          <w:b/>
        </w:rPr>
      </w:pPr>
      <w:r w:rsidRPr="00AC13E7">
        <w:rPr>
          <w:b/>
        </w:rPr>
        <w:t xml:space="preserve">2 - </w:t>
      </w:r>
      <w:r w:rsidR="00A51BA2" w:rsidRPr="00AC13E7">
        <w:rPr>
          <w:b/>
        </w:rPr>
        <w:t>Informed</w:t>
      </w:r>
    </w:p>
    <w:p w14:paraId="339B7D65" w14:textId="1F16088F" w:rsidR="00A51BA2" w:rsidRPr="00AC13E7" w:rsidRDefault="00A51BA2" w:rsidP="00D86E26">
      <w:pPr>
        <w:jc w:val="both"/>
      </w:pPr>
      <w:r w:rsidRPr="00AC13E7">
        <w:t>The downside of the stick breaking approach is that it performs a single series of breaks and returns that as a solution. We wondered whether the method could be improved by selecting the best solution from a series of random models. The informed method runs the stick breaking implementation described above 100 times. Contrary to the above approach, the informed method records the size and locations of clusters, but does not record the assignments. It applies the MutationTimer approach</w:t>
      </w:r>
      <w:r w:rsidRPr="00AC13E7">
        <w:fldChar w:fldCharType="begin">
          <w:fldData xml:space="preserve">PEVuZE5vdGU+PENpdGU+PEF1dGhvcj5HZXJzdHVuZzwvQXV0aG9yPjxZZWFyPjIwMTc8L1llYXI+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</w:fldData>
        </w:fldChar>
      </w:r>
      <w:r w:rsidR="00D86E26">
        <w:instrText xml:space="preserve"> ADDIN EN.CITE </w:instrText>
      </w:r>
      <w:r w:rsidR="00D86E26">
        <w:fldChar w:fldCharType="begin">
          <w:fldData xml:space="preserve">PEVuZE5vdGU+PENpdGU+PEF1dGhvcj5HZXJzdHVuZzwvQXV0aG9yPjxZZWFyPjIwMTc8L1llYXI+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</w:fldData>
        </w:fldChar>
      </w:r>
      <w:r w:rsidR="00D86E26">
        <w:instrText xml:space="preserve"> ADDIN EN.CITE.DATA </w:instrText>
      </w:r>
      <w:r w:rsidR="00D86E26">
        <w:fldChar w:fldCharType="end"/>
      </w:r>
      <w:r w:rsidRPr="00AC13E7">
        <w:fldChar w:fldCharType="separate"/>
      </w:r>
      <w:r w:rsidR="00D86E26" w:rsidRPr="00D86E26">
        <w:rPr>
          <w:noProof/>
          <w:vertAlign w:val="superscript"/>
        </w:rPr>
        <w:t>5</w:t>
      </w:r>
      <w:r w:rsidRPr="00AC13E7">
        <w:fldChar w:fldCharType="end"/>
      </w:r>
      <w:r w:rsidRPr="00AC13E7">
        <w:t>, which models each mutation cluster as a beta-binomial and takes into account the size of the cluster. MutationTimer then calculates the proportion of mutations that are poorly explained (i.e. fall in the outermost 5% of the beta-binomial distributions). This proportion is calculated for all 100 runs, after which the run that yields the lowest value is selected as the returned subclonal architecture.</w:t>
      </w:r>
    </w:p>
    <w:p w14:paraId="6F265618" w14:textId="77777777" w:rsidR="00A51BA2" w:rsidRPr="00AC13E7" w:rsidRDefault="00A51BA2" w:rsidP="00A51BA2">
      <w:pPr>
        <w:jc w:val="both"/>
      </w:pPr>
    </w:p>
    <w:p w14:paraId="2CC1BEB9" w14:textId="50FE9C30" w:rsidR="00A51BA2" w:rsidRPr="00AC13E7" w:rsidRDefault="009B7930" w:rsidP="00A51BA2">
      <w:pPr>
        <w:jc w:val="both"/>
        <w:rPr>
          <w:b/>
        </w:rPr>
      </w:pPr>
      <w:r w:rsidRPr="00AC13E7">
        <w:rPr>
          <w:b/>
        </w:rPr>
        <w:t xml:space="preserve">3 - </w:t>
      </w:r>
      <w:r w:rsidR="00A51BA2" w:rsidRPr="00AC13E7">
        <w:rPr>
          <w:b/>
        </w:rPr>
        <w:t>Single cluster</w:t>
      </w:r>
    </w:p>
    <w:p w14:paraId="1FBE772E" w14:textId="77777777" w:rsidR="00A51BA2" w:rsidRPr="00AC13E7" w:rsidRDefault="00A51BA2" w:rsidP="00A51BA2">
      <w:pPr>
        <w:jc w:val="both"/>
      </w:pPr>
      <w:r w:rsidRPr="00AC13E7">
        <w:t>This approach places a single cluster to explain the data. It can obtain the single cluster by taking the mean mutation CCF, or it can be forced to place a clonal cluster at a CCF of 1. All mutations are assigned to the single cluster.</w:t>
      </w:r>
    </w:p>
    <w:p w14:paraId="1BCE6A47" w14:textId="77777777" w:rsidR="00E37911" w:rsidRPr="00AC13E7" w:rsidRDefault="00E37911" w:rsidP="00E37911">
      <w:pPr>
        <w:jc w:val="both"/>
      </w:pPr>
    </w:p>
    <w:p w14:paraId="0537C764" w14:textId="77777777" w:rsidR="0047431D" w:rsidRPr="00AC13E7" w:rsidRDefault="0047431D">
      <w:pPr>
        <w:rPr>
          <w:rFonts w:eastAsia="Times"/>
          <w:bCs/>
          <w:color w:val="000000"/>
          <w:sz w:val="32"/>
          <w:szCs w:val="32"/>
        </w:rPr>
      </w:pPr>
      <w:r w:rsidRPr="00AC13E7">
        <w:rPr>
          <w:b/>
          <w:bCs/>
          <w:sz w:val="32"/>
          <w:szCs w:val="32"/>
        </w:rPr>
        <w:br w:type="page"/>
      </w:r>
    </w:p>
    <w:p w14:paraId="7CDE5E4D" w14:textId="002421F8" w:rsidR="00036C33" w:rsidRPr="00AC13E7" w:rsidRDefault="00036C33" w:rsidP="00036C33">
      <w:pPr>
        <w:pStyle w:val="Heading3"/>
        <w:rPr>
          <w:rFonts w:ascii="Times New Roman" w:hAnsi="Times New Roman" w:cs="Times New Roman"/>
          <w:b w:val="0"/>
          <w:bCs/>
          <w:sz w:val="32"/>
          <w:szCs w:val="32"/>
          <w:lang w:val="en-GB"/>
        </w:rPr>
      </w:pPr>
      <w:bookmarkStart w:id="179" w:name="_Ref381633922"/>
      <w:bookmarkStart w:id="180" w:name="_Toc391905029"/>
      <w:r w:rsidRPr="00AC13E7">
        <w:rPr>
          <w:rFonts w:ascii="Times New Roman" w:hAnsi="Times New Roman" w:cs="Times New Roman"/>
          <w:b w:val="0"/>
          <w:bCs/>
          <w:sz w:val="32"/>
          <w:szCs w:val="32"/>
          <w:lang w:val="en-GB"/>
        </w:rPr>
        <w:lastRenderedPageBreak/>
        <w:t>2.2.2 Evaluation metrics</w:t>
      </w:r>
      <w:bookmarkEnd w:id="179"/>
      <w:bookmarkEnd w:id="180"/>
    </w:p>
    <w:p w14:paraId="1504E586" w14:textId="7B8AAF81" w:rsidR="00036C33" w:rsidRPr="00AC13E7" w:rsidRDefault="00036C33" w:rsidP="00893747">
      <w:pPr>
        <w:jc w:val="both"/>
      </w:pPr>
      <w:r w:rsidRPr="00AC13E7">
        <w:t xml:space="preserve">For all methods, we evaluated two aspects of the solutions: scoring against the ground truth and the comparison of similarities between pairs of methods. The scoring system is used to assess the performance of </w:t>
      </w:r>
      <w:r w:rsidR="00481FCD" w:rsidRPr="00AC13E7">
        <w:t>all individual and consensus methods</w:t>
      </w:r>
      <w:r w:rsidR="0047431D" w:rsidRPr="00AC13E7">
        <w:t xml:space="preserve"> in the simulated data</w:t>
      </w:r>
      <w:r w:rsidR="003B4193" w:rsidRPr="00AC13E7">
        <w:t>, whereas</w:t>
      </w:r>
      <w:r w:rsidR="00C07C96" w:rsidRPr="00AC13E7">
        <w:t xml:space="preserve"> </w:t>
      </w:r>
      <w:r w:rsidR="003B4193" w:rsidRPr="00AC13E7">
        <w:t>t</w:t>
      </w:r>
      <w:r w:rsidR="00C07C96" w:rsidRPr="00AC13E7">
        <w:t>he similarity</w:t>
      </w:r>
      <w:r w:rsidRPr="00AC13E7">
        <w:t xml:space="preserve"> measure</w:t>
      </w:r>
      <w:r w:rsidR="00C07C96" w:rsidRPr="00AC13E7">
        <w:t xml:space="preserve">s are </w:t>
      </w:r>
      <w:r w:rsidRPr="00AC13E7">
        <w:t xml:space="preserve">used to compare </w:t>
      </w:r>
      <w:r w:rsidR="00C07C96" w:rsidRPr="00AC13E7">
        <w:t xml:space="preserve">the </w:t>
      </w:r>
      <w:r w:rsidRPr="00AC13E7">
        <w:t xml:space="preserve">relative performance </w:t>
      </w:r>
      <w:r w:rsidR="00C07C96" w:rsidRPr="00AC13E7">
        <w:t>across</w:t>
      </w:r>
      <w:r w:rsidRPr="00AC13E7">
        <w:t xml:space="preserve"> methods on the PCAWG data, </w:t>
      </w:r>
      <w:r w:rsidR="00481FCD" w:rsidRPr="00AC13E7">
        <w:t>where</w:t>
      </w:r>
      <w:r w:rsidRPr="00AC13E7">
        <w:t xml:space="preserve"> there is no ground truth. </w:t>
      </w:r>
    </w:p>
    <w:p w14:paraId="6D8CE4F1" w14:textId="77777777" w:rsidR="00893747" w:rsidRPr="00AC13E7" w:rsidRDefault="00036C33" w:rsidP="00893747">
      <w:pPr>
        <w:jc w:val="both"/>
      </w:pPr>
      <w:r w:rsidRPr="00AC13E7">
        <w:t xml:space="preserve">    </w:t>
      </w:r>
    </w:p>
    <w:p w14:paraId="33BBADB5" w14:textId="4203C050" w:rsidR="00253D8D" w:rsidRPr="00AC13E7" w:rsidRDefault="00253D8D" w:rsidP="00893747">
      <w:pPr>
        <w:jc w:val="both"/>
        <w:rPr>
          <w:b/>
        </w:rPr>
      </w:pPr>
      <w:r w:rsidRPr="00AC13E7">
        <w:rPr>
          <w:b/>
        </w:rPr>
        <w:t>2.2.2.1 Performance on simulated data</w:t>
      </w:r>
    </w:p>
    <w:p w14:paraId="0FD8C22B" w14:textId="11E4A57A" w:rsidR="0047431D" w:rsidRPr="00AC13E7" w:rsidRDefault="00036C33" w:rsidP="00D86E26">
      <w:pPr>
        <w:jc w:val="both"/>
      </w:pPr>
      <w:r w:rsidRPr="00AC13E7">
        <w:t xml:space="preserve">We </w:t>
      </w:r>
      <w:r w:rsidR="0047431D" w:rsidRPr="00AC13E7">
        <w:t xml:space="preserve">started </w:t>
      </w:r>
      <w:r w:rsidRPr="00AC13E7">
        <w:t>us</w:t>
      </w:r>
      <w:r w:rsidR="0047431D" w:rsidRPr="00AC13E7">
        <w:t>ing</w:t>
      </w:r>
      <w:r w:rsidRPr="00AC13E7">
        <w:t xml:space="preserve"> conventional evaluation metrics for clustering</w:t>
      </w:r>
      <w:r w:rsidR="0047431D" w:rsidRPr="00AC13E7">
        <w:t xml:space="preserve"> that are based on assignments</w:t>
      </w:r>
      <w:r w:rsidRPr="00AC13E7">
        <w:t>, e.g. rand index and mutual informati</w:t>
      </w:r>
      <w:r w:rsidR="00C07C96" w:rsidRPr="00AC13E7">
        <w:t>on</w:t>
      </w:r>
      <w:r w:rsidR="0047431D" w:rsidRPr="00AC13E7">
        <w:t>. However, not only are</w:t>
      </w:r>
      <w:r w:rsidRPr="00AC13E7">
        <w:t xml:space="preserve"> these metrics not consistent and have their own flaws</w:t>
      </w:r>
      <w:r w:rsidR="00B20210" w:rsidRPr="00AC13E7">
        <w:fldChar w:fldCharType="begin">
          <w:fldData xml:space="preserve">PEVuZE5vdGU+PENpdGU+PEF1dGhvcj5LbGVpbmJlcmc8L0F1dGhvcj48WWVhcj4yMDAzPC9ZZWFy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</w:fldData>
        </w:fldChar>
      </w:r>
      <w:r w:rsidR="00D86E26">
        <w:instrText xml:space="preserve"> ADDIN EN.CITE </w:instrText>
      </w:r>
      <w:r w:rsidR="00D86E26">
        <w:fldChar w:fldCharType="begin">
          <w:fldData xml:space="preserve">PEVuZE5vdGU+PENpdGU+PEF1dGhvcj5LbGVpbmJlcmc8L0F1dGhvcj48WWVhcj4yMDAzPC9ZZWFy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</w:fldData>
        </w:fldChar>
      </w:r>
      <w:r w:rsidR="00D86E26">
        <w:instrText xml:space="preserve"> ADDIN EN.CITE.DATA </w:instrText>
      </w:r>
      <w:r w:rsidR="00D86E26">
        <w:fldChar w:fldCharType="end"/>
      </w:r>
      <w:r w:rsidR="00B20210" w:rsidRPr="00AC13E7">
        <w:fldChar w:fldCharType="separate"/>
      </w:r>
      <w:r w:rsidR="00D86E26" w:rsidRPr="00D86E26">
        <w:rPr>
          <w:noProof/>
          <w:vertAlign w:val="superscript"/>
        </w:rPr>
        <w:t>43-45</w:t>
      </w:r>
      <w:r w:rsidR="00B20210" w:rsidRPr="00AC13E7">
        <w:fldChar w:fldCharType="end"/>
      </w:r>
      <w:r w:rsidR="00B20210" w:rsidRPr="00AC13E7">
        <w:t>,</w:t>
      </w:r>
      <w:r w:rsidR="0047431D" w:rsidRPr="00AC13E7">
        <w:t xml:space="preserve"> but also,</w:t>
      </w:r>
      <w:r w:rsidRPr="00AC13E7">
        <w:t xml:space="preserve"> </w:t>
      </w:r>
      <w:r w:rsidR="0047431D" w:rsidRPr="00AC13E7">
        <w:t xml:space="preserve">in our setting, they turned out to be impractical. Indeed, </w:t>
      </w:r>
      <w:r w:rsidRPr="00AC13E7">
        <w:t xml:space="preserve">not all </w:t>
      </w:r>
      <w:r w:rsidR="0047431D" w:rsidRPr="00AC13E7">
        <w:t xml:space="preserve">individual </w:t>
      </w:r>
      <w:r w:rsidRPr="00AC13E7">
        <w:t xml:space="preserve">methods </w:t>
      </w:r>
      <w:r w:rsidR="0047431D" w:rsidRPr="00AC13E7">
        <w:t>assigned</w:t>
      </w:r>
      <w:r w:rsidRPr="00AC13E7">
        <w:t xml:space="preserve"> the same subset of SNVs to construct the subclonal structure</w:t>
      </w:r>
      <w:r w:rsidR="0047431D" w:rsidRPr="00AC13E7">
        <w:t>. Importantly</w:t>
      </w:r>
      <w:r w:rsidRPr="00AC13E7">
        <w:t xml:space="preserve">, the ultimate goal of the consensus methods was to identify the subclonal </w:t>
      </w:r>
      <w:r w:rsidR="0047431D" w:rsidRPr="00AC13E7">
        <w:t xml:space="preserve">structure, i.e. number of </w:t>
      </w:r>
      <w:r w:rsidRPr="00AC13E7">
        <w:t>cluster</w:t>
      </w:r>
      <w:r w:rsidR="0047431D" w:rsidRPr="00AC13E7">
        <w:t>s, number of SNVs within them and cluster</w:t>
      </w:r>
      <w:r w:rsidRPr="00AC13E7">
        <w:t xml:space="preserve"> cellular prevalences</w:t>
      </w:r>
      <w:r w:rsidR="0047431D" w:rsidRPr="00AC13E7">
        <w:t>, whereas</w:t>
      </w:r>
      <w:r w:rsidRPr="00AC13E7">
        <w:t xml:space="preserve"> the assignment</w:t>
      </w:r>
      <w:r w:rsidR="0047431D" w:rsidRPr="00AC13E7">
        <w:t>s</w:t>
      </w:r>
      <w:r w:rsidRPr="00AC13E7">
        <w:t xml:space="preserve"> of SNVs, Indels, and SVs was performed </w:t>
      </w:r>
      <w:r w:rsidR="0047431D" w:rsidRPr="00AC13E7">
        <w:t xml:space="preserve">post hoc </w:t>
      </w:r>
      <w:r w:rsidRPr="00AC13E7">
        <w:t xml:space="preserve">by a uniform assignment method. </w:t>
      </w:r>
    </w:p>
    <w:p w14:paraId="4388C9BF" w14:textId="77777777" w:rsidR="0047431D" w:rsidRPr="00AC13E7" w:rsidRDefault="0047431D" w:rsidP="00893747">
      <w:pPr>
        <w:jc w:val="both"/>
      </w:pPr>
    </w:p>
    <w:p w14:paraId="4A5DEFF7" w14:textId="77777777" w:rsidR="0047431D" w:rsidRPr="00AC13E7" w:rsidRDefault="0047431D" w:rsidP="00893747">
      <w:pPr>
        <w:jc w:val="both"/>
      </w:pPr>
      <w:r w:rsidRPr="00AC13E7">
        <w:t>Therefore</w:t>
      </w:r>
      <w:r w:rsidR="00036C33" w:rsidRPr="00AC13E7">
        <w:t xml:space="preserve">, we designed three metrics specifically for this study to measure </w:t>
      </w:r>
      <w:r w:rsidRPr="00AC13E7">
        <w:t>the performance of the clustering results. These metrics</w:t>
      </w:r>
      <w:r w:rsidR="00036C33" w:rsidRPr="00AC13E7">
        <w:t xml:space="preserve"> reflected the important biol</w:t>
      </w:r>
      <w:r w:rsidRPr="00AC13E7">
        <w:t>ogical aspects of the results:</w:t>
      </w:r>
    </w:p>
    <w:p w14:paraId="4B3E3498" w14:textId="10CBB3DF" w:rsidR="00036C33" w:rsidRPr="00AC13E7" w:rsidRDefault="00893747" w:rsidP="00893747">
      <w:pPr>
        <w:jc w:val="both"/>
      </w:pPr>
      <w:r w:rsidRPr="00AC13E7">
        <w:t xml:space="preserve">1) </w:t>
      </w:r>
      <w:r w:rsidR="00036C33" w:rsidRPr="00AC13E7">
        <w:rPr>
          <w:b/>
        </w:rPr>
        <w:t>Relative clonal fraction change</w:t>
      </w:r>
      <w:r w:rsidR="00036C33" w:rsidRPr="00AC13E7">
        <w:t>, characterizing the proportion of clonal events, and was defined as</w:t>
      </w:r>
    </w:p>
    <w:p w14:paraId="2C747C5E" w14:textId="3FB259FD" w:rsidR="00036C33" w:rsidRPr="00AC13E7" w:rsidRDefault="00036C33" w:rsidP="00893747">
      <w:pPr>
        <w:jc w:val="both"/>
      </w:pPr>
      <m:oMathPara>
        <m:oMathParaPr>
          <m:jc m:val="center"/>
        </m:oMathParaPr>
        <m:oMath>
          <m:r>
            <w:rPr>
              <w:rFonts w:ascii="Cambria Math" w:hAnsi="Cambria Math"/>
            </w:rPr>
            <m:t>CFC=1-</m:t>
          </m:r>
          <m:f>
            <m:fPr>
              <m:ctrlPr>
                <w:rPr>
                  <w:rFonts w:ascii="Cambria Math" w:hAnsi="Cambria Math"/>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T</m:t>
                  </m:r>
                </m:sub>
              </m:sSub>
              <m:r>
                <w:rPr>
                  <w:rFonts w:ascii="Cambria Math" w:hAnsi="Cambria Math"/>
                </w:rPr>
                <m:t>|</m:t>
              </m:r>
            </m:num>
            <m:den>
              <m:sSub>
                <m:sSubPr>
                  <m:ctrlPr>
                    <w:rPr>
                      <w:rFonts w:ascii="Cambria Math" w:hAnsi="Cambria Math"/>
                      <w:i/>
                    </w:rPr>
                  </m:ctrlPr>
                </m:sSubPr>
                <m:e>
                  <m:r>
                    <w:rPr>
                      <w:rFonts w:ascii="Cambria Math" w:hAnsi="Cambria Math"/>
                    </w:rPr>
                    <m:t>F</m:t>
                  </m:r>
                </m:e>
                <m:sub>
                  <m:r>
                    <w:rPr>
                      <w:rFonts w:ascii="Cambria Math" w:hAnsi="Cambria Math"/>
                    </w:rPr>
                    <m:t>T</m:t>
                  </m:r>
                </m:sub>
              </m:sSub>
            </m:den>
          </m:f>
        </m:oMath>
      </m:oMathPara>
    </w:p>
    <w:p w14:paraId="0BD3F120" w14:textId="74B26DCF" w:rsidR="00036C33" w:rsidRPr="00AC13E7" w:rsidRDefault="00036C33" w:rsidP="00893747">
      <w:pPr>
        <w:jc w:val="both"/>
      </w:pPr>
      <w:r w:rsidRPr="00AC13E7">
        <w:t xml:space="preserve">where </w:t>
      </w:r>
      <m:oMath>
        <m:sSub>
          <m:sSubPr>
            <m:ctrlPr>
              <w:rPr>
                <w:rFonts w:ascii="Cambria Math" w:hAnsi="Cambria Math"/>
                <w:i/>
              </w:rPr>
            </m:ctrlPr>
          </m:sSubPr>
          <m:e>
            <m:r>
              <w:rPr>
                <w:rFonts w:ascii="Cambria Math" w:hAnsi="Cambria Math"/>
              </w:rPr>
              <m:t>F</m:t>
            </m:r>
          </m:e>
          <m:sub>
            <m:r>
              <w:rPr>
                <w:rFonts w:ascii="Cambria Math" w:hAnsi="Cambria Math"/>
              </w:rPr>
              <m:t>O</m:t>
            </m:r>
          </m:sub>
        </m:sSub>
      </m:oMath>
      <w:r w:rsidRPr="00AC13E7">
        <w:t xml:space="preserve"> is the clonal fraction reported by </w:t>
      </w:r>
      <w:r w:rsidR="00253D8D" w:rsidRPr="00AC13E7">
        <w:t>the</w:t>
      </w:r>
      <w:r w:rsidR="0047431D" w:rsidRPr="00AC13E7">
        <w:t xml:space="preserve"> </w:t>
      </w:r>
      <w:r w:rsidRPr="00AC13E7">
        <w:t xml:space="preserve">method, and </w:t>
      </w:r>
      <m:oMath>
        <m:sSub>
          <m:sSubPr>
            <m:ctrlPr>
              <w:rPr>
                <w:rFonts w:ascii="Cambria Math" w:hAnsi="Cambria Math"/>
                <w:i/>
              </w:rPr>
            </m:ctrlPr>
          </m:sSubPr>
          <m:e>
            <m:r>
              <w:rPr>
                <w:rFonts w:ascii="Cambria Math" w:hAnsi="Cambria Math"/>
              </w:rPr>
              <m:t>F</m:t>
            </m:r>
          </m:e>
          <m:sub>
            <m:r>
              <w:rPr>
                <w:rFonts w:ascii="Cambria Math" w:hAnsi="Cambria Math"/>
              </w:rPr>
              <m:t>T</m:t>
            </m:r>
          </m:sub>
        </m:sSub>
      </m:oMath>
      <w:r w:rsidRPr="00AC13E7">
        <w:t xml:space="preserve"> the true clonal fraction.</w:t>
      </w:r>
    </w:p>
    <w:p w14:paraId="5CD61D55" w14:textId="00B0EDB4" w:rsidR="00036C33" w:rsidRPr="00AC13E7" w:rsidRDefault="00893747" w:rsidP="00893747">
      <w:pPr>
        <w:jc w:val="both"/>
      </w:pPr>
      <w:r w:rsidRPr="00AC13E7">
        <w:t xml:space="preserve">2) </w:t>
      </w:r>
      <w:r w:rsidR="00036C33" w:rsidRPr="00AC13E7">
        <w:rPr>
          <w:b/>
        </w:rPr>
        <w:t>Relative Number of clusters difference</w:t>
      </w:r>
      <w:r w:rsidR="00036C33" w:rsidRPr="00AC13E7">
        <w:t>, representing the relative subclonal events frequency, and has the form of</w:t>
      </w:r>
    </w:p>
    <w:p w14:paraId="1D303560" w14:textId="383321E4" w:rsidR="00036C33" w:rsidRPr="00AC13E7" w:rsidRDefault="00036C33" w:rsidP="00893747">
      <w:pPr>
        <w:jc w:val="both"/>
      </w:pPr>
      <m:oMathPara>
        <m:oMathParaPr>
          <m:jc m:val="center"/>
        </m:oMathParaPr>
        <m:oMath>
          <m:r>
            <w:rPr>
              <w:rFonts w:ascii="Cambria Math" w:hAnsi="Cambria Math"/>
            </w:rPr>
            <m:t>NCD=1-</m:t>
          </m:r>
          <m:d>
            <m:dPr>
              <m:begChr m:val="|"/>
              <m:endChr m:val="|"/>
              <m:ctrlPr>
                <w:rPr>
                  <w:rFonts w:ascii="Cambria Math" w:hAnsi="Cambria Math"/>
                  <w:i/>
                </w:rPr>
              </m:ctrlPr>
            </m:dPr>
            <m:e>
              <m:sSup>
                <m:sSupPr>
                  <m:ctrlPr>
                    <w:rPr>
                      <w:rFonts w:ascii="Cambria Math" w:hAnsi="Cambria Math"/>
                    </w:rPr>
                  </m:ctrlPr>
                </m:sSupPr>
                <m:e>
                  <m:r>
                    <w:rPr>
                      <w:rFonts w:ascii="Cambria Math" w:hAnsi="Cambria Math"/>
                    </w:rPr>
                    <m:t>e</m:t>
                  </m:r>
                </m:e>
                <m:sup>
                  <m:f>
                    <m:fPr>
                      <m:ctrlPr>
                        <w:rPr>
                          <w:rFonts w:ascii="Cambria Math" w:hAnsi="Cambria Math"/>
                        </w:rPr>
                      </m:ctrlPr>
                    </m:fPr>
                    <m:num>
                      <m:sSub>
                        <m:sSubPr>
                          <m:ctrlPr>
                            <w:rPr>
                              <w:rFonts w:ascii="Cambria Math" w:hAnsi="Cambria Math"/>
                              <w:i/>
                            </w:rPr>
                          </m:ctrlPr>
                        </m:sSubPr>
                        <m:e>
                          <m:r>
                            <w:rPr>
                              <w:rFonts w:ascii="Cambria Math" w:hAnsi="Cambria Math"/>
                            </w:rPr>
                            <m:t>C</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num>
                    <m:den>
                      <m:sSub>
                        <m:sSubPr>
                          <m:ctrlPr>
                            <w:rPr>
                              <w:rFonts w:ascii="Cambria Math" w:hAnsi="Cambria Math"/>
                              <w:i/>
                            </w:rPr>
                          </m:ctrlPr>
                        </m:sSubPr>
                        <m:e>
                          <m:r>
                            <w:rPr>
                              <w:rFonts w:ascii="Cambria Math" w:hAnsi="Cambria Math"/>
                            </w:rPr>
                            <m:t>C</m:t>
                          </m:r>
                        </m:e>
                        <m:sub>
                          <m:r>
                            <w:rPr>
                              <w:rFonts w:ascii="Cambria Math" w:hAnsi="Cambria Math"/>
                            </w:rPr>
                            <m:t>T</m:t>
                          </m:r>
                        </m:sub>
                      </m:sSub>
                    </m:den>
                  </m:f>
                </m:sup>
              </m:sSup>
              <m:r>
                <w:rPr>
                  <w:rFonts w:ascii="Cambria Math" w:hAnsi="Cambria Math"/>
                </w:rPr>
                <m:t>-1</m:t>
              </m:r>
            </m:e>
          </m:d>
        </m:oMath>
      </m:oMathPara>
    </w:p>
    <w:p w14:paraId="5D7C6224" w14:textId="77777777" w:rsidR="00036C33" w:rsidRPr="00AC13E7" w:rsidRDefault="00036C33" w:rsidP="00893747">
      <w:pPr>
        <w:jc w:val="both"/>
        <w:rPr>
          <w:vertAlign w:val="subscript"/>
        </w:rPr>
      </w:pPr>
      <w:r w:rsidRPr="00AC13E7">
        <w:t xml:space="preserve">where </w:t>
      </w: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Pr="00AC13E7">
        <w:t xml:space="preserve"> is the number of clusters from each method, and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Pr="00AC13E7">
        <w:t xml:space="preserve"> is the true number of clusters. This metric favoured slightly underestimation over overestimation, which was designed to accompany the fact that the PCAWG working group project was reporting a lower bound of number subclones.</w:t>
      </w:r>
    </w:p>
    <w:p w14:paraId="07CDD6BF" w14:textId="1E9BB84F" w:rsidR="00036C33" w:rsidRPr="00AC13E7" w:rsidRDefault="00893747" w:rsidP="00893747">
      <w:pPr>
        <w:jc w:val="both"/>
      </w:pPr>
      <w:r w:rsidRPr="00AC13E7">
        <w:t xml:space="preserve">3) </w:t>
      </w:r>
      <w:r w:rsidR="00036C33" w:rsidRPr="00AC13E7">
        <w:rPr>
          <w:b/>
        </w:rPr>
        <w:t>Root mean square error</w:t>
      </w:r>
      <w:r w:rsidR="00036C33" w:rsidRPr="00AC13E7">
        <w:t xml:space="preserve"> reflecting overall architecture of subclonal composition, and is calculated as </w:t>
      </w:r>
    </w:p>
    <w:p w14:paraId="7EB424CA" w14:textId="1CA7FFA6" w:rsidR="00036C33" w:rsidRPr="00AC13E7" w:rsidRDefault="00036C33" w:rsidP="00893747">
      <w:pPr>
        <w:jc w:val="both"/>
      </w:pPr>
      <m:oMathPara>
        <m:oMath>
          <m:r>
            <w:rPr>
              <w:rFonts w:ascii="Cambria Math" w:hAnsi="Cambria Math"/>
            </w:rPr>
            <m:t xml:space="preserve">RMSE = 1 - </m:t>
          </m:r>
          <m:f>
            <m:fPr>
              <m:ctrlPr>
                <w:rPr>
                  <w:rFonts w:ascii="Cambria Math" w:hAnsi="Cambria Math"/>
                </w:rPr>
              </m:ctrlPr>
            </m:fPr>
            <m:num>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r>
                        <w:rPr>
                          <w:rFonts w:ascii="Cambria Math" w:hAnsi="Cambria Math"/>
                        </w:rPr>
                        <m:t>N</m:t>
                      </m:r>
                    </m:den>
                  </m:f>
                  <m:nary>
                    <m:naryPr>
                      <m:chr m:val="∑"/>
                      <m:ctrlPr>
                        <w:rPr>
                          <w:rFonts w:ascii="Cambria Math" w:hAnsi="Cambria Math"/>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ϕ</m:t>
                                  </m:r>
                                </m:e>
                                <m:sub>
                                  <m:r>
                                    <w:rPr>
                                      <w:rFonts w:ascii="Cambria Math" w:hAnsi="Cambria Math"/>
                                    </w:rPr>
                                    <m:t>n</m:t>
                                  </m:r>
                                </m:sub>
                                <m:sup>
                                  <m:r>
                                    <w:rPr>
                                      <w:rFonts w:ascii="Cambria Math" w:hAnsi="Cambria Math"/>
                                    </w:rPr>
                                    <m:t>O</m:t>
                                  </m:r>
                                </m:sup>
                              </m:sSubSup>
                              <m:r>
                                <w:rPr>
                                  <w:rFonts w:ascii="Cambria Math" w:hAnsi="Cambria Math"/>
                                </w:rPr>
                                <m:t>-</m:t>
                              </m:r>
                              <m:sSubSup>
                                <m:sSubSupPr>
                                  <m:ctrlPr>
                                    <w:rPr>
                                      <w:rFonts w:ascii="Cambria Math" w:hAnsi="Cambria Math"/>
                                      <w:i/>
                                    </w:rPr>
                                  </m:ctrlPr>
                                </m:sSubSupPr>
                                <m:e>
                                  <m:r>
                                    <w:rPr>
                                      <w:rFonts w:ascii="Cambria Math" w:hAnsi="Cambria Math"/>
                                    </w:rPr>
                                    <m:t>ϕ</m:t>
                                  </m:r>
                                </m:e>
                                <m:sub>
                                  <m:r>
                                    <w:rPr>
                                      <w:rFonts w:ascii="Cambria Math" w:hAnsi="Cambria Math"/>
                                    </w:rPr>
                                    <m:t>n</m:t>
                                  </m:r>
                                </m:sub>
                                <m:sup>
                                  <m:r>
                                    <w:rPr>
                                      <w:rFonts w:ascii="Cambria Math" w:hAnsi="Cambria Math"/>
                                    </w:rPr>
                                    <m:t>T</m:t>
                                  </m:r>
                                </m:sup>
                              </m:sSubSup>
                            </m:e>
                          </m:d>
                        </m:e>
                        <m:sup>
                          <m:r>
                            <w:rPr>
                              <w:rFonts w:ascii="Cambria Math" w:hAnsi="Cambria Math"/>
                            </w:rPr>
                            <m:t>2</m:t>
                          </m:r>
                        </m:sup>
                      </m:sSup>
                    </m:e>
                  </m:nary>
                </m:e>
              </m:rad>
            </m:num>
            <m:den>
              <m:r>
                <w:rPr>
                  <w:rFonts w:ascii="Cambria Math" w:hAnsi="Cambria Math"/>
                </w:rPr>
                <m:t>ρ</m:t>
              </m:r>
            </m:den>
          </m:f>
        </m:oMath>
      </m:oMathPara>
    </w:p>
    <w:p w14:paraId="5FF45D8E" w14:textId="5E10FB78" w:rsidR="00036C33" w:rsidRPr="00AC13E7" w:rsidRDefault="00893747" w:rsidP="00893747">
      <w:pPr>
        <w:jc w:val="both"/>
      </w:pPr>
      <w:r w:rsidRPr="00AC13E7">
        <w:t xml:space="preserve"> </w:t>
      </w:r>
      <w:r w:rsidR="00036C33" w:rsidRPr="00AC13E7">
        <w:t xml:space="preserve">where </w:t>
      </w:r>
      <m:oMath>
        <m:sSubSup>
          <m:sSubSupPr>
            <m:ctrlPr>
              <w:rPr>
                <w:rFonts w:ascii="Cambria Math" w:hAnsi="Cambria Math"/>
                <w:i/>
              </w:rPr>
            </m:ctrlPr>
          </m:sSubSupPr>
          <m:e>
            <m:r>
              <w:rPr>
                <w:rFonts w:ascii="Cambria Math" w:hAnsi="Cambria Math"/>
              </w:rPr>
              <m:t>ϕ</m:t>
            </m:r>
          </m:e>
          <m:sub>
            <m:r>
              <w:rPr>
                <w:rFonts w:ascii="Cambria Math" w:hAnsi="Cambria Math"/>
              </w:rPr>
              <m:t>n</m:t>
            </m:r>
          </m:sub>
          <m:sup>
            <m:r>
              <w:rPr>
                <w:rFonts w:ascii="Cambria Math" w:hAnsi="Cambria Math"/>
              </w:rPr>
              <m:t>O</m:t>
            </m:r>
          </m:sup>
        </m:sSubSup>
      </m:oMath>
      <w:r w:rsidR="00036C33" w:rsidRPr="00AC13E7">
        <w:t xml:space="preserve"> is the method reported Cellular Prevalence (CP) of SNV </w:t>
      </w:r>
      <m:oMath>
        <m:r>
          <w:rPr>
            <w:rFonts w:ascii="Cambria Math" w:hAnsi="Cambria Math"/>
          </w:rPr>
          <m:t>n</m:t>
        </m:r>
      </m:oMath>
      <w:r w:rsidR="00036C33" w:rsidRPr="00AC13E7">
        <w:t xml:space="preserve">, </w:t>
      </w:r>
      <m:oMath>
        <m:sSubSup>
          <m:sSubSupPr>
            <m:ctrlPr>
              <w:rPr>
                <w:rFonts w:ascii="Cambria Math" w:hAnsi="Cambria Math"/>
                <w:i/>
              </w:rPr>
            </m:ctrlPr>
          </m:sSubSupPr>
          <m:e>
            <m:r>
              <w:rPr>
                <w:rFonts w:ascii="Cambria Math" w:hAnsi="Cambria Math"/>
              </w:rPr>
              <m:t>ϕ</m:t>
            </m:r>
          </m:e>
          <m:sub>
            <m:r>
              <w:rPr>
                <w:rFonts w:ascii="Cambria Math" w:hAnsi="Cambria Math"/>
              </w:rPr>
              <m:t>n</m:t>
            </m:r>
          </m:sub>
          <m:sup>
            <m:r>
              <w:rPr>
                <w:rFonts w:ascii="Cambria Math" w:hAnsi="Cambria Math"/>
              </w:rPr>
              <m:t>T</m:t>
            </m:r>
          </m:sup>
        </m:sSubSup>
        <m:r>
          <w:rPr>
            <w:rFonts w:ascii="Cambria Math" w:hAnsi="Cambria Math"/>
          </w:rPr>
          <m:t xml:space="preserve"> </m:t>
        </m:r>
      </m:oMath>
      <w:r w:rsidR="00036C33" w:rsidRPr="00AC13E7">
        <w:t xml:space="preserve">the true CP of SNV </w:t>
      </w:r>
      <m:oMath>
        <m:r>
          <w:rPr>
            <w:rFonts w:ascii="Cambria Math" w:hAnsi="Cambria Math"/>
          </w:rPr>
          <m:t>n</m:t>
        </m:r>
      </m:oMath>
      <w:r w:rsidR="00036C33" w:rsidRPr="00AC13E7">
        <w:t xml:space="preserve">, and </w:t>
      </w:r>
      <m:oMath>
        <m:r>
          <w:rPr>
            <w:rFonts w:ascii="Cambria Math" w:hAnsi="Cambria Math"/>
          </w:rPr>
          <m:t>ρ</m:t>
        </m:r>
      </m:oMath>
      <w:r w:rsidR="00036C33" w:rsidRPr="00AC13E7">
        <w:t xml:space="preserve"> the purity of the sample.</w:t>
      </w:r>
    </w:p>
    <w:p w14:paraId="3CB5FA4F" w14:textId="77777777" w:rsidR="00036C33" w:rsidRPr="00AC13E7" w:rsidRDefault="00036C33" w:rsidP="00893747">
      <w:pPr>
        <w:jc w:val="both"/>
      </w:pPr>
      <w:r w:rsidRPr="00AC13E7">
        <w:t xml:space="preserve">All metrics were modified so that 0 was the worst score and 1 the best. To summarise the metrics into a final scores, a normalized rank approach was used, where the sum of ranks of each metric of method </w:t>
      </w:r>
      <m:oMath>
        <m:r>
          <w:rPr>
            <w:rFonts w:ascii="Cambria Math" w:hAnsi="Cambria Math"/>
          </w:rPr>
          <m:t>h</m:t>
        </m:r>
      </m:oMath>
      <w:r w:rsidRPr="00AC13E7">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oMath>
      <w:r w:rsidRPr="00AC13E7">
        <w:t xml:space="preserve"> in sample </w:t>
      </w:r>
      <m:oMath>
        <m:r>
          <w:rPr>
            <w:rFonts w:ascii="Cambria Math" w:hAnsi="Cambria Math"/>
          </w:rPr>
          <m:t>i</m:t>
        </m:r>
      </m:oMath>
      <w:r w:rsidRPr="00AC13E7">
        <w:t xml:space="preserve"> were normalized as </w:t>
      </w:r>
    </w:p>
    <w:p w14:paraId="2C508DDB" w14:textId="74073248" w:rsidR="00036C33" w:rsidRPr="00AC13E7" w:rsidRDefault="0036299C" w:rsidP="00893747">
      <w:pPr>
        <w:jc w:val="both"/>
      </w:pPr>
      <m:oMathPara>
        <m:oMath>
          <m:sSubSup>
            <m:sSubSupPr>
              <m:ctrlPr>
                <w:rPr>
                  <w:rFonts w:ascii="Cambria Math" w:hAnsi="Cambria Math"/>
                  <w:i/>
                </w:rPr>
              </m:ctrlPr>
            </m:sSubSupPr>
            <m:e>
              <m:r>
                <w:rPr>
                  <w:rFonts w:ascii="Cambria Math" w:hAnsi="Cambria Math"/>
                </w:rPr>
                <m:t>R</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 xml:space="preserve">= </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min</m:t>
                      </m:r>
                    </m:e>
                    <m:lim>
                      <m:r>
                        <w:rPr>
                          <w:rFonts w:ascii="Cambria Math" w:hAnsi="Cambria Math"/>
                        </w:rPr>
                        <m:t>h</m:t>
                      </m:r>
                      <m:ctrlPr>
                        <w:rPr>
                          <w:rFonts w:ascii="Cambria Math" w:hAnsi="Cambria Math"/>
                        </w:rPr>
                      </m:ctrlPr>
                    </m:lim>
                  </m:limLow>
                </m:fName>
                <m:e>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e>
              </m:func>
            </m:num>
            <m:den>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h</m:t>
                      </m:r>
                      <m:ctrlPr>
                        <w:rPr>
                          <w:rFonts w:ascii="Cambria Math" w:hAnsi="Cambria Math"/>
                        </w:rPr>
                      </m:ctrlPr>
                    </m:lim>
                  </m:limLow>
                </m:fName>
                <m:e>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min</m:t>
                      </m:r>
                    </m:e>
                    <m:lim>
                      <m:r>
                        <w:rPr>
                          <w:rFonts w:ascii="Cambria Math" w:hAnsi="Cambria Math"/>
                        </w:rPr>
                        <m:t>h</m:t>
                      </m:r>
                      <m:ctrlPr>
                        <w:rPr>
                          <w:rFonts w:ascii="Cambria Math" w:hAnsi="Cambria Math"/>
                        </w:rPr>
                      </m:ctrlPr>
                    </m:lim>
                  </m:limLow>
                </m:fName>
                <m:e>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i</m:t>
                      </m:r>
                    </m:sub>
                    <m:sup>
                      <m:d>
                        <m:dPr>
                          <m:ctrlPr>
                            <w:rPr>
                              <w:rFonts w:ascii="Cambria Math" w:hAnsi="Cambria Math"/>
                              <w:i/>
                            </w:rPr>
                          </m:ctrlPr>
                        </m:dPr>
                        <m:e>
                          <m:r>
                            <w:rPr>
                              <w:rFonts w:ascii="Cambria Math" w:hAnsi="Cambria Math"/>
                            </w:rPr>
                            <m:t>h</m:t>
                          </m:r>
                        </m:e>
                      </m:d>
                    </m:sup>
                  </m:sSubSup>
                  <m:r>
                    <w:rPr>
                      <w:rFonts w:ascii="Cambria Math" w:hAnsi="Cambria Math"/>
                    </w:rPr>
                    <m:t>}</m:t>
                  </m:r>
                </m:e>
              </m:func>
            </m:den>
          </m:f>
        </m:oMath>
      </m:oMathPara>
    </w:p>
    <w:p w14:paraId="295EC647" w14:textId="77777777" w:rsidR="00036C33" w:rsidRPr="00AC13E7" w:rsidRDefault="00036C33" w:rsidP="00893747">
      <w:pPr>
        <w:jc w:val="both"/>
      </w:pPr>
      <w:r w:rsidRPr="00AC13E7">
        <w:t xml:space="preserve">so that the best ranked method having rank 1, and the worst 0. </w:t>
      </w:r>
    </w:p>
    <w:p w14:paraId="26D57E42" w14:textId="77777777" w:rsidR="00170D1C" w:rsidRPr="00AC13E7" w:rsidRDefault="00036C33" w:rsidP="00893747">
      <w:pPr>
        <w:jc w:val="both"/>
      </w:pPr>
      <w:r w:rsidRPr="00AC13E7">
        <w:lastRenderedPageBreak/>
        <w:t xml:space="preserve">    </w:t>
      </w:r>
    </w:p>
    <w:p w14:paraId="1CE11EC2" w14:textId="727EF366" w:rsidR="00253D8D" w:rsidRPr="00AC13E7" w:rsidRDefault="00253D8D" w:rsidP="00253D8D">
      <w:pPr>
        <w:jc w:val="both"/>
        <w:rPr>
          <w:b/>
        </w:rPr>
      </w:pPr>
      <w:r w:rsidRPr="00AC13E7">
        <w:rPr>
          <w:b/>
        </w:rPr>
        <w:t>2.2.2.1 Similarity in real data</w:t>
      </w:r>
    </w:p>
    <w:p w14:paraId="2B52A718" w14:textId="77777777" w:rsidR="00253D8D" w:rsidRPr="00AC13E7" w:rsidRDefault="00253D8D" w:rsidP="00893747">
      <w:pPr>
        <w:jc w:val="both"/>
      </w:pPr>
    </w:p>
    <w:p w14:paraId="33E962B7" w14:textId="6E174AA5" w:rsidR="00036C33" w:rsidRPr="00AC13E7" w:rsidRDefault="00253D8D" w:rsidP="00893747">
      <w:pPr>
        <w:jc w:val="both"/>
      </w:pPr>
      <w:r w:rsidRPr="00AC13E7">
        <w:t>We compared pairs of methods t</w:t>
      </w:r>
      <w:r w:rsidR="00036C33" w:rsidRPr="00AC13E7">
        <w:t xml:space="preserve">o assess the similarities </w:t>
      </w:r>
      <w:r w:rsidRPr="00AC13E7">
        <w:t>of the solutions within PCAWG and simulated data</w:t>
      </w:r>
      <w:r w:rsidR="00036C33" w:rsidRPr="00AC13E7">
        <w:t xml:space="preserve">. We used normalized </w:t>
      </w:r>
      <w:r w:rsidRPr="00AC13E7">
        <w:t>difference over average</w:t>
      </w:r>
      <w:r w:rsidR="00036C33" w:rsidRPr="00AC13E7">
        <w:t xml:space="preserve"> to show the relative consistency of these consensus methods on PCAWG data, and investigate the robustness of consensus methods compar</w:t>
      </w:r>
      <w:r w:rsidRPr="00AC13E7">
        <w:t>ed</w:t>
      </w:r>
      <w:r w:rsidR="00036C33" w:rsidRPr="00AC13E7">
        <w:t xml:space="preserve"> to each individual method. </w:t>
      </w:r>
    </w:p>
    <w:p w14:paraId="6BD5CC21" w14:textId="77777777" w:rsidR="00170D1C" w:rsidRPr="00AC13E7" w:rsidRDefault="00036C33" w:rsidP="00893747">
      <w:pPr>
        <w:jc w:val="both"/>
      </w:pPr>
      <w:r w:rsidRPr="00AC13E7">
        <w:t xml:space="preserve">  </w:t>
      </w:r>
    </w:p>
    <w:p w14:paraId="1B7CE6EA" w14:textId="0404ECDA" w:rsidR="00036C33" w:rsidRPr="00AC13E7" w:rsidRDefault="00036C33" w:rsidP="00893747">
      <w:pPr>
        <w:jc w:val="both"/>
      </w:pPr>
      <w:r w:rsidRPr="00AC13E7">
        <w:t xml:space="preserve">The normalized differences are defined as follows, where </w:t>
      </w:r>
      <m:oMath>
        <m:r>
          <w:rPr>
            <w:rFonts w:ascii="Cambria Math" w:hAnsi="Cambria Math"/>
          </w:rPr>
          <m:t>1≤i&lt;j≤H</m:t>
        </m:r>
      </m:oMath>
      <w:r w:rsidRPr="00AC13E7">
        <w:t xml:space="preserve">, and </w:t>
      </w:r>
      <m:oMath>
        <m:r>
          <w:rPr>
            <w:rFonts w:ascii="Cambria Math" w:hAnsi="Cambria Math"/>
          </w:rPr>
          <m:t>H</m:t>
        </m:r>
      </m:oMath>
      <w:r w:rsidRPr="00AC13E7">
        <w:t xml:space="preserve"> is the number of all methods including consensus methods:</w:t>
      </w:r>
    </w:p>
    <w:p w14:paraId="21B37015" w14:textId="4D15390B" w:rsidR="00036C33" w:rsidRPr="00AC13E7" w:rsidRDefault="00253D8D" w:rsidP="00893747">
      <w:pPr>
        <w:jc w:val="both"/>
        <w:rPr>
          <w:b/>
        </w:rPr>
      </w:pPr>
      <w:r w:rsidRPr="00AC13E7">
        <w:rPr>
          <w:b/>
        </w:rPr>
        <w:t xml:space="preserve">1) </w:t>
      </w:r>
      <w:r w:rsidR="0074289E" w:rsidRPr="00AC13E7">
        <w:rPr>
          <w:b/>
        </w:rPr>
        <w:t>The f</w:t>
      </w:r>
      <w:r w:rsidR="00036C33" w:rsidRPr="00AC13E7">
        <w:rPr>
          <w:b/>
        </w:rPr>
        <w:t>raction</w:t>
      </w:r>
      <w:r w:rsidR="0074289E" w:rsidRPr="00AC13E7">
        <w:rPr>
          <w:b/>
        </w:rPr>
        <w:t xml:space="preserve"> of clonal SNVs</w:t>
      </w:r>
      <w:r w:rsidR="00036C33" w:rsidRPr="00AC13E7">
        <w:rPr>
          <w:b/>
        </w:rPr>
        <w:t xml:space="preserve">: </w:t>
      </w:r>
    </w:p>
    <w:p w14:paraId="7BDF9DA2" w14:textId="7DAC779C" w:rsidR="00036C33" w:rsidRPr="00AC13E7" w:rsidRDefault="0036299C" w:rsidP="00893747">
      <w:pPr>
        <w:jc w:val="both"/>
      </w:pPr>
      <m:oMathPara>
        <m:oMath>
          <m:sSub>
            <m:sSubPr>
              <m:ctrlPr>
                <w:rPr>
                  <w:rFonts w:ascii="Cambria Math" w:hAnsi="Cambria Math"/>
                  <w:i/>
                </w:rPr>
              </m:ctrlPr>
            </m:sSubPr>
            <m:e>
              <m:r>
                <w:rPr>
                  <w:rFonts w:ascii="Cambria Math" w:hAnsi="Cambria Math"/>
                </w:rPr>
                <m:t>CF</m:t>
              </m:r>
            </m:e>
            <m:sub>
              <m:r>
                <w:rPr>
                  <w:rFonts w:ascii="Cambria Math" w:hAnsi="Cambria Math"/>
                </w:rPr>
                <m:t>similarity</m:t>
              </m:r>
            </m:sub>
          </m:sSub>
          <m:r>
            <w:rPr>
              <w:rFonts w:ascii="Cambria Math" w:hAnsi="Cambria Math"/>
            </w:rPr>
            <m:t>=1-</m:t>
          </m:r>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r>
                <w:rPr>
                  <w:rFonts w:ascii="Cambria Math" w:hAnsi="Cambria Math"/>
                </w:rPr>
                <m:t>|</m:t>
              </m:r>
            </m:num>
            <m:den>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den>
          </m:f>
        </m:oMath>
      </m:oMathPara>
    </w:p>
    <w:p w14:paraId="4CAF3F0B" w14:textId="3508BC1C" w:rsidR="00036C33" w:rsidRPr="00AC13E7" w:rsidRDefault="00036C33" w:rsidP="00893747">
      <w:pPr>
        <w:jc w:val="both"/>
      </w:pPr>
      <w:r w:rsidRPr="00AC13E7">
        <w:t xml:space="preserve">where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sidRPr="00AC13E7">
        <w:t xml:space="preserve"> denotes the clonal fraction of the </w:t>
      </w:r>
      <m:oMath>
        <m:r>
          <w:rPr>
            <w:rFonts w:ascii="Cambria Math" w:hAnsi="Cambria Math"/>
          </w:rPr>
          <m:t>i</m:t>
        </m:r>
      </m:oMath>
      <w:r w:rsidRPr="00AC13E7">
        <w:t>-th method.</w:t>
      </w:r>
    </w:p>
    <w:p w14:paraId="2B255FF4" w14:textId="77777777" w:rsidR="00A468CC" w:rsidRPr="00AC13E7" w:rsidRDefault="00A468CC" w:rsidP="00893747">
      <w:pPr>
        <w:jc w:val="both"/>
      </w:pPr>
    </w:p>
    <w:p w14:paraId="7A12781D" w14:textId="7C3597DE" w:rsidR="00036C33" w:rsidRPr="00AC13E7" w:rsidRDefault="00253D8D" w:rsidP="00893747">
      <w:pPr>
        <w:jc w:val="both"/>
        <w:rPr>
          <w:b/>
        </w:rPr>
      </w:pPr>
      <w:r w:rsidRPr="00AC13E7">
        <w:rPr>
          <w:b/>
        </w:rPr>
        <w:t xml:space="preserve">2) </w:t>
      </w:r>
      <w:r w:rsidR="0074289E" w:rsidRPr="00AC13E7">
        <w:rPr>
          <w:b/>
        </w:rPr>
        <w:t>The n</w:t>
      </w:r>
      <w:r w:rsidR="00036C33" w:rsidRPr="00AC13E7">
        <w:rPr>
          <w:b/>
        </w:rPr>
        <w:t>umber of clusters:</w:t>
      </w:r>
    </w:p>
    <w:p w14:paraId="3196D8B0" w14:textId="032E7F20" w:rsidR="00036C33" w:rsidRPr="00AC13E7" w:rsidRDefault="0036299C" w:rsidP="00893747">
      <w:pPr>
        <w:jc w:val="both"/>
      </w:pPr>
      <m:oMathPara>
        <m:oMath>
          <m:sSub>
            <m:sSubPr>
              <m:ctrlPr>
                <w:rPr>
                  <w:rFonts w:ascii="Cambria Math" w:hAnsi="Cambria Math"/>
                  <w:i/>
                </w:rPr>
              </m:ctrlPr>
            </m:sSubPr>
            <m:e>
              <m:r>
                <w:rPr>
                  <w:rFonts w:ascii="Cambria Math" w:hAnsi="Cambria Math"/>
                </w:rPr>
                <m:t>NC</m:t>
              </m:r>
            </m:e>
            <m:sub>
              <m:r>
                <w:rPr>
                  <w:rFonts w:ascii="Cambria Math" w:hAnsi="Cambria Math"/>
                </w:rPr>
                <m:t>similarity</m:t>
              </m:r>
            </m:sub>
          </m:sSub>
          <m:r>
            <w:rPr>
              <w:rFonts w:ascii="Cambria Math" w:hAnsi="Cambria Math"/>
            </w:rPr>
            <m:t>=1-</m:t>
          </m:r>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j</m:t>
                  </m:r>
                </m:sub>
              </m:sSub>
              <m:r>
                <w:rPr>
                  <w:rFonts w:ascii="Cambria Math" w:hAnsi="Cambria Math"/>
                </w:rPr>
                <m:t>|</m:t>
              </m:r>
            </m:num>
            <m:den>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j</m:t>
                  </m:r>
                </m:sub>
              </m:sSub>
            </m:den>
          </m:f>
        </m:oMath>
      </m:oMathPara>
    </w:p>
    <w:p w14:paraId="03039E00" w14:textId="7C2BA764" w:rsidR="00036C33" w:rsidRPr="00AC13E7" w:rsidRDefault="00036C33" w:rsidP="00893747">
      <w:pPr>
        <w:jc w:val="both"/>
      </w:pPr>
      <w:r w:rsidRPr="00AC13E7">
        <w:t xml:space="preserve">where </w:t>
      </w:r>
      <m:oMath>
        <m:sSub>
          <m:sSubPr>
            <m:ctrlPr>
              <w:rPr>
                <w:rFonts w:ascii="Cambria Math" w:hAnsi="Cambria Math"/>
                <w:i/>
              </w:rPr>
            </m:ctrlPr>
          </m:sSubPr>
          <m:e>
            <m:r>
              <w:rPr>
                <w:rFonts w:ascii="Cambria Math" w:hAnsi="Cambria Math"/>
              </w:rPr>
              <m:t>N</m:t>
            </m:r>
          </m:e>
          <m:sub>
            <m:r>
              <w:rPr>
                <w:rFonts w:ascii="Cambria Math" w:hAnsi="Cambria Math"/>
              </w:rPr>
              <m:t>i</m:t>
            </m:r>
          </m:sub>
        </m:sSub>
      </m:oMath>
      <w:r w:rsidRPr="00AC13E7">
        <w:t xml:space="preserve"> is the number of clusters determined by the </w:t>
      </w:r>
      <m:oMath>
        <m:r>
          <w:rPr>
            <w:rFonts w:ascii="Cambria Math" w:hAnsi="Cambria Math"/>
          </w:rPr>
          <m:t>i</m:t>
        </m:r>
      </m:oMath>
      <w:r w:rsidRPr="00AC13E7">
        <w:t>-th method.</w:t>
      </w:r>
    </w:p>
    <w:p w14:paraId="53DEEF0D" w14:textId="77777777" w:rsidR="00A468CC" w:rsidRPr="00AC13E7" w:rsidRDefault="00A468CC" w:rsidP="00893747">
      <w:pPr>
        <w:jc w:val="both"/>
      </w:pPr>
    </w:p>
    <w:p w14:paraId="3CD1131B" w14:textId="2F100FAB" w:rsidR="00036C33" w:rsidRPr="00AC13E7" w:rsidRDefault="00253D8D" w:rsidP="00893747">
      <w:pPr>
        <w:jc w:val="both"/>
        <w:rPr>
          <w:b/>
        </w:rPr>
      </w:pPr>
      <w:r w:rsidRPr="00AC13E7">
        <w:rPr>
          <w:b/>
        </w:rPr>
        <w:t xml:space="preserve">3) </w:t>
      </w:r>
      <w:r w:rsidR="0074289E" w:rsidRPr="00AC13E7">
        <w:rPr>
          <w:b/>
        </w:rPr>
        <w:t xml:space="preserve">The </w:t>
      </w:r>
      <w:r w:rsidR="00036C33" w:rsidRPr="00AC13E7">
        <w:rPr>
          <w:b/>
        </w:rPr>
        <w:t xml:space="preserve">RMSE: </w:t>
      </w:r>
    </w:p>
    <w:p w14:paraId="3BD6D9FD" w14:textId="37907AC6" w:rsidR="00036C33" w:rsidRPr="00AC13E7" w:rsidRDefault="0036299C" w:rsidP="00893747">
      <w:pPr>
        <w:jc w:val="both"/>
      </w:pPr>
      <m:oMathPara>
        <m:oMath>
          <m:sSub>
            <m:sSubPr>
              <m:ctrlPr>
                <w:rPr>
                  <w:rFonts w:ascii="Cambria Math" w:hAnsi="Cambria Math"/>
                  <w:i/>
                </w:rPr>
              </m:ctrlPr>
            </m:sSubPr>
            <m:e>
              <m:r>
                <w:rPr>
                  <w:rFonts w:ascii="Cambria Math" w:hAnsi="Cambria Math"/>
                </w:rPr>
                <m:t>RMSE</m:t>
              </m:r>
            </m:e>
            <m:sub>
              <m:r>
                <w:rPr>
                  <w:rFonts w:ascii="Cambria Math" w:hAnsi="Cambria Math"/>
                </w:rPr>
                <m:t>similarity</m:t>
              </m:r>
            </m:sub>
          </m:sSub>
          <m:r>
            <w:rPr>
              <w:rFonts w:ascii="Cambria Math" w:hAnsi="Cambria Math"/>
            </w:rPr>
            <m:t>=1-</m:t>
          </m:r>
          <m:f>
            <m:fPr>
              <m:ctrlPr>
                <w:rPr>
                  <w:rFonts w:ascii="Cambria Math" w:hAnsi="Cambria Math"/>
                </w:rPr>
              </m:ctrlPr>
            </m:fPr>
            <m:num>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r>
                        <m:rPr>
                          <m:sty m:val="p"/>
                        </m:rPr>
                        <w:rPr>
                          <w:rFonts w:ascii="Cambria Math" w:hAnsi="Cambria Math"/>
                        </w:rPr>
                        <m:t>N</m:t>
                      </m:r>
                    </m:den>
                  </m:f>
                  <m:nary>
                    <m:naryPr>
                      <m:chr m:val="∑"/>
                      <m:ctrlPr>
                        <w:rPr>
                          <w:rFonts w:ascii="Cambria Math" w:hAnsi="Cambria Math"/>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ϕ</m:t>
                                  </m:r>
                                </m:e>
                                <m:sub>
                                  <m:r>
                                    <w:rPr>
                                      <w:rFonts w:ascii="Cambria Math" w:hAnsi="Cambria Math"/>
                                    </w:rPr>
                                    <m:t>n</m:t>
                                  </m:r>
                                </m:sub>
                                <m:sup>
                                  <m:r>
                                    <w:rPr>
                                      <w:rFonts w:ascii="Cambria Math" w:hAnsi="Cambria Math"/>
                                    </w:rPr>
                                    <m:t>(i)</m:t>
                                  </m:r>
                                </m:sup>
                              </m:sSubSup>
                              <m:r>
                                <w:rPr>
                                  <w:rFonts w:ascii="Cambria Math" w:hAnsi="Cambria Math"/>
                                </w:rPr>
                                <m:t xml:space="preserve"> -</m:t>
                              </m:r>
                              <m:sSubSup>
                                <m:sSubSupPr>
                                  <m:ctrlPr>
                                    <w:rPr>
                                      <w:rFonts w:ascii="Cambria Math" w:hAnsi="Cambria Math"/>
                                      <w:i/>
                                    </w:rPr>
                                  </m:ctrlPr>
                                </m:sSubSupPr>
                                <m:e>
                                  <m:r>
                                    <w:rPr>
                                      <w:rFonts w:ascii="Cambria Math" w:hAnsi="Cambria Math"/>
                                    </w:rPr>
                                    <m:t>ϕ</m:t>
                                  </m:r>
                                </m:e>
                                <m:sub>
                                  <m:r>
                                    <w:rPr>
                                      <w:rFonts w:ascii="Cambria Math" w:hAnsi="Cambria Math"/>
                                    </w:rPr>
                                    <m:t>n</m:t>
                                  </m:r>
                                </m:sub>
                                <m:sup>
                                  <m:r>
                                    <w:rPr>
                                      <w:rFonts w:ascii="Cambria Math" w:hAnsi="Cambria Math"/>
                                    </w:rPr>
                                    <m:t>(j)</m:t>
                                  </m:r>
                                </m:sup>
                              </m:sSubSup>
                            </m:e>
                          </m:d>
                        </m:e>
                        <m:sup>
                          <m:r>
                            <w:rPr>
                              <w:rFonts w:ascii="Cambria Math" w:hAnsi="Cambria Math"/>
                            </w:rPr>
                            <m:t>2</m:t>
                          </m:r>
                        </m:sup>
                      </m:sSup>
                    </m:e>
                  </m:nary>
                </m:e>
              </m:rad>
            </m:num>
            <m:den>
              <m:r>
                <w:rPr>
                  <w:rFonts w:ascii="Cambria Math" w:hAnsi="Cambria Math"/>
                </w:rPr>
                <m:t>ρ</m:t>
              </m:r>
            </m:den>
          </m:f>
        </m:oMath>
      </m:oMathPara>
    </w:p>
    <w:p w14:paraId="3C758DF6" w14:textId="6AE37991" w:rsidR="00036C33" w:rsidRPr="00AC13E7" w:rsidRDefault="00036C33" w:rsidP="00893747">
      <w:pPr>
        <w:jc w:val="both"/>
      </w:pPr>
      <w:r w:rsidRPr="00AC13E7">
        <w:t xml:space="preserve">where </w:t>
      </w:r>
      <m:oMath>
        <m:sSubSup>
          <m:sSubSupPr>
            <m:ctrlPr>
              <w:rPr>
                <w:rFonts w:ascii="Cambria Math" w:hAnsi="Cambria Math"/>
                <w:i/>
              </w:rPr>
            </m:ctrlPr>
          </m:sSubSupPr>
          <m:e>
            <m:r>
              <w:rPr>
                <w:rFonts w:ascii="Cambria Math" w:hAnsi="Cambria Math"/>
              </w:rPr>
              <m:t>ϕ</m:t>
            </m:r>
          </m:e>
          <m:sub>
            <m:r>
              <w:rPr>
                <w:rFonts w:ascii="Cambria Math" w:hAnsi="Cambria Math"/>
              </w:rPr>
              <m:t>n</m:t>
            </m:r>
          </m:sub>
          <m:sup>
            <m:r>
              <w:rPr>
                <w:rFonts w:ascii="Cambria Math" w:hAnsi="Cambria Math"/>
              </w:rPr>
              <m:t>(i)</m:t>
            </m:r>
          </m:sup>
        </m:sSubSup>
      </m:oMath>
      <w:r w:rsidRPr="00AC13E7">
        <w:t xml:space="preserve"> is the </w:t>
      </w:r>
      <m:oMath>
        <m:r>
          <w:rPr>
            <w:rFonts w:ascii="Cambria Math" w:hAnsi="Cambria Math"/>
          </w:rPr>
          <m:t>i</m:t>
        </m:r>
      </m:oMath>
      <w:r w:rsidRPr="00AC13E7">
        <w:t xml:space="preserve">-th method reported Cellular Prevalence (CP) of SNV </w:t>
      </w:r>
      <m:oMath>
        <m:r>
          <w:rPr>
            <w:rFonts w:ascii="Cambria Math" w:hAnsi="Cambria Math"/>
          </w:rPr>
          <m:t>n</m:t>
        </m:r>
      </m:oMath>
      <w:r w:rsidRPr="00AC13E7">
        <w:t xml:space="preserve">, and </w:t>
      </w:r>
      <m:oMath>
        <m:r>
          <w:rPr>
            <w:rFonts w:ascii="Cambria Math" w:hAnsi="Cambria Math"/>
          </w:rPr>
          <m:t>ρ</m:t>
        </m:r>
      </m:oMath>
      <w:r w:rsidRPr="00AC13E7">
        <w:t xml:space="preserve"> is the purity of the sample.</w:t>
      </w:r>
    </w:p>
    <w:p w14:paraId="1F4BCCE2" w14:textId="77777777" w:rsidR="00F14E21" w:rsidRPr="00AC13E7" w:rsidRDefault="00036C33" w:rsidP="00893747">
      <w:pPr>
        <w:jc w:val="both"/>
      </w:pPr>
      <w:r w:rsidRPr="00AC13E7">
        <w:t xml:space="preserve">    </w:t>
      </w:r>
    </w:p>
    <w:p w14:paraId="04D3E20C" w14:textId="39FFC09C" w:rsidR="00036C33" w:rsidRPr="00AC13E7" w:rsidRDefault="00036C33" w:rsidP="00893747">
      <w:pPr>
        <w:jc w:val="both"/>
      </w:pPr>
      <w:r w:rsidRPr="00AC13E7">
        <w:t>To account for dynamic range diversities among samples, a normalization (M-min(M)) / (max(M) - min(M)), where M is a metric, was done to ensure each metric is properly scaled to the interval [0,1]. The combined similarity, defined as the mean of the three aforementioned metrics, was used to assess the overall similarities between methods.</w:t>
      </w:r>
    </w:p>
    <w:p w14:paraId="26C24008" w14:textId="77777777" w:rsidR="00036C33" w:rsidRPr="00AC13E7" w:rsidRDefault="00036C33" w:rsidP="00036C33"/>
    <w:p w14:paraId="04337902" w14:textId="77777777" w:rsidR="00253D8D" w:rsidRPr="00AC13E7" w:rsidRDefault="00253D8D">
      <w:pPr>
        <w:rPr>
          <w:rFonts w:eastAsia="Times"/>
          <w:bCs/>
          <w:color w:val="000000"/>
          <w:sz w:val="32"/>
          <w:szCs w:val="32"/>
        </w:rPr>
      </w:pPr>
      <w:r w:rsidRPr="00AC13E7">
        <w:rPr>
          <w:b/>
          <w:bCs/>
          <w:sz w:val="32"/>
          <w:szCs w:val="32"/>
        </w:rPr>
        <w:br w:type="page"/>
      </w:r>
    </w:p>
    <w:p w14:paraId="79D49B7E" w14:textId="6637C2A7" w:rsidR="00036C33" w:rsidRPr="00AC13E7" w:rsidRDefault="00C6344E" w:rsidP="00036C33">
      <w:pPr>
        <w:pStyle w:val="Heading3"/>
        <w:rPr>
          <w:rFonts w:ascii="Times New Roman" w:hAnsi="Times New Roman" w:cs="Times New Roman"/>
          <w:b w:val="0"/>
          <w:bCs/>
          <w:sz w:val="32"/>
          <w:szCs w:val="32"/>
          <w:lang w:val="en-GB"/>
        </w:rPr>
      </w:pPr>
      <w:bookmarkStart w:id="181" w:name="_Toc391905030"/>
      <w:r w:rsidRPr="00AC13E7">
        <w:rPr>
          <w:rFonts w:ascii="Times New Roman" w:hAnsi="Times New Roman" w:cs="Times New Roman"/>
          <w:b w:val="0"/>
          <w:bCs/>
          <w:sz w:val="32"/>
          <w:szCs w:val="32"/>
          <w:lang w:val="en-GB"/>
        </w:rPr>
        <w:lastRenderedPageBreak/>
        <w:t>2.2.3</w:t>
      </w:r>
      <w:r w:rsidR="00036C33" w:rsidRPr="00AC13E7">
        <w:rPr>
          <w:rFonts w:ascii="Times New Roman" w:hAnsi="Times New Roman" w:cs="Times New Roman"/>
          <w:b w:val="0"/>
          <w:bCs/>
          <w:sz w:val="32"/>
          <w:szCs w:val="32"/>
          <w:lang w:val="en-GB"/>
        </w:rPr>
        <w:t xml:space="preserve"> Results</w:t>
      </w:r>
      <w:bookmarkEnd w:id="181"/>
    </w:p>
    <w:p w14:paraId="3DDAE8D7" w14:textId="6EFB7760" w:rsidR="004860F8" w:rsidRPr="00AC13E7" w:rsidRDefault="00036C33" w:rsidP="00F14E21">
      <w:pPr>
        <w:jc w:val="both"/>
      </w:pPr>
      <w:r w:rsidRPr="00AC13E7">
        <w:t>The 11 subclonal structure identification methods relied on different assumptions and clustering mechanisms (</w:t>
      </w:r>
      <w:r w:rsidR="00D03C34" w:rsidRPr="00AC13E7">
        <w:fldChar w:fldCharType="begin"/>
      </w:r>
      <w:r w:rsidR="00D03C34" w:rsidRPr="00AC13E7">
        <w:instrText xml:space="preserve"> REF _Ref379536550 \h </w:instrText>
      </w:r>
      <w:r w:rsidR="00D03C34" w:rsidRPr="00AC13E7">
        <w:fldChar w:fldCharType="separate"/>
      </w:r>
      <w:r w:rsidR="00673FBD" w:rsidRPr="00AC13E7">
        <w:t xml:space="preserve">Fig. </w:t>
      </w:r>
      <w:r w:rsidR="00673FBD">
        <w:rPr>
          <w:noProof/>
        </w:rPr>
        <w:t>28</w:t>
      </w:r>
      <w:r w:rsidR="00D03C34" w:rsidRPr="00AC13E7">
        <w:fldChar w:fldCharType="end"/>
      </w:r>
      <w:r w:rsidRPr="00AC13E7">
        <w:t>)</w:t>
      </w:r>
      <w:r w:rsidR="009E4043" w:rsidRPr="00AC13E7">
        <w:t>.</w:t>
      </w:r>
      <w:r w:rsidRPr="00AC13E7">
        <w:t xml:space="preserve"> </w:t>
      </w:r>
    </w:p>
    <w:p w14:paraId="3C48215A" w14:textId="7C48E188" w:rsidR="00F45A2F" w:rsidRPr="00AC13E7" w:rsidRDefault="00BB565F" w:rsidP="00F45A2F">
      <w:pPr>
        <w:keepNext/>
        <w:jc w:val="center"/>
      </w:pPr>
      <w:r>
        <w:rPr>
          <w:noProof/>
          <w:lang w:eastAsia="en-GB"/>
        </w:rPr>
        <w:drawing>
          <wp:inline distT="0" distB="0" distL="0" distR="0" wp14:anchorId="59439B95" wp14:editId="70300769">
            <wp:extent cx="3083065" cy="2326821"/>
            <wp:effectExtent l="0" t="0" r="0" b="10160"/>
            <wp:docPr id="19" name="Picture 19" descr="Macintosh HD:Users:tarabim:Desktop:Projects:Heterogeneity:Supplement:suppl_figures17-23:Fig17_supp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rabim:Desktop:Projects:Heterogeneity:Supplement:suppl_figures17-23:Fig17_suppl.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83283" cy="2326986"/>
                    </a:xfrm>
                    <a:prstGeom prst="rect">
                      <a:avLst/>
                    </a:prstGeom>
                    <a:noFill/>
                    <a:ln>
                      <a:noFill/>
                    </a:ln>
                  </pic:spPr>
                </pic:pic>
              </a:graphicData>
            </a:graphic>
          </wp:inline>
        </w:drawing>
      </w:r>
    </w:p>
    <w:p w14:paraId="4460C325" w14:textId="31FF73BF" w:rsidR="009D4432" w:rsidRPr="00AC13E7" w:rsidRDefault="00F45A2F" w:rsidP="004916C9">
      <w:pPr>
        <w:pStyle w:val="Caption"/>
      </w:pPr>
      <w:bookmarkStart w:id="182" w:name="_Ref379536550"/>
      <w:bookmarkStart w:id="183" w:name="_Toc384459599"/>
      <w:r w:rsidRPr="00AC13E7">
        <w:t xml:space="preserve">Fig. </w:t>
      </w:r>
      <w:r w:rsidR="001003E9">
        <w:fldChar w:fldCharType="begin"/>
      </w:r>
      <w:r w:rsidR="001003E9">
        <w:instrText xml:space="preserve"> SEQ Fig. \* ARABIC </w:instrText>
      </w:r>
      <w:r w:rsidR="001003E9">
        <w:fldChar w:fldCharType="separate"/>
      </w:r>
      <w:r w:rsidR="00673FBD">
        <w:rPr>
          <w:noProof/>
        </w:rPr>
        <w:t>28</w:t>
      </w:r>
      <w:r w:rsidR="001003E9">
        <w:rPr>
          <w:noProof/>
        </w:rPr>
        <w:fldChar w:fldCharType="end"/>
      </w:r>
      <w:bookmarkEnd w:id="182"/>
      <w:r w:rsidR="00F05DA6" w:rsidRPr="00AC13E7">
        <w:t xml:space="preserve"> Individual methods and their internal assumptions and models.</w:t>
      </w:r>
      <w:r w:rsidR="009D4432" w:rsidRPr="00AC13E7">
        <w:t xml:space="preserve"> Each method typically does not share assumptions/mechanisms with other methods. Even if they do, like Phylogic</w:t>
      </w:r>
      <w:r w:rsidR="002A63F9" w:rsidRPr="00AC13E7">
        <w:t>NDT</w:t>
      </w:r>
      <w:r w:rsidR="009D4432" w:rsidRPr="00AC13E7">
        <w:t xml:space="preserve"> and DPClust, they uti</w:t>
      </w:r>
      <w:r w:rsidR="009C0668">
        <w:t xml:space="preserve">lize the mechanism differently and there are </w:t>
      </w:r>
      <w:r w:rsidR="009D4432" w:rsidRPr="00AC13E7">
        <w:t>substantial difference</w:t>
      </w:r>
      <w:r w:rsidR="009C0668">
        <w:t>s</w:t>
      </w:r>
      <w:r w:rsidR="009D4432" w:rsidRPr="00AC13E7">
        <w:t xml:space="preserve"> in pre-/post- processing.</w:t>
      </w:r>
      <w:bookmarkEnd w:id="183"/>
    </w:p>
    <w:p w14:paraId="4471155E" w14:textId="15EF4ED0" w:rsidR="004860F8" w:rsidRPr="00AC13E7" w:rsidRDefault="004860F8" w:rsidP="00F14E21">
      <w:pPr>
        <w:jc w:val="both"/>
      </w:pPr>
      <w:r w:rsidRPr="00AC13E7">
        <w:t xml:space="preserve">These differences explain why each method </w:t>
      </w:r>
      <w:r w:rsidR="009E4043" w:rsidRPr="00AC13E7">
        <w:t xml:space="preserve">leads to different results and </w:t>
      </w:r>
      <w:r w:rsidRPr="00AC13E7">
        <w:t>tends to perform better on a different subset of sample</w:t>
      </w:r>
      <w:r w:rsidR="009E4043" w:rsidRPr="00AC13E7">
        <w:t>s</w:t>
      </w:r>
      <w:r w:rsidR="00036C33" w:rsidRPr="00AC13E7">
        <w:t xml:space="preserve"> (</w:t>
      </w:r>
      <w:r w:rsidR="00D03C34" w:rsidRPr="00AC13E7">
        <w:fldChar w:fldCharType="begin"/>
      </w:r>
      <w:r w:rsidR="00D03C34" w:rsidRPr="00AC13E7">
        <w:instrText xml:space="preserve"> REF _Ref379536564 \h </w:instrText>
      </w:r>
      <w:r w:rsidR="00D03C34" w:rsidRPr="00AC13E7">
        <w:fldChar w:fldCharType="separate"/>
      </w:r>
      <w:r w:rsidR="00673FBD" w:rsidRPr="00AC13E7">
        <w:t xml:space="preserve">Fig. </w:t>
      </w:r>
      <w:r w:rsidR="00673FBD">
        <w:rPr>
          <w:noProof/>
        </w:rPr>
        <w:t>29</w:t>
      </w:r>
      <w:r w:rsidR="00D03C34" w:rsidRPr="00AC13E7">
        <w:fldChar w:fldCharType="end"/>
      </w:r>
      <w:r w:rsidR="00036C33" w:rsidRPr="00AC13E7">
        <w:t xml:space="preserve">). </w:t>
      </w:r>
    </w:p>
    <w:p w14:paraId="2024ECC4" w14:textId="77777777" w:rsidR="005352A9" w:rsidRPr="00AC13E7" w:rsidRDefault="005352A9" w:rsidP="00F14E21">
      <w:pPr>
        <w:jc w:val="both"/>
      </w:pPr>
    </w:p>
    <w:p w14:paraId="471704AA" w14:textId="11504F5A" w:rsidR="00F66A55" w:rsidRPr="00AC13E7" w:rsidRDefault="00B219FC" w:rsidP="00F05DA6">
      <w:pPr>
        <w:keepNext/>
        <w:jc w:val="both"/>
      </w:pPr>
      <w:r>
        <w:rPr>
          <w:noProof/>
          <w:lang w:eastAsia="en-GB"/>
        </w:rPr>
        <w:drawing>
          <wp:inline distT="0" distB="0" distL="0" distR="0" wp14:anchorId="79CBD41E" wp14:editId="3518BE7B">
            <wp:extent cx="5266055" cy="3510915"/>
            <wp:effectExtent l="0" t="0" r="0" b="0"/>
            <wp:docPr id="30" name="Picture 30" descr="Macintosh HD:Users:tarabim:Desktop:Fig18_supp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arabim:Desktop:Fig18_suppl.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66055" cy="3510915"/>
                    </a:xfrm>
                    <a:prstGeom prst="rect">
                      <a:avLst/>
                    </a:prstGeom>
                    <a:noFill/>
                    <a:ln>
                      <a:noFill/>
                    </a:ln>
                  </pic:spPr>
                </pic:pic>
              </a:graphicData>
            </a:graphic>
          </wp:inline>
        </w:drawing>
      </w:r>
    </w:p>
    <w:p w14:paraId="59555959" w14:textId="515316E4" w:rsidR="004860F8" w:rsidRPr="00AC13E7" w:rsidRDefault="00F05DA6" w:rsidP="004916C9">
      <w:pPr>
        <w:pStyle w:val="Caption"/>
      </w:pPr>
      <w:bookmarkStart w:id="184" w:name="_Ref379536564"/>
      <w:bookmarkStart w:id="185" w:name="_Toc384459600"/>
      <w:r w:rsidRPr="00AC13E7">
        <w:t xml:space="preserve">Fig. </w:t>
      </w:r>
      <w:r w:rsidR="001003E9">
        <w:fldChar w:fldCharType="begin"/>
      </w:r>
      <w:r w:rsidR="001003E9">
        <w:instrText xml:space="preserve"> SEQ Fig. \* ARABIC </w:instrText>
      </w:r>
      <w:r w:rsidR="001003E9">
        <w:fldChar w:fldCharType="separate"/>
      </w:r>
      <w:r w:rsidR="00673FBD">
        <w:rPr>
          <w:noProof/>
        </w:rPr>
        <w:t>29</w:t>
      </w:r>
      <w:r w:rsidR="001003E9">
        <w:rPr>
          <w:noProof/>
        </w:rPr>
        <w:fldChar w:fldCharType="end"/>
      </w:r>
      <w:bookmarkEnd w:id="184"/>
      <w:r w:rsidRPr="00AC13E7">
        <w:t xml:space="preserve"> </w:t>
      </w:r>
      <w:r w:rsidR="004860F8" w:rsidRPr="00AC13E7">
        <w:t>Examples of subclonal reconstruction differences across methods.</w:t>
      </w:r>
      <w:r w:rsidR="009D4432" w:rsidRPr="00AC13E7">
        <w:t xml:space="preserve"> Results </w:t>
      </w:r>
      <w:r w:rsidR="003453CD" w:rsidRPr="00AC13E7">
        <w:t>across</w:t>
      </w:r>
      <w:r w:rsidR="009D4432" w:rsidRPr="00AC13E7">
        <w:t xml:space="preserve"> m</w:t>
      </w:r>
      <w:r w:rsidR="00EF756F" w:rsidRPr="00AC13E7">
        <w:t xml:space="preserve">ethods </w:t>
      </w:r>
      <w:r w:rsidR="003453CD" w:rsidRPr="00AC13E7">
        <w:t>are variable</w:t>
      </w:r>
      <w:r w:rsidR="009D4432" w:rsidRPr="00AC13E7">
        <w:t xml:space="preserve">, but the consensus methods are able to reconstruct the subclonal structure robustly. </w:t>
      </w:r>
      <w:r w:rsidR="00AC1AD1">
        <w:t xml:space="preserve">Each individual method’s subclonal peaks are linked with a line. </w:t>
      </w:r>
      <w:r w:rsidR="009D4432" w:rsidRPr="00AC13E7">
        <w:t xml:space="preserve">A) Most </w:t>
      </w:r>
      <w:r w:rsidR="003453CD" w:rsidRPr="00AC13E7">
        <w:t>solutions</w:t>
      </w:r>
      <w:r w:rsidR="009D4432" w:rsidRPr="00AC13E7">
        <w:t xml:space="preserve"> </w:t>
      </w:r>
      <w:r w:rsidR="003453CD" w:rsidRPr="00AC13E7">
        <w:t>agree except</w:t>
      </w:r>
      <w:r w:rsidR="009D4432" w:rsidRPr="00AC13E7">
        <w:t xml:space="preserve"> two. B) Methods agree on the clonal </w:t>
      </w:r>
      <w:r w:rsidR="003453CD" w:rsidRPr="00AC13E7">
        <w:t>location and size, but they diverge</w:t>
      </w:r>
      <w:r w:rsidR="009D4432" w:rsidRPr="00AC13E7">
        <w:t xml:space="preserve"> </w:t>
      </w:r>
      <w:r w:rsidR="003453CD" w:rsidRPr="00AC13E7">
        <w:t>for</w:t>
      </w:r>
      <w:r w:rsidR="009D4432" w:rsidRPr="00AC13E7">
        <w:t xml:space="preserve"> the subclonal position and size. C</w:t>
      </w:r>
      <w:r w:rsidR="003453CD" w:rsidRPr="00AC13E7">
        <w:t>-E</w:t>
      </w:r>
      <w:r w:rsidR="009D4432" w:rsidRPr="00AC13E7">
        <w:t xml:space="preserve">) </w:t>
      </w:r>
      <w:r w:rsidR="003453CD" w:rsidRPr="00AC13E7">
        <w:t xml:space="preserve">Global agreement on the number of clusters </w:t>
      </w:r>
      <w:r w:rsidR="003453CD" w:rsidRPr="00AC13E7">
        <w:lastRenderedPageBreak/>
        <w:t>but deviation in position and size</w:t>
      </w:r>
      <w:r w:rsidR="009D4432" w:rsidRPr="00AC13E7">
        <w:t xml:space="preserve">. </w:t>
      </w:r>
      <w:r w:rsidR="003453CD" w:rsidRPr="00AC13E7">
        <w:t>F) High variability and disagreement across methods still leads to stable consensus solutions.</w:t>
      </w:r>
      <w:bookmarkEnd w:id="185"/>
    </w:p>
    <w:p w14:paraId="0199149B" w14:textId="4E7DDC7E" w:rsidR="00036C33" w:rsidRPr="00AC13E7" w:rsidRDefault="004860F8" w:rsidP="00F14E21">
      <w:pPr>
        <w:jc w:val="both"/>
      </w:pPr>
      <w:r w:rsidRPr="00AC13E7">
        <w:t>This</w:t>
      </w:r>
      <w:r w:rsidR="00036C33" w:rsidRPr="00AC13E7">
        <w:t xml:space="preserve"> motivated the design of consensus methods that might </w:t>
      </w:r>
      <w:r w:rsidRPr="00AC13E7">
        <w:t xml:space="preserve">combine the strengths of individual methods and </w:t>
      </w:r>
      <w:r w:rsidR="00036C33" w:rsidRPr="00AC13E7">
        <w:t>be more robust across various tumour subclonal topologies</w:t>
      </w:r>
      <w:r w:rsidR="00B07122" w:rsidRPr="00AC13E7">
        <w:t xml:space="preserve"> (e.g. </w:t>
      </w:r>
      <w:r w:rsidR="00B07122" w:rsidRPr="00AC13E7">
        <w:fldChar w:fldCharType="begin"/>
      </w:r>
      <w:r w:rsidR="00B07122" w:rsidRPr="00AC13E7">
        <w:instrText xml:space="preserve"> REF _Ref379536564 \h </w:instrText>
      </w:r>
      <w:r w:rsidR="00B07122" w:rsidRPr="00AC13E7">
        <w:fldChar w:fldCharType="separate"/>
      </w:r>
      <w:r w:rsidR="00673FBD" w:rsidRPr="00AC13E7">
        <w:t xml:space="preserve">Fig. </w:t>
      </w:r>
      <w:r w:rsidR="00673FBD">
        <w:rPr>
          <w:noProof/>
        </w:rPr>
        <w:t>29</w:t>
      </w:r>
      <w:r w:rsidR="00B07122" w:rsidRPr="00AC13E7">
        <w:fldChar w:fldCharType="end"/>
      </w:r>
      <w:r w:rsidR="00B07122" w:rsidRPr="00AC13E7">
        <w:t>F)</w:t>
      </w:r>
      <w:r w:rsidR="00036C33" w:rsidRPr="00AC13E7">
        <w:t xml:space="preserve">. </w:t>
      </w:r>
    </w:p>
    <w:p w14:paraId="72032A4D" w14:textId="77777777" w:rsidR="00F14E21" w:rsidRPr="00AC13E7" w:rsidRDefault="00F14E21" w:rsidP="00F14E21">
      <w:pPr>
        <w:jc w:val="both"/>
        <w:rPr>
          <w:b/>
        </w:rPr>
      </w:pPr>
    </w:p>
    <w:p w14:paraId="05ACCA5F" w14:textId="77777777" w:rsidR="00673FBD" w:rsidRDefault="00036C33">
      <w:pPr>
        <w:rPr>
          <w:rFonts w:eastAsia="Times"/>
          <w:bCs/>
          <w:color w:val="000000"/>
          <w:sz w:val="32"/>
          <w:szCs w:val="32"/>
        </w:rPr>
      </w:pPr>
      <w:r w:rsidRPr="00AC13E7">
        <w:t>To assess the performance of the methods, two independent simulation sets were constructed. The first set, PhylogicSim500, contained 500 samples, where the copy number profiles were sampled from the PCAWG samples and the other parameters were independently sampled from fixed distributions</w:t>
      </w:r>
      <w:r w:rsidR="003B4193" w:rsidRPr="00AC13E7">
        <w:t xml:space="preserve"> (</w:t>
      </w:r>
      <w:r w:rsidR="003B4193" w:rsidRPr="00AC13E7">
        <w:fldChar w:fldCharType="begin"/>
      </w:r>
      <w:r w:rsidR="003B4193" w:rsidRPr="00AC13E7">
        <w:instrText xml:space="preserve"> REF _Ref380141808 \h </w:instrText>
      </w:r>
      <w:r w:rsidR="003B4193" w:rsidRPr="00AC13E7">
        <w:fldChar w:fldCharType="separate"/>
      </w:r>
      <w:r w:rsidR="00673FBD" w:rsidRPr="00AC13E7">
        <w:rPr>
          <w:bCs/>
          <w:sz w:val="32"/>
          <w:szCs w:val="32"/>
        </w:rPr>
        <w:t>2.4.1 Simulation of subclonally heterogeneous samples – PhylogicSim500</w:t>
      </w:r>
      <w:r w:rsidR="003B4193" w:rsidRPr="00AC13E7">
        <w:fldChar w:fldCharType="end"/>
      </w:r>
      <w:r w:rsidR="003B4193" w:rsidRPr="00AC13E7">
        <w:t>)</w:t>
      </w:r>
      <w:r w:rsidRPr="00AC13E7">
        <w:t>. To allow individual methods to debug and tune their parameters, the true subclonal architectures were released along with the</w:t>
      </w:r>
      <w:r w:rsidR="00253D8D" w:rsidRPr="00AC13E7">
        <w:t xml:space="preserve"> PhylogicSim</w:t>
      </w:r>
      <w:r w:rsidRPr="00AC13E7">
        <w:t xml:space="preserve"> data. The second set, SimClone1000, contained 965 samples and used a grid design to cover the collection of scenarios encountered in the PCAWG samples (</w:t>
      </w:r>
      <w:r w:rsidR="003B4193" w:rsidRPr="00AC13E7">
        <w:fldChar w:fldCharType="begin"/>
      </w:r>
      <w:r w:rsidR="003B4193" w:rsidRPr="00AC13E7">
        <w:instrText xml:space="preserve"> REF _Ref380141824 \h </w:instrText>
      </w:r>
      <w:r w:rsidR="003B4193" w:rsidRPr="00AC13E7">
        <w:fldChar w:fldCharType="separate"/>
      </w:r>
      <w:r w:rsidR="00673FBD">
        <w:rPr>
          <w:b/>
          <w:bCs/>
          <w:sz w:val="32"/>
          <w:szCs w:val="32"/>
        </w:rPr>
        <w:br w:type="page"/>
      </w:r>
    </w:p>
    <w:p w14:paraId="4DE9A26C" w14:textId="6F0C8EFB" w:rsidR="00036C33" w:rsidRPr="00AC13E7" w:rsidRDefault="00673FBD" w:rsidP="00F943FC">
      <w:pPr>
        <w:jc w:val="both"/>
      </w:pPr>
      <w:r w:rsidRPr="00AC13E7">
        <w:rPr>
          <w:bCs/>
          <w:sz w:val="32"/>
          <w:szCs w:val="32"/>
        </w:rPr>
        <w:lastRenderedPageBreak/>
        <w:t>2.4.2 A grid approach to simulations of tumours – SimClone1000</w:t>
      </w:r>
      <w:r w:rsidR="003B4193" w:rsidRPr="00AC13E7">
        <w:fldChar w:fldCharType="end"/>
      </w:r>
      <w:r w:rsidR="00036C33" w:rsidRPr="00AC13E7">
        <w:t>). The ground truth of SimClone1000 data was not released before the final evaluation of all methods</w:t>
      </w:r>
      <w:r w:rsidR="00FA1FA6" w:rsidRPr="00AC13E7">
        <w:t>;</w:t>
      </w:r>
      <w:r w:rsidR="004860F8" w:rsidRPr="00AC13E7">
        <w:t xml:space="preserve"> the design was also kept hidden</w:t>
      </w:r>
      <w:r w:rsidR="004233AF" w:rsidRPr="00AC13E7">
        <w:t xml:space="preserve"> and made </w:t>
      </w:r>
      <w:r w:rsidR="003B4193" w:rsidRPr="00AC13E7">
        <w:t xml:space="preserve">the </w:t>
      </w:r>
      <w:r w:rsidR="004233AF" w:rsidRPr="00AC13E7">
        <w:t xml:space="preserve">inference of the </w:t>
      </w:r>
      <w:r w:rsidR="003B4193" w:rsidRPr="00AC13E7">
        <w:t>grid</w:t>
      </w:r>
      <w:r w:rsidR="004233AF" w:rsidRPr="00AC13E7">
        <w:t xml:space="preserve"> difficult</w:t>
      </w:r>
      <w:r w:rsidR="00036C33" w:rsidRPr="00AC13E7">
        <w:t xml:space="preserve">. </w:t>
      </w:r>
    </w:p>
    <w:p w14:paraId="7E7AD2FD" w14:textId="77777777" w:rsidR="00F14E21" w:rsidRPr="00AC13E7" w:rsidRDefault="00F14E21" w:rsidP="00F943FC">
      <w:pPr>
        <w:jc w:val="both"/>
      </w:pPr>
    </w:p>
    <w:p w14:paraId="6EE8F071" w14:textId="772FC720" w:rsidR="00253D8D" w:rsidRPr="00AC13E7" w:rsidRDefault="00FA1FA6" w:rsidP="00F943FC">
      <w:pPr>
        <w:jc w:val="both"/>
      </w:pPr>
      <w:r w:rsidRPr="00AC13E7">
        <w:t xml:space="preserve">As described in </w:t>
      </w:r>
      <w:r w:rsidRPr="00AC13E7">
        <w:fldChar w:fldCharType="begin"/>
      </w:r>
      <w:r w:rsidRPr="00AC13E7">
        <w:instrText xml:space="preserve"> REF _Ref381633922 \h </w:instrText>
      </w:r>
      <w:r w:rsidRPr="00AC13E7">
        <w:fldChar w:fldCharType="separate"/>
      </w:r>
      <w:r w:rsidR="00673FBD" w:rsidRPr="00AC13E7">
        <w:rPr>
          <w:bCs/>
          <w:sz w:val="32"/>
          <w:szCs w:val="32"/>
        </w:rPr>
        <w:t>2.2.2 Evaluation metrics</w:t>
      </w:r>
      <w:r w:rsidRPr="00AC13E7">
        <w:fldChar w:fldCharType="end"/>
      </w:r>
      <w:r w:rsidRPr="00AC13E7">
        <w:t>, t</w:t>
      </w:r>
      <w:r w:rsidR="00036C33" w:rsidRPr="00AC13E7">
        <w:t xml:space="preserve">o assess the performance of all the methods, we established an evaluation system using high-level summary metrics, corresponding to the biological variable of interest: </w:t>
      </w:r>
    </w:p>
    <w:p w14:paraId="02A1E817" w14:textId="77777777" w:rsidR="00253D8D" w:rsidRPr="00AC13E7" w:rsidRDefault="00036C33" w:rsidP="00D03C34">
      <w:pPr>
        <w:ind w:left="720"/>
        <w:jc w:val="both"/>
      </w:pPr>
      <w:r w:rsidRPr="00AC13E7">
        <w:t xml:space="preserve">1) clonal fractions, which describes how well a method is able to estimate the fraction of (sub)clonal SNVs; </w:t>
      </w:r>
    </w:p>
    <w:p w14:paraId="08314793" w14:textId="77777777" w:rsidR="00253D8D" w:rsidRPr="00AC13E7" w:rsidRDefault="00036C33" w:rsidP="00D03C34">
      <w:pPr>
        <w:ind w:left="720"/>
        <w:jc w:val="both"/>
      </w:pPr>
      <w:r w:rsidRPr="00AC13E7">
        <w:t xml:space="preserve">2) number of clusters, which is essential in clustering analysis and represented how well each method identifies the number of distinct subclones; and </w:t>
      </w:r>
    </w:p>
    <w:p w14:paraId="64F757C4" w14:textId="77777777" w:rsidR="00253D8D" w:rsidRPr="00AC13E7" w:rsidRDefault="00036C33" w:rsidP="00D03C34">
      <w:pPr>
        <w:ind w:left="720"/>
        <w:jc w:val="both"/>
      </w:pPr>
      <w:r w:rsidRPr="00AC13E7">
        <w:t xml:space="preserve">3) root mean squared error (RMSE) of mutation assignments, which characterizes how well the overall subclonal architecture matches another architecture (see supplementary methods). </w:t>
      </w:r>
    </w:p>
    <w:p w14:paraId="0A6E82F8" w14:textId="77777777" w:rsidR="00253D8D" w:rsidRPr="00AC13E7" w:rsidRDefault="00253D8D" w:rsidP="00F14E21">
      <w:pPr>
        <w:jc w:val="both"/>
      </w:pPr>
    </w:p>
    <w:p w14:paraId="1708D6F0" w14:textId="7FEEE25A" w:rsidR="00036C33" w:rsidRPr="00AC13E7" w:rsidRDefault="00036C33" w:rsidP="00F14E21">
      <w:pPr>
        <w:jc w:val="both"/>
      </w:pPr>
      <w:r w:rsidRPr="00AC13E7">
        <w:t>To gain an overall performance assessment, the total score for a given method in a given sample was obtained by averaging the ranks of the three metrics in the sample for this method.</w:t>
      </w:r>
    </w:p>
    <w:p w14:paraId="48FD4067" w14:textId="77777777" w:rsidR="00F14E21" w:rsidRPr="00AC13E7" w:rsidRDefault="00F14E21" w:rsidP="00F14E21">
      <w:pPr>
        <w:jc w:val="both"/>
      </w:pPr>
    </w:p>
    <w:p w14:paraId="040A0C96" w14:textId="765FAEB6" w:rsidR="00036C33" w:rsidRPr="00AC13E7" w:rsidRDefault="00036C33" w:rsidP="00547EA5">
      <w:pPr>
        <w:jc w:val="both"/>
        <w:rPr>
          <w:b/>
        </w:rPr>
      </w:pPr>
      <w:r w:rsidRPr="00AC13E7">
        <w:rPr>
          <w:b/>
        </w:rPr>
        <w:t xml:space="preserve">Individual methods lead to variable results </w:t>
      </w:r>
      <w:r w:rsidR="0053235E" w:rsidRPr="00AC13E7">
        <w:rPr>
          <w:b/>
        </w:rPr>
        <w:t>while</w:t>
      </w:r>
      <w:r w:rsidR="00547EA5" w:rsidRPr="00AC13E7">
        <w:rPr>
          <w:b/>
        </w:rPr>
        <w:t xml:space="preserve"> </w:t>
      </w:r>
      <w:r w:rsidR="0053235E" w:rsidRPr="00AC13E7">
        <w:rPr>
          <w:b/>
        </w:rPr>
        <w:t>c</w:t>
      </w:r>
      <w:r w:rsidR="00FA1FA6" w:rsidRPr="00AC13E7">
        <w:rPr>
          <w:b/>
        </w:rPr>
        <w:t>onsensus methods lead to more</w:t>
      </w:r>
      <w:r w:rsidRPr="00AC13E7">
        <w:rPr>
          <w:b/>
        </w:rPr>
        <w:t xml:space="preserve"> robust and accurate results in simulated data</w:t>
      </w:r>
    </w:p>
    <w:p w14:paraId="73946CF5" w14:textId="77777777" w:rsidR="005352A9" w:rsidRPr="00AC13E7" w:rsidRDefault="005352A9" w:rsidP="00F14E21">
      <w:pPr>
        <w:jc w:val="both"/>
      </w:pPr>
    </w:p>
    <w:p w14:paraId="7A12CEE2" w14:textId="08543009" w:rsidR="004860F8" w:rsidRPr="00AC13E7" w:rsidRDefault="00036C33" w:rsidP="00F14E21">
      <w:pPr>
        <w:jc w:val="both"/>
      </w:pPr>
      <w:r w:rsidRPr="00AC13E7">
        <w:t>The total scores (</w:t>
      </w:r>
      <w:r w:rsidR="00D03C34" w:rsidRPr="00AC13E7">
        <w:fldChar w:fldCharType="begin"/>
      </w:r>
      <w:r w:rsidR="00D03C34" w:rsidRPr="00AC13E7">
        <w:instrText xml:space="preserve"> REF _Ref379536628 \h </w:instrText>
      </w:r>
      <w:r w:rsidR="00D03C34" w:rsidRPr="00AC13E7">
        <w:fldChar w:fldCharType="separate"/>
      </w:r>
      <w:r w:rsidR="00673FBD" w:rsidRPr="00AC13E7">
        <w:t xml:space="preserve">Fig. </w:t>
      </w:r>
      <w:r w:rsidR="00673FBD">
        <w:rPr>
          <w:noProof/>
        </w:rPr>
        <w:t>30</w:t>
      </w:r>
      <w:r w:rsidR="00D03C34" w:rsidRPr="00AC13E7">
        <w:fldChar w:fldCharType="end"/>
      </w:r>
      <w:r w:rsidRPr="00AC13E7">
        <w:t>) show that the consensus methods were ranked at the top, together with the best individual methods. For the individual methods however we observed that the two simulation sets yielded similar results, which confirmed that the consensus methods were stable and consistently among the top performers, while individual methods showed a more variable performance</w:t>
      </w:r>
      <w:r w:rsidR="004860F8" w:rsidRPr="00AC13E7">
        <w:t>.</w:t>
      </w:r>
    </w:p>
    <w:p w14:paraId="5B26BA84" w14:textId="77777777" w:rsidR="004860F8" w:rsidRPr="00AC13E7" w:rsidRDefault="00036C33" w:rsidP="00F14E21">
      <w:pPr>
        <w:jc w:val="both"/>
      </w:pPr>
      <w:r w:rsidRPr="00AC13E7">
        <w:t xml:space="preserve"> </w:t>
      </w:r>
    </w:p>
    <w:p w14:paraId="6E43F2E9" w14:textId="6E39760D" w:rsidR="00F05DA6" w:rsidRPr="00AC13E7" w:rsidRDefault="00755988" w:rsidP="00F05DA6">
      <w:pPr>
        <w:keepNext/>
        <w:jc w:val="both"/>
      </w:pPr>
      <w:r>
        <w:rPr>
          <w:noProof/>
          <w:lang w:eastAsia="en-GB"/>
        </w:rPr>
        <w:lastRenderedPageBreak/>
        <w:drawing>
          <wp:inline distT="0" distB="0" distL="0" distR="0" wp14:anchorId="4D735CA4" wp14:editId="45004BB7">
            <wp:extent cx="5266055" cy="4294505"/>
            <wp:effectExtent l="0" t="0" r="0" b="0"/>
            <wp:docPr id="34" name="Picture 34" descr="Fig30_supp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30_suppl.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6055" cy="4294505"/>
                    </a:xfrm>
                    <a:prstGeom prst="rect">
                      <a:avLst/>
                    </a:prstGeom>
                    <a:noFill/>
                    <a:ln>
                      <a:noFill/>
                    </a:ln>
                  </pic:spPr>
                </pic:pic>
              </a:graphicData>
            </a:graphic>
          </wp:inline>
        </w:drawing>
      </w:r>
    </w:p>
    <w:p w14:paraId="3D779AFA" w14:textId="6DA68B6D" w:rsidR="004860F8" w:rsidRPr="00AC13E7" w:rsidRDefault="00F05DA6" w:rsidP="004916C9">
      <w:pPr>
        <w:pStyle w:val="Caption"/>
      </w:pPr>
      <w:bookmarkStart w:id="186" w:name="_Ref379536628"/>
      <w:bookmarkStart w:id="187" w:name="_Toc384459601"/>
      <w:r w:rsidRPr="00AC13E7">
        <w:t xml:space="preserve">Fig. </w:t>
      </w:r>
      <w:r w:rsidR="001003E9">
        <w:fldChar w:fldCharType="begin"/>
      </w:r>
      <w:r w:rsidR="001003E9">
        <w:instrText xml:space="preserve"> SEQ Fig. \* ARABIC </w:instrText>
      </w:r>
      <w:r w:rsidR="001003E9">
        <w:fldChar w:fldCharType="separate"/>
      </w:r>
      <w:r w:rsidR="00673FBD">
        <w:rPr>
          <w:noProof/>
        </w:rPr>
        <w:t>30</w:t>
      </w:r>
      <w:r w:rsidR="001003E9">
        <w:rPr>
          <w:noProof/>
        </w:rPr>
        <w:fldChar w:fldCharType="end"/>
      </w:r>
      <w:bookmarkEnd w:id="186"/>
      <w:r w:rsidRPr="00AC13E7">
        <w:t xml:space="preserve"> </w:t>
      </w:r>
      <w:r w:rsidR="009D4432" w:rsidRPr="00AC13E7">
        <w:t>The overall scores of all individual</w:t>
      </w:r>
      <w:r w:rsidR="0053235E" w:rsidRPr="00AC13E7">
        <w:t xml:space="preserve"> (purple)</w:t>
      </w:r>
      <w:r w:rsidR="009D4432" w:rsidRPr="00AC13E7">
        <w:t>, random</w:t>
      </w:r>
      <w:r w:rsidR="0053235E" w:rsidRPr="00AC13E7">
        <w:t xml:space="preserve"> (red)</w:t>
      </w:r>
      <w:r w:rsidR="009D4432" w:rsidRPr="00AC13E7">
        <w:t xml:space="preserve">, consensus </w:t>
      </w:r>
      <w:r w:rsidR="0053235E" w:rsidRPr="00AC13E7">
        <w:t xml:space="preserve">(green) </w:t>
      </w:r>
      <w:r w:rsidR="009D4432" w:rsidRPr="00AC13E7">
        <w:t>subclonal architecture reconstruction methods on A) PhylogicSim500 and B) SimClone1000.</w:t>
      </w:r>
      <w:bookmarkEnd w:id="187"/>
    </w:p>
    <w:p w14:paraId="10918A7F" w14:textId="25157A46" w:rsidR="00036C33" w:rsidRPr="00AC13E7" w:rsidRDefault="00036C33" w:rsidP="00F14E21">
      <w:pPr>
        <w:jc w:val="both"/>
      </w:pPr>
      <w:r w:rsidRPr="00AC13E7">
        <w:t xml:space="preserve">In the detailed comparison of the three metrics themselves, each individual method topped a metric in </w:t>
      </w:r>
      <w:r w:rsidR="00253D8D" w:rsidRPr="00AC13E7">
        <w:t>a fraction of the</w:t>
      </w:r>
      <w:r w:rsidRPr="00AC13E7">
        <w:t xml:space="preserve"> samples</w:t>
      </w:r>
      <w:r w:rsidR="00253D8D" w:rsidRPr="00AC13E7">
        <w:t xml:space="preserve"> but not all</w:t>
      </w:r>
      <w:r w:rsidRPr="00AC13E7">
        <w:t xml:space="preserve">. </w:t>
      </w:r>
      <w:r w:rsidR="00253D8D" w:rsidRPr="00AC13E7">
        <w:t xml:space="preserve">Whereas some individual methods were </w:t>
      </w:r>
      <w:r w:rsidR="000136E1" w:rsidRPr="00AC13E7">
        <w:t xml:space="preserve">globally </w:t>
      </w:r>
      <w:r w:rsidR="00253D8D" w:rsidRPr="00AC13E7">
        <w:t>significantly better than others on the simulated data, t</w:t>
      </w:r>
      <w:r w:rsidRPr="00AC13E7">
        <w:t xml:space="preserve">he scores of the consensus methods were not significantly lower </w:t>
      </w:r>
      <w:r w:rsidR="00DC0418" w:rsidRPr="00AC13E7">
        <w:t>than those of individual methods on both datasets - b</w:t>
      </w:r>
      <w:r w:rsidR="00EA3419" w:rsidRPr="00AC13E7">
        <w:t xml:space="preserve">etween the best consensus and the best individual method the Mann Whitney U tests </w:t>
      </w:r>
      <w:r w:rsidR="009D4432" w:rsidRPr="00AC13E7">
        <w:t>fdr=</w:t>
      </w:r>
      <w:r w:rsidR="00EA3419" w:rsidRPr="00AC13E7">
        <w:t>0.029</w:t>
      </w:r>
      <w:r w:rsidRPr="00AC13E7">
        <w:t xml:space="preserve"> for PhylogicSim500, and </w:t>
      </w:r>
      <w:r w:rsidR="009D4432" w:rsidRPr="00AC13E7">
        <w:t>fdr=</w:t>
      </w:r>
      <w:r w:rsidRPr="00AC13E7">
        <w:t>0.</w:t>
      </w:r>
      <w:r w:rsidR="009D4432" w:rsidRPr="00AC13E7">
        <w:t>336</w:t>
      </w:r>
      <w:r w:rsidR="00DC0418" w:rsidRPr="00AC13E7">
        <w:t xml:space="preserve"> for SimClone</w:t>
      </w:r>
      <w:r w:rsidRPr="00AC13E7">
        <w:t>1000.</w:t>
      </w:r>
    </w:p>
    <w:p w14:paraId="3372B529" w14:textId="77777777" w:rsidR="004860F8" w:rsidRPr="00AC13E7" w:rsidRDefault="004860F8" w:rsidP="00F14E21">
      <w:pPr>
        <w:jc w:val="both"/>
      </w:pPr>
    </w:p>
    <w:p w14:paraId="3A7ADFDC" w14:textId="2A37BBE7" w:rsidR="00036C33" w:rsidRPr="00AC13E7" w:rsidRDefault="00253D8D" w:rsidP="00F14E21">
      <w:pPr>
        <w:jc w:val="both"/>
      </w:pPr>
      <w:r w:rsidRPr="00AC13E7">
        <w:t>Given</w:t>
      </w:r>
      <w:r w:rsidR="00036C33" w:rsidRPr="00AC13E7">
        <w:t xml:space="preserve"> the</w:t>
      </w:r>
      <w:r w:rsidR="000868FF" w:rsidRPr="00AC13E7">
        <w:t xml:space="preserve"> design of the SimClone</w:t>
      </w:r>
      <w:r w:rsidR="00036C33" w:rsidRPr="00AC13E7">
        <w:t>1000 simulations, we could ask how parameters such as true number of subclones and the number of reads per chromosome copy (nrpcc) influenced the absolute and relative performances of the methods</w:t>
      </w:r>
      <w:r w:rsidR="000136E1" w:rsidRPr="00AC13E7">
        <w:t xml:space="preserve"> (</w:t>
      </w:r>
      <w:r w:rsidR="000136E1" w:rsidRPr="00AC13E7">
        <w:fldChar w:fldCharType="begin"/>
      </w:r>
      <w:r w:rsidR="000136E1" w:rsidRPr="00AC13E7">
        <w:instrText xml:space="preserve"> REF _Ref379536648 \h </w:instrText>
      </w:r>
      <w:r w:rsidR="000136E1" w:rsidRPr="00AC13E7">
        <w:fldChar w:fldCharType="separate"/>
      </w:r>
      <w:r w:rsidR="00673FBD" w:rsidRPr="00AC13E7">
        <w:t xml:space="preserve">Fig. </w:t>
      </w:r>
      <w:r w:rsidR="00673FBD">
        <w:rPr>
          <w:noProof/>
        </w:rPr>
        <w:t>31</w:t>
      </w:r>
      <w:r w:rsidR="000136E1" w:rsidRPr="00AC13E7">
        <w:fldChar w:fldCharType="end"/>
      </w:r>
      <w:r w:rsidR="000136E1" w:rsidRPr="00AC13E7">
        <w:t>)</w:t>
      </w:r>
      <w:r w:rsidR="00036C33" w:rsidRPr="00AC13E7">
        <w:t>. As expected we observed</w:t>
      </w:r>
      <w:r w:rsidRPr="00AC13E7">
        <w:t>:</w:t>
      </w:r>
      <w:r w:rsidR="00036C33" w:rsidRPr="00AC13E7">
        <w:t xml:space="preserve"> an improvement of the performance with increasing power (nrpcc); that CliP systematically overestimate</w:t>
      </w:r>
      <w:r w:rsidR="00DC0418" w:rsidRPr="00AC13E7">
        <w:t>d</w:t>
      </w:r>
      <w:r w:rsidR="00036C33" w:rsidRPr="00AC13E7">
        <w:t xml:space="preserve"> the number of subclones when there </w:t>
      </w:r>
      <w:r w:rsidR="00DC0418" w:rsidRPr="00AC13E7">
        <w:t>we</w:t>
      </w:r>
      <w:r w:rsidR="00036C33" w:rsidRPr="00AC13E7">
        <w:t>re none; and that most methods perform</w:t>
      </w:r>
      <w:r w:rsidR="00DC0418" w:rsidRPr="00AC13E7">
        <w:t>ed</w:t>
      </w:r>
      <w:r w:rsidR="00036C33" w:rsidRPr="00AC13E7">
        <w:t xml:space="preserve"> well at integrating copy number changes, except from CTPsingle, whose relative performance significantly improve</w:t>
      </w:r>
      <w:r w:rsidR="00DC0418" w:rsidRPr="00AC13E7">
        <w:t>d</w:t>
      </w:r>
      <w:r w:rsidR="00036C33" w:rsidRPr="00AC13E7">
        <w:t xml:space="preserve"> in fully diploid </w:t>
      </w:r>
      <w:r w:rsidR="000868FF" w:rsidRPr="00AC13E7">
        <w:t>tumours</w:t>
      </w:r>
      <w:r w:rsidR="00036C33" w:rsidRPr="00AC13E7">
        <w:t xml:space="preserve"> (</w:t>
      </w:r>
      <w:r w:rsidR="004860F8" w:rsidRPr="00AC13E7">
        <w:t>not shown</w:t>
      </w:r>
      <w:r w:rsidR="00036C33" w:rsidRPr="00AC13E7">
        <w:t>). Most importantly, the consensus methods performed competitively across the grid of nrpcc and number of subclones (</w:t>
      </w:r>
      <w:r w:rsidR="00D03C34" w:rsidRPr="00AC13E7">
        <w:fldChar w:fldCharType="begin"/>
      </w:r>
      <w:r w:rsidR="00D03C34" w:rsidRPr="00AC13E7">
        <w:instrText xml:space="preserve"> REF _Ref379536648 \h </w:instrText>
      </w:r>
      <w:r w:rsidR="00D03C34" w:rsidRPr="00AC13E7">
        <w:fldChar w:fldCharType="separate"/>
      </w:r>
      <w:r w:rsidR="00673FBD" w:rsidRPr="00AC13E7">
        <w:t xml:space="preserve">Fig. </w:t>
      </w:r>
      <w:r w:rsidR="00673FBD">
        <w:rPr>
          <w:noProof/>
        </w:rPr>
        <w:t>31</w:t>
      </w:r>
      <w:r w:rsidR="00D03C34" w:rsidRPr="00AC13E7">
        <w:fldChar w:fldCharType="end"/>
      </w:r>
      <w:r w:rsidR="00036C33" w:rsidRPr="00AC13E7">
        <w:t>)</w:t>
      </w:r>
      <w:r w:rsidRPr="00AC13E7">
        <w:t>, further suggesting that they combine the strengths of individual methods.</w:t>
      </w:r>
      <w:r w:rsidR="00036C33" w:rsidRPr="00AC13E7">
        <w:t xml:space="preserve"> </w:t>
      </w:r>
      <w:r w:rsidR="000136E1" w:rsidRPr="00AC13E7">
        <w:t>T</w:t>
      </w:r>
      <w:r w:rsidR="00F16341" w:rsidRPr="00AC13E7">
        <w:t xml:space="preserve">his was also true </w:t>
      </w:r>
      <w:r w:rsidR="00036C33" w:rsidRPr="00AC13E7">
        <w:t xml:space="preserve">when </w:t>
      </w:r>
      <w:r w:rsidR="00F16341" w:rsidRPr="00AC13E7">
        <w:t xml:space="preserve">we </w:t>
      </w:r>
      <w:r w:rsidRPr="00AC13E7">
        <w:t xml:space="preserve">looked at performance only in samples for which </w:t>
      </w:r>
      <w:r w:rsidR="00036C33" w:rsidRPr="00AC13E7">
        <w:t>the score</w:t>
      </w:r>
      <w:r w:rsidRPr="00AC13E7">
        <w:t>s</w:t>
      </w:r>
      <w:r w:rsidR="00036C33" w:rsidRPr="00AC13E7">
        <w:t xml:space="preserve"> for number of subclones w</w:t>
      </w:r>
      <w:r w:rsidRPr="00AC13E7">
        <w:t xml:space="preserve">ere equal, </w:t>
      </w:r>
      <w:r w:rsidR="00036C33" w:rsidRPr="00AC13E7">
        <w:t xml:space="preserve">demonstrating that the high performance of the consensus did not stem only from taking the median number of subclones </w:t>
      </w:r>
      <w:r w:rsidR="000868FF" w:rsidRPr="00AC13E7">
        <w:t xml:space="preserve">across individual methods </w:t>
      </w:r>
      <w:r w:rsidR="00036C33" w:rsidRPr="00AC13E7">
        <w:t>(</w:t>
      </w:r>
      <w:r w:rsidR="00A55811" w:rsidRPr="00AC13E7">
        <w:t>not shown</w:t>
      </w:r>
      <w:r w:rsidR="00036C33" w:rsidRPr="00AC13E7">
        <w:t xml:space="preserve">). </w:t>
      </w:r>
    </w:p>
    <w:p w14:paraId="47575EC4" w14:textId="77777777" w:rsidR="00A55811" w:rsidRPr="00AC13E7" w:rsidRDefault="00A55811" w:rsidP="00F14E21">
      <w:pPr>
        <w:jc w:val="both"/>
      </w:pPr>
    </w:p>
    <w:p w14:paraId="255F3296" w14:textId="2EE214B5" w:rsidR="00F05DA6" w:rsidRPr="00AC13E7" w:rsidRDefault="00F05DA6" w:rsidP="00F05DA6">
      <w:pPr>
        <w:keepNext/>
        <w:jc w:val="both"/>
      </w:pPr>
    </w:p>
    <w:p w14:paraId="5ACA1BCB" w14:textId="103B3E9E" w:rsidR="00AD3329" w:rsidRPr="00AC13E7" w:rsidRDefault="001003E9" w:rsidP="00F05DA6">
      <w:pPr>
        <w:keepNext/>
        <w:jc w:val="both"/>
      </w:pPr>
      <w:r>
        <w:rPr>
          <w:noProof/>
          <w:lang w:eastAsia="en-GB"/>
        </w:rPr>
        <w:drawing>
          <wp:inline distT="0" distB="0" distL="0" distR="0" wp14:anchorId="19C21EE0" wp14:editId="0752D829">
            <wp:extent cx="5266055" cy="4212590"/>
            <wp:effectExtent l="0" t="0" r="0" b="3810"/>
            <wp:docPr id="18" name="Picture 18" descr="Macintosh HD:Users:tarabim:Desktop:Projects:Heterogeneity:Supplement:Fig3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rabim:Desktop:Projects:Heterogeneity:Supplement:Fig31.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6055" cy="4212590"/>
                    </a:xfrm>
                    <a:prstGeom prst="rect">
                      <a:avLst/>
                    </a:prstGeom>
                    <a:noFill/>
                    <a:ln>
                      <a:noFill/>
                    </a:ln>
                  </pic:spPr>
                </pic:pic>
              </a:graphicData>
            </a:graphic>
          </wp:inline>
        </w:drawing>
      </w:r>
    </w:p>
    <w:p w14:paraId="7DDB5A65" w14:textId="76CA6573" w:rsidR="00A55811" w:rsidRPr="00AC13E7" w:rsidRDefault="00F05DA6" w:rsidP="004916C9">
      <w:pPr>
        <w:pStyle w:val="Caption"/>
      </w:pPr>
      <w:bookmarkStart w:id="188" w:name="_Ref379536648"/>
      <w:bookmarkStart w:id="189" w:name="_Toc384459602"/>
      <w:r w:rsidRPr="00AC13E7">
        <w:t xml:space="preserve">Fig. </w:t>
      </w:r>
      <w:r w:rsidR="001003E9">
        <w:fldChar w:fldCharType="begin"/>
      </w:r>
      <w:r w:rsidR="001003E9">
        <w:instrText xml:space="preserve"> SEQ Fig. \* ARABIC </w:instrText>
      </w:r>
      <w:r w:rsidR="001003E9">
        <w:fldChar w:fldCharType="separate"/>
      </w:r>
      <w:r w:rsidR="00673FBD">
        <w:rPr>
          <w:noProof/>
        </w:rPr>
        <w:t>31</w:t>
      </w:r>
      <w:r w:rsidR="001003E9">
        <w:rPr>
          <w:noProof/>
        </w:rPr>
        <w:fldChar w:fldCharType="end"/>
      </w:r>
      <w:bookmarkEnd w:id="188"/>
      <w:r w:rsidR="00C2305A" w:rsidRPr="00AC13E7">
        <w:t xml:space="preserve"> </w:t>
      </w:r>
      <w:r w:rsidR="00D2123F" w:rsidRPr="00AC13E7">
        <w:t>Upper triangle: relative s</w:t>
      </w:r>
      <w:r w:rsidR="00C2305A" w:rsidRPr="00AC13E7">
        <w:t>imilarities</w:t>
      </w:r>
      <w:r w:rsidR="00D2123F" w:rsidRPr="00AC13E7">
        <w:t xml:space="preserve"> between methods (individual methods are in purple, random methods are in red and consensus methods are in green). The size and transparency scale linearly with the similarity score. Lower triangle:</w:t>
      </w:r>
      <w:r w:rsidR="00C2305A" w:rsidRPr="00AC13E7">
        <w:t xml:space="preserve"> </w:t>
      </w:r>
      <w:r w:rsidR="00427E2F" w:rsidRPr="00AC13E7">
        <w:t xml:space="preserve">heatmaps of </w:t>
      </w:r>
      <w:r w:rsidR="00D2123F" w:rsidRPr="00AC13E7">
        <w:t>relative ranks</w:t>
      </w:r>
      <w:r w:rsidR="00427E2F" w:rsidRPr="00AC13E7">
        <w:t xml:space="preserve"> </w:t>
      </w:r>
      <w:r w:rsidR="00C2305A" w:rsidRPr="00AC13E7">
        <w:t>across simulations acc</w:t>
      </w:r>
      <w:r w:rsidR="00427E2F" w:rsidRPr="00AC13E7">
        <w:t>ording to two grid parameters: number of subclones on the x-axis of each heatmap, nrpcc on the y-axis of each h</w:t>
      </w:r>
      <w:r w:rsidR="009B62CF" w:rsidRPr="00AC13E7">
        <w:t>eatmap (the legend for these axe</w:t>
      </w:r>
      <w:r w:rsidR="00427E2F" w:rsidRPr="00AC13E7">
        <w:t>s is on the top right).</w:t>
      </w:r>
      <w:r w:rsidR="00E31921" w:rsidRPr="00AC13E7">
        <w:t xml:space="preserve"> The scores are average across all simulations falling into the grid cell and a minmax normalization is then applied</w:t>
      </w:r>
      <w:r w:rsidR="00427E2F" w:rsidRPr="00AC13E7">
        <w:t xml:space="preserve"> </w:t>
      </w:r>
      <w:r w:rsidR="00E31921" w:rsidRPr="00AC13E7">
        <w:t>across the grid values, cells are then colored from red (method on the row is better) to blue (method on the column is better) with the intensi</w:t>
      </w:r>
      <w:r w:rsidR="001C40B1" w:rsidRPr="00AC13E7">
        <w:t>t</w:t>
      </w:r>
      <w:r w:rsidR="00E31921" w:rsidRPr="00AC13E7">
        <w:t>y of the color scaling with the normalized score.</w:t>
      </w:r>
      <w:bookmarkEnd w:id="189"/>
      <w:r w:rsidR="00E31921" w:rsidRPr="00AC13E7">
        <w:t xml:space="preserve"> </w:t>
      </w:r>
    </w:p>
    <w:p w14:paraId="6327C2AF" w14:textId="77777777" w:rsidR="00A55811" w:rsidRPr="00AC13E7" w:rsidRDefault="00A55811" w:rsidP="00F14E21">
      <w:pPr>
        <w:jc w:val="both"/>
        <w:rPr>
          <w:b/>
          <w:bCs/>
        </w:rPr>
      </w:pPr>
    </w:p>
    <w:p w14:paraId="16EADDD4" w14:textId="5422B1D5" w:rsidR="00036C33" w:rsidRPr="00AC13E7" w:rsidRDefault="00036C33" w:rsidP="00547EA5">
      <w:pPr>
        <w:jc w:val="both"/>
        <w:rPr>
          <w:b/>
        </w:rPr>
      </w:pPr>
      <w:r w:rsidRPr="00AC13E7">
        <w:rPr>
          <w:b/>
        </w:rPr>
        <w:t xml:space="preserve">Top performing methods lead to more similar results in both simulations sets and real data, suggesting that their performance remains </w:t>
      </w:r>
      <w:r w:rsidR="000136E1" w:rsidRPr="00AC13E7">
        <w:rPr>
          <w:b/>
        </w:rPr>
        <w:t>the same</w:t>
      </w:r>
      <w:r w:rsidRPr="00AC13E7">
        <w:rPr>
          <w:b/>
        </w:rPr>
        <w:t xml:space="preserve"> in real data</w:t>
      </w:r>
    </w:p>
    <w:p w14:paraId="47C53523" w14:textId="77777777" w:rsidR="005352A9" w:rsidRPr="00AC13E7" w:rsidRDefault="005352A9" w:rsidP="00F16341">
      <w:pPr>
        <w:jc w:val="both"/>
      </w:pPr>
    </w:p>
    <w:p w14:paraId="700E92E4" w14:textId="730E605D" w:rsidR="00F16341" w:rsidRPr="00AC13E7" w:rsidRDefault="00036C33" w:rsidP="00F16341">
      <w:pPr>
        <w:jc w:val="both"/>
      </w:pPr>
      <w:r w:rsidRPr="00AC13E7">
        <w:t xml:space="preserve">Top performers displayed higher similarity </w:t>
      </w:r>
      <w:r w:rsidR="00C27BD4" w:rsidRPr="00AC13E7">
        <w:t>(</w:t>
      </w:r>
      <w:r w:rsidR="00D03C34" w:rsidRPr="00AC13E7">
        <w:fldChar w:fldCharType="begin"/>
      </w:r>
      <w:r w:rsidR="00D03C34" w:rsidRPr="00AC13E7">
        <w:instrText xml:space="preserve"> REF _Ref379536696 \h </w:instrText>
      </w:r>
      <w:r w:rsidR="00D03C34" w:rsidRPr="00AC13E7">
        <w:fldChar w:fldCharType="separate"/>
      </w:r>
      <w:r w:rsidR="00673FBD" w:rsidRPr="00AC13E7">
        <w:t xml:space="preserve">Fig. </w:t>
      </w:r>
      <w:r w:rsidR="00673FBD">
        <w:rPr>
          <w:noProof/>
        </w:rPr>
        <w:t>32</w:t>
      </w:r>
      <w:r w:rsidR="00D03C34" w:rsidRPr="00AC13E7">
        <w:fldChar w:fldCharType="end"/>
      </w:r>
      <w:r w:rsidR="00C27BD4" w:rsidRPr="00AC13E7">
        <w:t>)</w:t>
      </w:r>
      <w:r w:rsidRPr="00AC13E7">
        <w:t>. Whereas individual method’s performance varied acros</w:t>
      </w:r>
      <w:r w:rsidR="00D03C34" w:rsidRPr="00AC13E7">
        <w:t>s independent simulation sets</w:t>
      </w:r>
      <w:r w:rsidR="00C27BD4" w:rsidRPr="00AC13E7">
        <w:t>,</w:t>
      </w:r>
      <w:r w:rsidRPr="00AC13E7">
        <w:t xml:space="preserve"> the consensus methods consistently showed higher similarities than individual methods. </w:t>
      </w:r>
      <w:r w:rsidR="00F16341" w:rsidRPr="00AC13E7">
        <w:t xml:space="preserve">Interestingly, individual methods were more similar to the consensus methods than they were to each other. </w:t>
      </w:r>
    </w:p>
    <w:p w14:paraId="3E30CDA1" w14:textId="5AF55C13" w:rsidR="00A55811" w:rsidRPr="00AC13E7" w:rsidRDefault="00A55811" w:rsidP="00547EA5">
      <w:pPr>
        <w:jc w:val="both"/>
      </w:pPr>
    </w:p>
    <w:p w14:paraId="3D7C0C55" w14:textId="29BEAA9F" w:rsidR="00F05DA6" w:rsidRPr="00AC13E7" w:rsidRDefault="00755988" w:rsidP="00F05DA6">
      <w:pPr>
        <w:keepNext/>
        <w:jc w:val="both"/>
      </w:pPr>
      <w:r>
        <w:rPr>
          <w:noProof/>
          <w:lang w:eastAsia="en-GB"/>
        </w:rPr>
        <w:lastRenderedPageBreak/>
        <w:drawing>
          <wp:inline distT="0" distB="0" distL="0" distR="0" wp14:anchorId="4E2BD9CC" wp14:editId="57418C55">
            <wp:extent cx="5266055" cy="8849995"/>
            <wp:effectExtent l="0" t="0" r="0" b="0"/>
            <wp:docPr id="26" name="Picture 26" descr="Fig32_supp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32_suppl.pd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6055" cy="8849995"/>
                    </a:xfrm>
                    <a:prstGeom prst="rect">
                      <a:avLst/>
                    </a:prstGeom>
                    <a:noFill/>
                    <a:ln>
                      <a:noFill/>
                    </a:ln>
                  </pic:spPr>
                </pic:pic>
              </a:graphicData>
            </a:graphic>
          </wp:inline>
        </w:drawing>
      </w:r>
    </w:p>
    <w:p w14:paraId="122E8F14" w14:textId="54233E5E" w:rsidR="000868FF" w:rsidRPr="00AC13E7" w:rsidRDefault="00F05DA6" w:rsidP="004916C9">
      <w:pPr>
        <w:pStyle w:val="Caption"/>
      </w:pPr>
      <w:bookmarkStart w:id="190" w:name="_Ref379536696"/>
      <w:bookmarkStart w:id="191" w:name="_Toc384459603"/>
      <w:r w:rsidRPr="00AC13E7">
        <w:lastRenderedPageBreak/>
        <w:t xml:space="preserve">Fig. </w:t>
      </w:r>
      <w:r w:rsidR="001003E9">
        <w:fldChar w:fldCharType="begin"/>
      </w:r>
      <w:r w:rsidR="001003E9">
        <w:instrText xml:space="preserve"> SEQ Fig. \* ARABIC </w:instrText>
      </w:r>
      <w:r w:rsidR="001003E9">
        <w:fldChar w:fldCharType="separate"/>
      </w:r>
      <w:r w:rsidR="00673FBD">
        <w:rPr>
          <w:noProof/>
        </w:rPr>
        <w:t>32</w:t>
      </w:r>
      <w:r w:rsidR="001003E9">
        <w:rPr>
          <w:noProof/>
        </w:rPr>
        <w:fldChar w:fldCharType="end"/>
      </w:r>
      <w:bookmarkEnd w:id="190"/>
      <w:r w:rsidRPr="00AC13E7">
        <w:t xml:space="preserve"> </w:t>
      </w:r>
      <w:r w:rsidR="000868FF" w:rsidRPr="00AC13E7">
        <w:t>P</w:t>
      </w:r>
      <w:r w:rsidR="009D4432" w:rsidRPr="00AC13E7">
        <w:t>airwise d</w:t>
      </w:r>
      <w:r w:rsidR="000868FF" w:rsidRPr="00AC13E7">
        <w:t>istributions</w:t>
      </w:r>
      <w:r w:rsidR="009D4432" w:rsidRPr="00AC13E7">
        <w:t xml:space="preserve"> </w:t>
      </w:r>
      <w:r w:rsidR="000868FF" w:rsidRPr="00AC13E7">
        <w:t xml:space="preserve">of the similarities across samples </w:t>
      </w:r>
      <w:r w:rsidR="009D4432" w:rsidRPr="00AC13E7">
        <w:t>(lower triangle</w:t>
      </w:r>
      <w:r w:rsidR="001C40B1" w:rsidRPr="00AC13E7">
        <w:t>; bar width was set to 10%</w:t>
      </w:r>
      <w:r w:rsidR="009D4432" w:rsidRPr="00AC13E7">
        <w:t xml:space="preserve">) and median </w:t>
      </w:r>
      <w:r w:rsidR="000868FF" w:rsidRPr="00AC13E7">
        <w:t xml:space="preserve">similarities </w:t>
      </w:r>
      <w:r w:rsidR="009D4432" w:rsidRPr="00AC13E7">
        <w:t>across samples (upper triangle) for A) PhylogicSim500 and B) SimClone1000.</w:t>
      </w:r>
      <w:bookmarkEnd w:id="191"/>
      <w:r w:rsidR="009D4432" w:rsidRPr="00AC13E7">
        <w:t xml:space="preserve"> </w:t>
      </w:r>
    </w:p>
    <w:p w14:paraId="417F6402" w14:textId="7F1833EB" w:rsidR="00A55811" w:rsidRPr="00AC13E7" w:rsidRDefault="000868FF" w:rsidP="000868FF">
      <w:pPr>
        <w:jc w:val="both"/>
      </w:pPr>
      <w:r w:rsidRPr="00AC13E7">
        <w:t>As expected, t</w:t>
      </w:r>
      <w:r w:rsidR="009D4432" w:rsidRPr="00AC13E7">
        <w:t xml:space="preserve">he consensus methods </w:t>
      </w:r>
      <w:r w:rsidRPr="00AC13E7">
        <w:t>we</w:t>
      </w:r>
      <w:r w:rsidR="009D4432" w:rsidRPr="00AC13E7">
        <w:t xml:space="preserve">re </w:t>
      </w:r>
      <w:r w:rsidRPr="00AC13E7">
        <w:t xml:space="preserve">the </w:t>
      </w:r>
      <w:r w:rsidR="009D4432" w:rsidRPr="00AC13E7">
        <w:t>mo</w:t>
      </w:r>
      <w:r w:rsidRPr="00AC13E7">
        <w:t>st</w:t>
      </w:r>
      <w:r w:rsidR="009D4432" w:rsidRPr="00AC13E7">
        <w:t xml:space="preserve"> similar </w:t>
      </w:r>
      <w:r w:rsidRPr="00AC13E7">
        <w:t>to each other. Few pairs of methods showed high similarity, although not as consistent across the two datasets as the three consensus methods</w:t>
      </w:r>
      <w:r w:rsidR="009D4432" w:rsidRPr="00AC13E7">
        <w:t xml:space="preserve">. </w:t>
      </w:r>
      <w:r w:rsidRPr="00AC13E7">
        <w:t>As desired, t</w:t>
      </w:r>
      <w:r w:rsidR="009D4432" w:rsidRPr="00AC13E7">
        <w:t>he random methods ha</w:t>
      </w:r>
      <w:r w:rsidRPr="00AC13E7">
        <w:t>d</w:t>
      </w:r>
      <w:r w:rsidR="009D4432" w:rsidRPr="00AC13E7">
        <w:t xml:space="preserve"> a quite uniform distribution of similarities against any method. </w:t>
      </w:r>
    </w:p>
    <w:p w14:paraId="48E2C1C7" w14:textId="77777777" w:rsidR="00A55811" w:rsidRPr="00AC13E7" w:rsidRDefault="00A55811" w:rsidP="00547EA5">
      <w:pPr>
        <w:jc w:val="both"/>
        <w:rPr>
          <w:b/>
        </w:rPr>
      </w:pPr>
    </w:p>
    <w:p w14:paraId="6A065A7A" w14:textId="4C049359" w:rsidR="000B07F5" w:rsidRPr="00AC13E7" w:rsidRDefault="000B07F5" w:rsidP="00547EA5">
      <w:pPr>
        <w:jc w:val="both"/>
        <w:rPr>
          <w:b/>
        </w:rPr>
      </w:pPr>
      <w:r w:rsidRPr="00AC13E7">
        <w:rPr>
          <w:b/>
        </w:rPr>
        <w:t>Running on more methods leads to better results</w:t>
      </w:r>
    </w:p>
    <w:p w14:paraId="61565344" w14:textId="77777777" w:rsidR="005352A9" w:rsidRPr="00AC13E7" w:rsidRDefault="005352A9" w:rsidP="00547EA5">
      <w:pPr>
        <w:jc w:val="both"/>
      </w:pPr>
    </w:p>
    <w:p w14:paraId="7B8D9FB1" w14:textId="26B12B96" w:rsidR="00A11192" w:rsidRDefault="000B07F5" w:rsidP="009C0668">
      <w:pPr>
        <w:jc w:val="both"/>
      </w:pPr>
      <w:r w:rsidRPr="00AC13E7">
        <w:t>We assessed the performance of the consensus methods running on 2 to 11 input individual methods. We ran CSR, WM, and CICC on all 965</w:t>
      </w:r>
      <w:r w:rsidR="00F150B7" w:rsidRPr="00AC13E7">
        <w:t xml:space="preserve"> simulated tumours from SimClone</w:t>
      </w:r>
      <w:r w:rsidRPr="00AC13E7">
        <w:t>1000 for all of the 2</w:t>
      </w:r>
      <w:r w:rsidR="009D4432" w:rsidRPr="00AC13E7">
        <w:t>,</w:t>
      </w:r>
      <w:r w:rsidRPr="00AC13E7">
        <w:t>035 combinations of input methods</w:t>
      </w:r>
      <w:r w:rsidR="000136E1" w:rsidRPr="00AC13E7">
        <w:t>, i.e. 1,963,775 times</w:t>
      </w:r>
      <w:r w:rsidRPr="00AC13E7">
        <w:t>. This showed that performance increased with number of methods taken as input, suggesting that each individual method added information to improve the results of the consensus (</w:t>
      </w:r>
      <w:r w:rsidR="00A11192">
        <w:fldChar w:fldCharType="begin"/>
      </w:r>
      <w:r w:rsidR="00A11192">
        <w:instrText xml:space="preserve"> REF _Ref384459346 \h </w:instrText>
      </w:r>
      <w:r w:rsidR="00A11192">
        <w:fldChar w:fldCharType="separate"/>
      </w:r>
      <w:r w:rsidR="00673FBD" w:rsidRPr="00AC13E7">
        <w:t xml:space="preserve">Fig. </w:t>
      </w:r>
      <w:r w:rsidR="00673FBD">
        <w:rPr>
          <w:noProof/>
        </w:rPr>
        <w:t>33</w:t>
      </w:r>
      <w:r w:rsidR="00A11192">
        <w:fldChar w:fldCharType="end"/>
      </w:r>
      <w:r w:rsidR="00A11192">
        <w:t>).</w:t>
      </w:r>
      <w:r w:rsidRPr="00AC13E7">
        <w:t xml:space="preserve"> </w:t>
      </w:r>
      <w:bookmarkStart w:id="192" w:name="_Ref380140179"/>
    </w:p>
    <w:p w14:paraId="03343C65" w14:textId="77777777" w:rsidR="00A11192" w:rsidRDefault="00A11192" w:rsidP="009C0668">
      <w:pPr>
        <w:jc w:val="both"/>
      </w:pPr>
    </w:p>
    <w:p w14:paraId="20CB4508" w14:textId="77777777" w:rsidR="009C0668" w:rsidRDefault="009C0668" w:rsidP="009C0668">
      <w:pPr>
        <w:jc w:val="both"/>
      </w:pPr>
      <w:r w:rsidRPr="00AC13E7">
        <w:t xml:space="preserve">Integrating more methods into the consensus improved the lower bound and the median of the median performances. Few combinations of a subset of the methods significantly outperformed the individual methods on this dataset. These particular combinations, however, could be dataset-specific and not generalise to real PCAWG data. </w:t>
      </w:r>
    </w:p>
    <w:p w14:paraId="312419C6" w14:textId="77777777" w:rsidR="009C0668" w:rsidRPr="00AC13E7" w:rsidRDefault="009C0668" w:rsidP="009C0668">
      <w:pPr>
        <w:jc w:val="both"/>
        <w:rPr>
          <w:b/>
        </w:rPr>
      </w:pPr>
    </w:p>
    <w:p w14:paraId="50FDA0EA" w14:textId="77777777" w:rsidR="009C0668" w:rsidRPr="00AC13E7" w:rsidRDefault="009C0668" w:rsidP="009C0668">
      <w:pPr>
        <w:jc w:val="both"/>
        <w:rPr>
          <w:b/>
        </w:rPr>
      </w:pPr>
      <w:r w:rsidRPr="00AC13E7">
        <w:rPr>
          <w:b/>
        </w:rPr>
        <w:t>Conclusion</w:t>
      </w:r>
    </w:p>
    <w:p w14:paraId="2D12FEA3" w14:textId="77777777" w:rsidR="009C0668" w:rsidRPr="00AC13E7" w:rsidRDefault="009C0668" w:rsidP="009C0668">
      <w:pPr>
        <w:jc w:val="both"/>
      </w:pPr>
    </w:p>
    <w:p w14:paraId="4CBF6D95" w14:textId="77777777" w:rsidR="009C0668" w:rsidRPr="00AC13E7" w:rsidRDefault="009C0668" w:rsidP="009C0668">
      <w:pPr>
        <w:jc w:val="both"/>
      </w:pPr>
      <w:r w:rsidRPr="00AC13E7">
        <w:t>In the absence of ground truth the high similarities between consensus methods in real PCAWG and simulated samples together with their consistently high performance on simulated data suggested robust accurate reconstructions through consensus clustering on PCAWG data. Each individual method showed high performance across a range of scenarios and added to improve the consensus results.</w:t>
      </w:r>
    </w:p>
    <w:p w14:paraId="66DBDA13" w14:textId="77777777" w:rsidR="009C0668" w:rsidRPr="00AC13E7" w:rsidRDefault="009C0668" w:rsidP="009C0668">
      <w:pPr>
        <w:jc w:val="both"/>
      </w:pPr>
    </w:p>
    <w:p w14:paraId="1B49E8CA" w14:textId="77777777" w:rsidR="009C0668" w:rsidRPr="00AC13E7" w:rsidRDefault="009C0668" w:rsidP="009C0668">
      <w:pPr>
        <w:jc w:val="both"/>
      </w:pPr>
      <w:r w:rsidRPr="00AC13E7">
        <w:t>Therefore, we applied the consensus approaches to the outputs of the 11 subclonal structure reconstruction methods on 2,778 PCAWG tumour samples and settled on using the output of one of the consensus methods, WeMe – this choice of consensus approach was arbitrary, as all three led to similar results.</w:t>
      </w:r>
    </w:p>
    <w:p w14:paraId="05FDA22C" w14:textId="77777777" w:rsidR="00A11192" w:rsidRDefault="009C0668" w:rsidP="00A11192">
      <w:pPr>
        <w:jc w:val="center"/>
      </w:pPr>
      <w:r>
        <w:br w:type="page"/>
      </w:r>
      <w:r>
        <w:rPr>
          <w:noProof/>
          <w:lang w:eastAsia="en-GB"/>
        </w:rPr>
        <w:lastRenderedPageBreak/>
        <w:drawing>
          <wp:inline distT="0" distB="0" distL="0" distR="0" wp14:anchorId="0B6EE66D" wp14:editId="78182D01">
            <wp:extent cx="3192145" cy="8858250"/>
            <wp:effectExtent l="0" t="0" r="8255" b="6350"/>
            <wp:docPr id="29" name="Picture 29" descr="Macintosh HD:Users:tarabim:Desktop:Projects:Heterogeneity:Supplement:suppl_figures17-23:Fig22_sup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arabim:Desktop:Projects:Heterogeneity:Supplement:suppl_figures17-23:Fig22_suppl.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92145" cy="8858250"/>
                    </a:xfrm>
                    <a:prstGeom prst="rect">
                      <a:avLst/>
                    </a:prstGeom>
                    <a:noFill/>
                    <a:ln>
                      <a:noFill/>
                    </a:ln>
                  </pic:spPr>
                </pic:pic>
              </a:graphicData>
            </a:graphic>
          </wp:inline>
        </w:drawing>
      </w:r>
    </w:p>
    <w:p w14:paraId="1C7F27EF" w14:textId="1FC7B6A2" w:rsidR="009C0668" w:rsidRDefault="009C0668" w:rsidP="009C0668">
      <w:pPr>
        <w:jc w:val="both"/>
        <w:rPr>
          <w:rFonts w:eastAsia="Arial" w:cs="Cambria"/>
          <w:i/>
          <w:iCs/>
          <w:color w:val="44546A"/>
          <w:sz w:val="22"/>
          <w:szCs w:val="22"/>
        </w:rPr>
      </w:pPr>
    </w:p>
    <w:p w14:paraId="3393CC3F" w14:textId="57D4DF16" w:rsidR="000868FF" w:rsidRPr="00AC13E7" w:rsidRDefault="009D4432" w:rsidP="004916C9">
      <w:pPr>
        <w:pStyle w:val="Caption"/>
      </w:pPr>
      <w:bookmarkStart w:id="193" w:name="_Ref384459346"/>
      <w:bookmarkStart w:id="194" w:name="_Toc384459604"/>
      <w:r w:rsidRPr="00AC13E7">
        <w:t xml:space="preserve">Fig. </w:t>
      </w:r>
      <w:r w:rsidR="001003E9">
        <w:fldChar w:fldCharType="begin"/>
      </w:r>
      <w:r w:rsidR="001003E9">
        <w:instrText xml:space="preserve"> SEQ Fig. \* ARABIC </w:instrText>
      </w:r>
      <w:r w:rsidR="001003E9">
        <w:fldChar w:fldCharType="separate"/>
      </w:r>
      <w:r w:rsidR="00673FBD">
        <w:rPr>
          <w:noProof/>
        </w:rPr>
        <w:t>33</w:t>
      </w:r>
      <w:r w:rsidR="001003E9">
        <w:rPr>
          <w:noProof/>
        </w:rPr>
        <w:fldChar w:fldCharType="end"/>
      </w:r>
      <w:bookmarkEnd w:id="192"/>
      <w:bookmarkEnd w:id="193"/>
      <w:r w:rsidRPr="00AC13E7">
        <w:t xml:space="preserve"> Median performances of consensus methods </w:t>
      </w:r>
      <w:r w:rsidR="00F150B7" w:rsidRPr="00AC13E7">
        <w:t>on SimClone</w:t>
      </w:r>
      <w:r w:rsidR="008056A3" w:rsidRPr="00AC13E7">
        <w:t xml:space="preserve">1000 </w:t>
      </w:r>
      <w:r w:rsidRPr="00AC13E7">
        <w:t>with different numbers</w:t>
      </w:r>
      <w:r w:rsidR="000868FF" w:rsidRPr="00AC13E7">
        <w:t xml:space="preserve"> of methods included, from 1 (</w:t>
      </w:r>
      <w:r w:rsidRPr="00AC13E7">
        <w:t>individual methods) to 11 (t</w:t>
      </w:r>
      <w:r w:rsidR="000868FF" w:rsidRPr="00AC13E7">
        <w:t>he reported consensus results), for clonal fraction, number of subclones and RMSE, from top to bottom. The green line connects the medians of the medians; the red and blue connect the extreme top and bottom values, respectively.</w:t>
      </w:r>
      <w:r w:rsidR="00585509" w:rsidRPr="00AC13E7">
        <w:t xml:space="preserve"> Consensus was obtained using CSR</w:t>
      </w:r>
      <w:r w:rsidR="008615D4" w:rsidRPr="00AC13E7">
        <w:t xml:space="preserve"> (A), CICC </w:t>
      </w:r>
      <w:r w:rsidR="008056A3" w:rsidRPr="00AC13E7">
        <w:t>on a subset of 6</w:t>
      </w:r>
      <w:r w:rsidR="00941C79" w:rsidRPr="00AC13E7">
        <w:t>8</w:t>
      </w:r>
      <w:r w:rsidR="008056A3" w:rsidRPr="00AC13E7">
        <w:t>0</w:t>
      </w:r>
      <w:r w:rsidR="00941C79" w:rsidRPr="00AC13E7">
        <w:t xml:space="preserve"> out of 965</w:t>
      </w:r>
      <w:r w:rsidR="008056A3" w:rsidRPr="00AC13E7">
        <w:t xml:space="preserve"> samples </w:t>
      </w:r>
      <w:r w:rsidR="008615D4" w:rsidRPr="00AC13E7">
        <w:t xml:space="preserve">(B) </w:t>
      </w:r>
      <w:r w:rsidR="003A0763" w:rsidRPr="00AC13E7">
        <w:t>or</w:t>
      </w:r>
      <w:r w:rsidR="008615D4" w:rsidRPr="00AC13E7">
        <w:t xml:space="preserve"> WM (C)</w:t>
      </w:r>
      <w:r w:rsidR="00585509" w:rsidRPr="00AC13E7">
        <w:t>.</w:t>
      </w:r>
      <w:bookmarkEnd w:id="194"/>
    </w:p>
    <w:p w14:paraId="016F7075" w14:textId="4F4E675A" w:rsidR="00CA3895" w:rsidRPr="00AC13E7" w:rsidRDefault="002C09C8" w:rsidP="003B4AB6">
      <w:pPr>
        <w:pStyle w:val="Heading2"/>
        <w:spacing w:before="320" w:after="80"/>
        <w:rPr>
          <w:rFonts w:ascii="Times New Roman" w:hAnsi="Times New Roman" w:cs="Times New Roman"/>
          <w:lang w:val="en-GB"/>
        </w:rPr>
      </w:pPr>
      <w:bookmarkStart w:id="195" w:name="_Toc499571754"/>
      <w:bookmarkStart w:id="196" w:name="_Toc391905031"/>
      <w:r w:rsidRPr="00AC13E7">
        <w:rPr>
          <w:rFonts w:ascii="Times New Roman" w:hAnsi="Times New Roman" w:cs="Times New Roman"/>
          <w:lang w:val="en-GB"/>
        </w:rPr>
        <w:t xml:space="preserve">2.3 </w:t>
      </w:r>
      <w:r w:rsidR="008B0B2C" w:rsidRPr="00AC13E7">
        <w:rPr>
          <w:rFonts w:ascii="Times New Roman" w:hAnsi="Times New Roman" w:cs="Times New Roman"/>
          <w:lang w:val="en-GB"/>
        </w:rPr>
        <w:t>“</w:t>
      </w:r>
      <w:r w:rsidRPr="00AC13E7">
        <w:rPr>
          <w:rFonts w:ascii="Times New Roman" w:hAnsi="Times New Roman" w:cs="Times New Roman"/>
          <w:lang w:val="en-GB"/>
        </w:rPr>
        <w:t>Winner’s curse</w:t>
      </w:r>
      <w:r w:rsidR="008B0B2C" w:rsidRPr="00AC13E7">
        <w:rPr>
          <w:rFonts w:ascii="Times New Roman" w:hAnsi="Times New Roman" w:cs="Times New Roman"/>
          <w:lang w:val="en-GB"/>
        </w:rPr>
        <w:t>”</w:t>
      </w:r>
      <w:r w:rsidRPr="00AC13E7">
        <w:rPr>
          <w:rFonts w:ascii="Times New Roman" w:hAnsi="Times New Roman" w:cs="Times New Roman"/>
          <w:lang w:val="en-GB"/>
        </w:rPr>
        <w:t xml:space="preserve"> correction</w:t>
      </w:r>
      <w:bookmarkEnd w:id="195"/>
      <w:bookmarkEnd w:id="196"/>
    </w:p>
    <w:p w14:paraId="5A9AD612" w14:textId="77777777" w:rsidR="00242AFE" w:rsidRPr="00AC13E7" w:rsidRDefault="00B1572E">
      <w:pPr>
        <w:jc w:val="both"/>
      </w:pPr>
      <w:r w:rsidRPr="00AC13E7">
        <w:t>Somatic mutation callers require several high quality supporting reads</w:t>
      </w:r>
      <w:r w:rsidRPr="00AC13E7" w:rsidDel="003C4D92">
        <w:t xml:space="preserve"> </w:t>
      </w:r>
      <w:r w:rsidRPr="00AC13E7">
        <w:t>to reliably call a mutation. In samples with low purity and/or low allele fraction subclones, the observed allele fraction and cancer cell fraction (CCF) of the clones will be biased upwards, since the signal from allele count fluctuations that fall below the caller’s detection limit will be unaccounted for (variants are not detected). If subclonal reconstruction is done without correcting for of such biases, the lower CCF cluster positions would be inaccurate and subclonal cluster sizes (number of mutations) would be significantly underestimated.</w:t>
      </w:r>
      <w:r w:rsidR="009C0E0D" w:rsidRPr="00AC13E7">
        <w:t xml:space="preserve"> This effect has been dubbed the “Winner's curse” (WC).</w:t>
      </w:r>
    </w:p>
    <w:p w14:paraId="540EEDE2" w14:textId="33F79258" w:rsidR="0029532B" w:rsidRPr="00AC13E7" w:rsidRDefault="009C0E0D">
      <w:pPr>
        <w:jc w:val="both"/>
      </w:pPr>
      <w:r w:rsidRPr="00AC13E7">
        <w:t xml:space="preserve">We wish to correct for the effects of </w:t>
      </w:r>
      <w:r w:rsidR="003E43EF" w:rsidRPr="00AC13E7">
        <w:t>WC</w:t>
      </w:r>
      <w:r w:rsidRPr="00AC13E7">
        <w:t xml:space="preserve"> on both the inferred </w:t>
      </w:r>
      <w:r w:rsidR="003E43EF" w:rsidRPr="00AC13E7">
        <w:t>CCF</w:t>
      </w:r>
      <w:r w:rsidRPr="00AC13E7">
        <w:t xml:space="preserve"> of identified subclonal lineages and the number of SNVs belonging to that lineage.</w:t>
      </w:r>
      <w:r w:rsidR="003E43EF" w:rsidRPr="00AC13E7">
        <w:t xml:space="preserve"> For this purpose, we have developed two orthogonal methods as described below.</w:t>
      </w:r>
    </w:p>
    <w:p w14:paraId="4D34C90F" w14:textId="77777777" w:rsidR="00B1572E" w:rsidRPr="00AC13E7" w:rsidRDefault="00B1572E" w:rsidP="002E3119">
      <w:pPr>
        <w:outlineLvl w:val="1"/>
        <w:rPr>
          <w:b/>
          <w:bCs/>
        </w:rPr>
      </w:pPr>
    </w:p>
    <w:p w14:paraId="774428D9" w14:textId="63ED3FCC" w:rsidR="00C47049" w:rsidRPr="00AC13E7" w:rsidRDefault="00C47049" w:rsidP="00AC36B1">
      <w:pPr>
        <w:pStyle w:val="Heading3"/>
        <w:rPr>
          <w:rFonts w:ascii="Times New Roman" w:hAnsi="Times New Roman" w:cs="Times New Roman"/>
          <w:b w:val="0"/>
          <w:bCs/>
          <w:sz w:val="32"/>
          <w:szCs w:val="32"/>
          <w:lang w:val="en-GB"/>
        </w:rPr>
      </w:pPr>
      <w:bookmarkStart w:id="197" w:name="_Toc391905032"/>
      <w:r w:rsidRPr="00AC13E7">
        <w:rPr>
          <w:rFonts w:ascii="Times New Roman" w:hAnsi="Times New Roman" w:cs="Times New Roman"/>
          <w:b w:val="0"/>
          <w:bCs/>
          <w:sz w:val="32"/>
          <w:szCs w:val="32"/>
          <w:lang w:val="en-GB"/>
        </w:rPr>
        <w:t>2.3.1 PhylogicCorrectBias</w:t>
      </w:r>
      <w:bookmarkEnd w:id="197"/>
    </w:p>
    <w:p w14:paraId="01FCC50F" w14:textId="41D41F9B" w:rsidR="006C5ABC" w:rsidRPr="00AC13E7" w:rsidRDefault="006C5ABC" w:rsidP="006C5ABC">
      <w:pPr>
        <w:jc w:val="both"/>
      </w:pPr>
      <w:r w:rsidRPr="00AC13E7">
        <w:t xml:space="preserve">Ignaty Leshchiner, </w:t>
      </w:r>
      <w:r w:rsidR="0084009D" w:rsidRPr="00AC13E7">
        <w:t xml:space="preserve">Dimitri Livitz, </w:t>
      </w:r>
      <w:r w:rsidRPr="00AC13E7">
        <w:t>Gad Getz</w:t>
      </w:r>
    </w:p>
    <w:p w14:paraId="1EECFC65" w14:textId="77777777" w:rsidR="00B1572E" w:rsidRPr="00AC13E7" w:rsidRDefault="00B1572E" w:rsidP="0056518D">
      <w:pPr>
        <w:jc w:val="both"/>
      </w:pPr>
    </w:p>
    <w:p w14:paraId="384666D3" w14:textId="7CCCFA52" w:rsidR="003440CD" w:rsidRPr="00AC13E7" w:rsidRDefault="00B1572E">
      <w:pPr>
        <w:jc w:val="both"/>
      </w:pPr>
      <w:r w:rsidRPr="00AC13E7">
        <w:t>T</w:t>
      </w:r>
      <w:r w:rsidR="00A3463D" w:rsidRPr="00AC13E7">
        <w:t>o measure and correct the</w:t>
      </w:r>
      <w:r w:rsidRPr="00AC13E7">
        <w:t xml:space="preserve"> bias</w:t>
      </w:r>
      <w:r w:rsidR="00A3463D" w:rsidRPr="00AC13E7">
        <w:t xml:space="preserve"> caused by the </w:t>
      </w:r>
      <w:r w:rsidR="0008573F" w:rsidRPr="00AC13E7">
        <w:t>WC</w:t>
      </w:r>
      <w:r w:rsidR="00A3463D" w:rsidRPr="00AC13E7">
        <w:t xml:space="preserve"> effect</w:t>
      </w:r>
      <w:r w:rsidRPr="00AC13E7">
        <w:t xml:space="preserve">, we employed a simulation-based search method, </w:t>
      </w:r>
      <w:r w:rsidRPr="00AC13E7">
        <w:rPr>
          <w:bCs/>
        </w:rPr>
        <w:t>PhylogicCorrectBias</w:t>
      </w:r>
      <w:r w:rsidRPr="00AC13E7">
        <w:rPr>
          <w:b/>
        </w:rPr>
        <w:t xml:space="preserve"> (</w:t>
      </w:r>
      <w:r w:rsidRPr="00AC13E7">
        <w:rPr>
          <w:lang w:eastAsia="en-US"/>
        </w:rPr>
        <w:t>a component of the Phylogic</w:t>
      </w:r>
      <w:r w:rsidR="005845D1" w:rsidRPr="00AC13E7">
        <w:rPr>
          <w:lang w:eastAsia="en-US"/>
        </w:rPr>
        <w:t>NDT</w:t>
      </w:r>
      <w:r w:rsidRPr="00AC13E7">
        <w:rPr>
          <w:lang w:eastAsia="en-US"/>
        </w:rPr>
        <w:t xml:space="preserve"> package),</w:t>
      </w:r>
      <w:r w:rsidRPr="00AC13E7">
        <w:t xml:space="preserve"> that empirically estimates the correct CCF cluster position and its mutational composition. In case there is no bias, the CCF of the simulated clusters will match that of the detected sample. </w:t>
      </w:r>
    </w:p>
    <w:p w14:paraId="7839E1C8" w14:textId="729B2640" w:rsidR="00BB603F" w:rsidRPr="00AC13E7" w:rsidRDefault="00BB603F" w:rsidP="006C4C00">
      <w:pPr>
        <w:jc w:val="both"/>
      </w:pPr>
      <w:r w:rsidRPr="00AC13E7">
        <w:t>To perform the simulation, a potentially truncated CCF cluster of mutations is investigated</w:t>
      </w:r>
      <w:r w:rsidR="00B7518F" w:rsidRPr="00AC13E7">
        <w:t xml:space="preserve"> as follows.</w:t>
      </w:r>
      <w:r w:rsidR="00FE0738" w:rsidRPr="00AC13E7">
        <w:t xml:space="preserve"> </w:t>
      </w:r>
      <w:r w:rsidR="00C97E88" w:rsidRPr="00AC13E7">
        <w:t>S</w:t>
      </w:r>
      <w:r w:rsidRPr="00AC13E7">
        <w:t xml:space="preserve">imulated mutations are randomly placed on an allele along the genome according to the copy number profile and bases at risk at a chromosome/allele, while their expected allele fraction is selected according to the current cluster CCF and local coverage. Subsequently, the algorithm defines the measured number of alternative and reference reads given the expected allele fraction according to a binomial distribution and decides if the mutation is “detected” based on </w:t>
      </w:r>
      <w:r w:rsidR="004A12E7" w:rsidRPr="00AC13E7">
        <w:t xml:space="preserve">the </w:t>
      </w:r>
      <w:r w:rsidRPr="00AC13E7">
        <w:t>filtering and detection criteria of the callers used. The simulated cluster CCF is then calculated from the “detected” mutations</w:t>
      </w:r>
      <w:r w:rsidR="000310D8" w:rsidRPr="00AC13E7">
        <w:t>.</w:t>
      </w:r>
      <w:r w:rsidRPr="00AC13E7">
        <w:t xml:space="preserve"> </w:t>
      </w:r>
      <w:r w:rsidR="000310D8" w:rsidRPr="00AC13E7">
        <w:t>I</w:t>
      </w:r>
      <w:r w:rsidRPr="00AC13E7">
        <w:t>n the event the values of the simulated and experimentally measured clusters do</w:t>
      </w:r>
      <w:r w:rsidR="002C36CA" w:rsidRPr="00AC13E7">
        <w:t xml:space="preserve"> not</w:t>
      </w:r>
      <w:r w:rsidRPr="00AC13E7">
        <w:t xml:space="preserve"> match</w:t>
      </w:r>
      <w:r w:rsidR="00494CBE" w:rsidRPr="00AC13E7">
        <w:t>,</w:t>
      </w:r>
      <w:r w:rsidRPr="00AC13E7">
        <w:t xml:space="preserve"> the algorithm iterat</w:t>
      </w:r>
      <w:r w:rsidR="00CA5957" w:rsidRPr="00AC13E7">
        <w:t>ively lowers</w:t>
      </w:r>
      <w:r w:rsidRPr="00AC13E7">
        <w:t xml:space="preserve"> the real cluster CCF downwards</w:t>
      </w:r>
      <w:r w:rsidR="00CA5957" w:rsidRPr="00AC13E7">
        <w:t xml:space="preserve"> in 0.01 increments (maximum CCF resolution)</w:t>
      </w:r>
      <w:r w:rsidRPr="00AC13E7">
        <w:t xml:space="preserve"> until the “detected” cluster CCF and mutation number match the experimentally measured cluster position</w:t>
      </w:r>
      <w:r w:rsidR="00CA5957" w:rsidRPr="00AC13E7">
        <w:t>, within 0.01 CCF delta</w:t>
      </w:r>
      <w:r w:rsidRPr="00AC13E7">
        <w:t xml:space="preserve">. On convergence of the algorithm the corrected cluster position and expected mutation count is reported. </w:t>
      </w:r>
    </w:p>
    <w:p w14:paraId="1FB56534" w14:textId="77777777" w:rsidR="00C47049" w:rsidRPr="00AC13E7" w:rsidRDefault="00C47049" w:rsidP="0056518D">
      <w:pPr>
        <w:jc w:val="both"/>
      </w:pPr>
    </w:p>
    <w:p w14:paraId="068E013D" w14:textId="77777777" w:rsidR="009C0668" w:rsidRDefault="009C0668">
      <w:pPr>
        <w:rPr>
          <w:rFonts w:eastAsia="Times"/>
          <w:bCs/>
          <w:color w:val="000000"/>
          <w:sz w:val="32"/>
          <w:szCs w:val="32"/>
        </w:rPr>
      </w:pPr>
      <w:r>
        <w:rPr>
          <w:b/>
          <w:bCs/>
          <w:sz w:val="32"/>
          <w:szCs w:val="32"/>
        </w:rPr>
        <w:br w:type="page"/>
      </w:r>
    </w:p>
    <w:p w14:paraId="6437AA91" w14:textId="4FBFA79D" w:rsidR="00C47049" w:rsidRPr="00AC13E7" w:rsidRDefault="00C47049" w:rsidP="00AC36B1">
      <w:pPr>
        <w:pStyle w:val="Heading3"/>
        <w:rPr>
          <w:rFonts w:ascii="Times New Roman" w:hAnsi="Times New Roman" w:cs="Times New Roman"/>
          <w:b w:val="0"/>
          <w:bCs/>
          <w:sz w:val="32"/>
          <w:szCs w:val="32"/>
          <w:lang w:val="en-GB"/>
        </w:rPr>
      </w:pPr>
      <w:bookmarkStart w:id="198" w:name="_Toc391905033"/>
      <w:r w:rsidRPr="00AC13E7">
        <w:rPr>
          <w:rFonts w:ascii="Times New Roman" w:hAnsi="Times New Roman" w:cs="Times New Roman"/>
          <w:b w:val="0"/>
          <w:bCs/>
          <w:sz w:val="32"/>
          <w:szCs w:val="32"/>
          <w:lang w:val="en-GB"/>
        </w:rPr>
        <w:lastRenderedPageBreak/>
        <w:t xml:space="preserve">2.3.2 </w:t>
      </w:r>
      <w:r w:rsidR="002919D9" w:rsidRPr="00AC13E7">
        <w:rPr>
          <w:rFonts w:ascii="Times New Roman" w:hAnsi="Times New Roman" w:cs="Times New Roman"/>
          <w:b w:val="0"/>
          <w:bCs/>
          <w:sz w:val="32"/>
          <w:szCs w:val="32"/>
          <w:lang w:val="en-GB"/>
        </w:rPr>
        <w:t>SpoilSport</w:t>
      </w:r>
      <w:bookmarkEnd w:id="198"/>
    </w:p>
    <w:p w14:paraId="15C8B59D" w14:textId="77777777" w:rsidR="00E104DC" w:rsidRPr="00AC13E7" w:rsidRDefault="00E104DC" w:rsidP="00E104DC">
      <w:r w:rsidRPr="00AC13E7">
        <w:t>Amit Deshwar, Quaid D. Morris</w:t>
      </w:r>
    </w:p>
    <w:p w14:paraId="14E826AE" w14:textId="77777777" w:rsidR="00410C80" w:rsidRPr="00AC13E7" w:rsidRDefault="00410C80"/>
    <w:p w14:paraId="6D7D60C0" w14:textId="77777777" w:rsidR="00B0791B" w:rsidRPr="00AC13E7" w:rsidRDefault="00410C80" w:rsidP="00B0791B">
      <w:pPr>
        <w:jc w:val="both"/>
      </w:pPr>
      <w:r w:rsidRPr="00AC13E7">
        <w:t xml:space="preserve">To correct for the WC, we make some simplifying assumptions about how the </w:t>
      </w:r>
      <w:r w:rsidR="007605A2" w:rsidRPr="00AC13E7">
        <w:t>cellular prevalence (</w:t>
      </w:r>
      <w:r w:rsidRPr="00AC13E7">
        <w:t>CP</w:t>
      </w:r>
      <w:r w:rsidR="007605A2" w:rsidRPr="00AC13E7">
        <w:t>)</w:t>
      </w:r>
      <w:r w:rsidRPr="00AC13E7">
        <w:t xml:space="preserve"> estimates for each lineage were derived. Specifically, we assume that the CPs were maximum likelihood estimates under a binomial sampling model where all variants are at average read depth and exist as a single copy in a region of copy number equal to the average ploidy of the tumour.  To estimate the magnitude of the WC effect we first convert from CP to a probability of observing a variant read using the following equation:</w:t>
      </w:r>
    </w:p>
    <w:p w14:paraId="217D1BD7" w14:textId="2B8D469C" w:rsidR="00410C80" w:rsidRPr="00AC13E7" w:rsidRDefault="00410C80" w:rsidP="00B0791B">
      <w:pPr>
        <w:jc w:val="both"/>
      </w:pPr>
      <w:r w:rsidRPr="00AC13E7">
        <w:br/>
      </w:r>
      <m:oMathPara>
        <m:oMath>
          <m:sSub>
            <m:sSubPr>
              <m:ctrlPr>
                <w:rPr>
                  <w:rFonts w:ascii="Cambria Math" w:hAnsi="Cambria Math"/>
                  <w:i/>
                </w:rPr>
              </m:ctrlPr>
            </m:sSubPr>
            <m:e>
              <m:r>
                <w:rPr>
                  <w:rFonts w:ascii="Cambria Math" w:hAnsi="Cambria Math"/>
                </w:rPr>
                <m:t>p</m:t>
              </m:r>
            </m:e>
            <m:sub>
              <m:r>
                <w:rPr>
                  <w:rFonts w:ascii="Cambria Math" w:hAnsi="Cambria Math"/>
                </w:rPr>
                <m:t>v</m:t>
              </m:r>
            </m:sub>
          </m:sSub>
          <m:r>
            <w:rPr>
              <w:rFonts w:ascii="Cambria Math" w:hAnsi="Cambria Math"/>
            </w:rPr>
            <m:t xml:space="preserve">= </m:t>
          </m:r>
          <m:f>
            <m:fPr>
              <m:ctrlPr>
                <w:rPr>
                  <w:rFonts w:ascii="Cambria Math" w:hAnsi="Cambria Math"/>
                  <w:i/>
                </w:rPr>
              </m:ctrlPr>
            </m:fPr>
            <m:num>
              <m:r>
                <w:rPr>
                  <w:rFonts w:ascii="Cambria Math" w:hAnsi="Cambria Math"/>
                </w:rPr>
                <m:t>θ</m:t>
              </m:r>
            </m:num>
            <m:den>
              <m:r>
                <w:rPr>
                  <w:rFonts w:ascii="Cambria Math" w:hAnsi="Cambria Math"/>
                </w:rPr>
                <m:t>ρ ψ+</m:t>
              </m:r>
              <m:d>
                <m:dPr>
                  <m:ctrlPr>
                    <w:rPr>
                      <w:rFonts w:ascii="Cambria Math" w:hAnsi="Cambria Math"/>
                      <w:i/>
                    </w:rPr>
                  </m:ctrlPr>
                </m:dPr>
                <m:e>
                  <m:r>
                    <w:rPr>
                      <w:rFonts w:ascii="Cambria Math" w:hAnsi="Cambria Math"/>
                    </w:rPr>
                    <m:t>1- ρ</m:t>
                  </m:r>
                </m:e>
              </m:d>
              <m:r>
                <w:rPr>
                  <w:rFonts w:ascii="Cambria Math" w:hAnsi="Cambria Math"/>
                </w:rPr>
                <m:t>2</m:t>
              </m:r>
            </m:den>
          </m:f>
          <m:r>
            <m:rPr>
              <m:sty m:val="p"/>
            </m:rPr>
            <w:br/>
          </m:r>
        </m:oMath>
      </m:oMathPara>
      <w:r w:rsidR="0085174B" w:rsidRPr="00AC13E7">
        <w:t xml:space="preserve"> </w:t>
      </w:r>
    </w:p>
    <w:p w14:paraId="57A1C465" w14:textId="694F3A65" w:rsidR="00410C80" w:rsidRPr="00AC13E7" w:rsidRDefault="00410C80" w:rsidP="002E3119">
      <w:pPr>
        <w:jc w:val="both"/>
      </w:pPr>
      <w:r w:rsidRPr="00AC13E7">
        <w:t>Where</w:t>
      </w:r>
      <w:r w:rsidR="007537F4" w:rsidRPr="00AC13E7">
        <w:t xml:space="preserve"> </w:t>
      </w:r>
      <w:r w:rsidR="007537F4" w:rsidRPr="00AC13E7">
        <w:rPr>
          <w:rFonts w:ascii="Cambria Math" w:hAnsi="Cambria Math"/>
          <w:i/>
          <w:iCs/>
        </w:rPr>
        <w:sym w:font="Symbol" w:char="F071"/>
      </w:r>
      <w:r w:rsidRPr="00AC13E7">
        <w:t xml:space="preserve"> is the CP of the lineage, </w:t>
      </w:r>
      <m:oMath>
        <m:r>
          <w:rPr>
            <w:rFonts w:ascii="Cambria Math" w:hAnsi="Cambria Math"/>
          </w:rPr>
          <m:t>ρ</m:t>
        </m:r>
      </m:oMath>
      <w:r w:rsidR="007537F4" w:rsidRPr="00AC13E7">
        <w:t xml:space="preserve"> </w:t>
      </w:r>
      <w:r w:rsidRPr="00AC13E7">
        <w:t xml:space="preserve">is the purity of the tumour and </w:t>
      </w:r>
      <m:oMath>
        <m:r>
          <w:rPr>
            <w:rFonts w:ascii="Cambria Math" w:hAnsi="Cambria Math"/>
          </w:rPr>
          <m:t>ψ</m:t>
        </m:r>
      </m:oMath>
      <w:r w:rsidR="007537F4" w:rsidRPr="00AC13E7">
        <w:t xml:space="preserve"> </w:t>
      </w:r>
      <w:r w:rsidRPr="00AC13E7">
        <w:t>is the tumour ploidy.  The denominator of this equation is the average copy number in the sample.</w:t>
      </w:r>
    </w:p>
    <w:p w14:paraId="73F846DB" w14:textId="7B792A7A" w:rsidR="00410C80" w:rsidRPr="00AC13E7" w:rsidRDefault="00410C80" w:rsidP="002E3119">
      <w:pPr>
        <w:jc w:val="both"/>
      </w:pPr>
      <w:r w:rsidRPr="00AC13E7">
        <w:t>Given</w:t>
      </w:r>
      <w:r w:rsidR="00865084" w:rsidRPr="00AC13E7">
        <w:t xml:space="preserve"> </w:t>
      </w:r>
      <m:oMath>
        <m:sSub>
          <m:sSubPr>
            <m:ctrlPr>
              <w:rPr>
                <w:rFonts w:ascii="Cambria Math" w:hAnsi="Cambria Math"/>
                <w:i/>
              </w:rPr>
            </m:ctrlPr>
          </m:sSubPr>
          <m:e>
            <m:r>
              <w:rPr>
                <w:rFonts w:ascii="Cambria Math" w:hAnsi="Cambria Math"/>
              </w:rPr>
              <m:t>p</m:t>
            </m:r>
          </m:e>
          <m:sub>
            <m:r>
              <w:rPr>
                <w:rFonts w:ascii="Cambria Math" w:hAnsi="Cambria Math"/>
              </w:rPr>
              <m:t>v</m:t>
            </m:r>
          </m:sub>
        </m:sSub>
      </m:oMath>
      <w:r w:rsidRPr="00AC13E7">
        <w:t>, we use moment-matching to find the truncated binomial distribution with mean observed success probability equal to</w:t>
      </w:r>
      <w:r w:rsidR="00642857" w:rsidRPr="00AC13E7">
        <w:t xml:space="preserve"> </w:t>
      </w:r>
      <m:oMath>
        <m:sSub>
          <m:sSubPr>
            <m:ctrlPr>
              <w:rPr>
                <w:rFonts w:ascii="Cambria Math" w:hAnsi="Cambria Math"/>
                <w:i/>
              </w:rPr>
            </m:ctrlPr>
          </m:sSubPr>
          <m:e>
            <m:r>
              <w:rPr>
                <w:rFonts w:ascii="Cambria Math" w:hAnsi="Cambria Math"/>
              </w:rPr>
              <m:t>p</m:t>
            </m:r>
          </m:e>
          <m:sub>
            <m:r>
              <w:rPr>
                <w:rFonts w:ascii="Cambria Math" w:hAnsi="Cambria Math"/>
              </w:rPr>
              <m:t>v</m:t>
            </m:r>
          </m:sub>
        </m:sSub>
      </m:oMath>
      <w:r w:rsidR="0025489B" w:rsidRPr="00AC13E7">
        <w:t xml:space="preserve">. </w:t>
      </w:r>
      <w:r w:rsidRPr="00AC13E7">
        <w:t>The PDF of the truncated binomial distribution truncated at T successes is:</w:t>
      </w:r>
    </w:p>
    <w:p w14:paraId="24431DF4" w14:textId="77777777" w:rsidR="0025675A" w:rsidRPr="00AC13E7" w:rsidRDefault="0025675A" w:rsidP="0025675A">
      <w:pPr>
        <w:jc w:val="both"/>
      </w:pPr>
    </w:p>
    <w:p w14:paraId="16C33C8B" w14:textId="566B2DFE" w:rsidR="00410C80" w:rsidRPr="00AC13E7" w:rsidRDefault="00CF4B78" w:rsidP="002E3119">
      <w:pPr>
        <w:jc w:val="both"/>
      </w:pPr>
      <m:oMathPara>
        <m:oMath>
          <m:r>
            <m:rPr>
              <m:sty m:val="p"/>
            </m:rPr>
            <w:rPr>
              <w:rFonts w:ascii="Cambria Math" w:hAnsi="Cambria Math"/>
            </w:rPr>
            <m:t>TruncBinom</m:t>
          </m:r>
          <m:d>
            <m:dPr>
              <m:ctrlPr>
                <w:rPr>
                  <w:rFonts w:ascii="Cambria Math" w:hAnsi="Cambria Math"/>
                  <w:i/>
                </w:rPr>
              </m:ctrlPr>
            </m:dPr>
            <m:e>
              <m:r>
                <w:rPr>
                  <w:rFonts w:ascii="Cambria Math" w:hAnsi="Cambria Math"/>
                </w:rPr>
                <m:t>x, p, n, T</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0,  &amp;x≤T</m:t>
                  </m:r>
                </m:e>
                <m:e>
                  <m:f>
                    <m:fPr>
                      <m:ctrlPr>
                        <w:rPr>
                          <w:rFonts w:ascii="Cambria Math" w:hAnsi="Cambria Math"/>
                          <w:i/>
                        </w:rPr>
                      </m:ctrlPr>
                    </m:fPr>
                    <m:num>
                      <m:r>
                        <m:rPr>
                          <m:sty m:val="p"/>
                        </m:rPr>
                        <w:rPr>
                          <w:rFonts w:ascii="Cambria Math" w:hAnsi="Cambria Math"/>
                        </w:rPr>
                        <m:t>Binomial</m:t>
                      </m:r>
                      <m:r>
                        <w:rPr>
                          <w:rFonts w:ascii="Cambria Math" w:hAnsi="Cambria Math"/>
                        </w:rPr>
                        <m:t>(x,p, n)</m:t>
                      </m:r>
                    </m:num>
                    <m:den>
                      <m:nary>
                        <m:naryPr>
                          <m:chr m:val="∑"/>
                          <m:limLoc m:val="subSup"/>
                          <m:ctrlPr>
                            <w:rPr>
                              <w:rFonts w:ascii="Cambria Math" w:hAnsi="Cambria Math"/>
                              <w:i/>
                            </w:rPr>
                          </m:ctrlPr>
                        </m:naryPr>
                        <m:sub>
                          <m:r>
                            <w:rPr>
                              <w:rFonts w:ascii="Cambria Math" w:hAnsi="Cambria Math"/>
                            </w:rPr>
                            <m:t>j=0</m:t>
                          </m:r>
                        </m:sub>
                        <m:sup>
                          <m:r>
                            <w:rPr>
                              <w:rFonts w:ascii="Cambria Math" w:hAnsi="Cambria Math"/>
                            </w:rPr>
                            <m:t>T</m:t>
                          </m:r>
                        </m:sup>
                        <m:e>
                          <m:r>
                            <m:rPr>
                              <m:sty m:val="p"/>
                            </m:rPr>
                            <w:rPr>
                              <w:rFonts w:ascii="Cambria Math" w:hAnsi="Cambria Math"/>
                            </w:rPr>
                            <m:t>Binomial</m:t>
                          </m:r>
                          <m:r>
                            <w:rPr>
                              <w:rFonts w:ascii="Cambria Math" w:hAnsi="Cambria Math"/>
                            </w:rPr>
                            <m:t>(j,p,n)</m:t>
                          </m:r>
                        </m:e>
                      </m:nary>
                    </m:den>
                  </m:f>
                  <m:r>
                    <w:rPr>
                      <w:rFonts w:ascii="Cambria Math" w:hAnsi="Cambria Math"/>
                    </w:rPr>
                    <m:t>,  &amp;x&gt;T</m:t>
                  </m:r>
                </m:e>
              </m:eqArr>
            </m:e>
          </m:d>
        </m:oMath>
      </m:oMathPara>
    </w:p>
    <w:p w14:paraId="5AF65312" w14:textId="77777777" w:rsidR="00410C80" w:rsidRPr="00AC13E7" w:rsidRDefault="00410C80" w:rsidP="002E3119">
      <w:pPr>
        <w:jc w:val="both"/>
      </w:pPr>
    </w:p>
    <w:p w14:paraId="36DDCAAF" w14:textId="2A7B2C6F" w:rsidR="00410C80" w:rsidRPr="00AC13E7" w:rsidRDefault="00410C80" w:rsidP="002E3119">
      <w:pPr>
        <w:jc w:val="both"/>
      </w:pPr>
      <w:r w:rsidRPr="00AC13E7">
        <w:t xml:space="preserve">There is no closed form equation for the mean but it can be calculated conditioned on </w:t>
      </w:r>
      <w:r w:rsidRPr="00AC13E7">
        <w:rPr>
          <w:rFonts w:ascii="Cambria Math" w:hAnsi="Cambria Math"/>
          <w:i/>
          <w:iCs/>
        </w:rPr>
        <w:t>T,</w:t>
      </w:r>
      <w:r w:rsidR="00FA5EAC" w:rsidRPr="00AC13E7">
        <w:rPr>
          <w:rFonts w:ascii="Cambria Math" w:hAnsi="Cambria Math"/>
          <w:i/>
          <w:iCs/>
        </w:rPr>
        <w:t xml:space="preserve"> </w:t>
      </w:r>
      <w:r w:rsidRPr="00AC13E7">
        <w:rPr>
          <w:rFonts w:ascii="Cambria Math" w:hAnsi="Cambria Math"/>
          <w:i/>
          <w:iCs/>
        </w:rPr>
        <w:t>p</w:t>
      </w:r>
      <w:r w:rsidRPr="00AC13E7">
        <w:t xml:space="preserve"> and </w:t>
      </w:r>
      <w:r w:rsidRPr="00AC13E7">
        <w:rPr>
          <w:rFonts w:ascii="Cambria Math" w:hAnsi="Cambria Math"/>
          <w:i/>
          <w:iCs/>
        </w:rPr>
        <w:t>n</w:t>
      </w:r>
      <w:r w:rsidRPr="00AC13E7">
        <w:t xml:space="preserve"> by summing over values of </w:t>
      </w:r>
      <w:r w:rsidRPr="00AC13E7">
        <w:rPr>
          <w:rFonts w:ascii="Cambria Math" w:hAnsi="Cambria Math"/>
          <w:i/>
          <w:iCs/>
        </w:rPr>
        <w:t>x</w:t>
      </w:r>
      <w:r w:rsidRPr="00AC13E7">
        <w:t xml:space="preserve"> from 0 to </w:t>
      </w:r>
      <w:r w:rsidRPr="00AC13E7">
        <w:rPr>
          <w:rFonts w:ascii="Cambria Math" w:hAnsi="Cambria Math"/>
          <w:i/>
          <w:iCs/>
        </w:rPr>
        <w:t>n</w:t>
      </w:r>
      <w:r w:rsidRPr="00AC13E7">
        <w:t>:</w:t>
      </w:r>
    </w:p>
    <w:p w14:paraId="0A0A3598" w14:textId="77777777" w:rsidR="006342F2" w:rsidRPr="00AC13E7" w:rsidRDefault="006342F2" w:rsidP="006342F2">
      <w:pPr>
        <w:jc w:val="both"/>
      </w:pPr>
    </w:p>
    <w:p w14:paraId="58203D7E" w14:textId="5493A68F" w:rsidR="006342F2" w:rsidRPr="00AC13E7" w:rsidRDefault="006342F2" w:rsidP="002E3119">
      <w:pPr>
        <w:jc w:val="both"/>
      </w:pPr>
      <m:oMathPara>
        <m:oMath>
          <m:r>
            <w:rPr>
              <w:rFonts w:ascii="Cambria Math" w:hAnsi="Cambria Math"/>
            </w:rPr>
            <m:t>E</m:t>
          </m:r>
          <m:d>
            <m:dPr>
              <m:begChr m:val="["/>
              <m:endChr m:val="]"/>
              <m:ctrlPr>
                <w:rPr>
                  <w:rFonts w:ascii="Cambria Math" w:hAnsi="Cambria Math"/>
                  <w:i/>
                </w:rPr>
              </m:ctrlPr>
            </m:dPr>
            <m:e>
              <m:r>
                <m:rPr>
                  <m:sty m:val="p"/>
                </m:rPr>
                <w:rPr>
                  <w:rFonts w:ascii="Cambria Math" w:hAnsi="Cambria Math"/>
                </w:rPr>
                <m:t>TruncBinom</m:t>
              </m:r>
              <m:d>
                <m:dPr>
                  <m:ctrlPr>
                    <w:rPr>
                      <w:rFonts w:ascii="Cambria Math" w:hAnsi="Cambria Math"/>
                      <w:i/>
                    </w:rPr>
                  </m:ctrlPr>
                </m:dPr>
                <m:e>
                  <m:r>
                    <w:rPr>
                      <w:rFonts w:ascii="Cambria Math" w:hAnsi="Cambria Math"/>
                    </w:rPr>
                    <m:t>p,n,T</m:t>
                  </m:r>
                </m:e>
              </m:d>
            </m:e>
          </m:d>
          <m:r>
            <w:rPr>
              <w:rFonts w:ascii="Cambria Math" w:hAnsi="Cambria Math"/>
            </w:rPr>
            <m:t xml:space="preserve">= </m:t>
          </m:r>
          <m:nary>
            <m:naryPr>
              <m:chr m:val="∑"/>
              <m:limLoc m:val="undOvr"/>
              <m:ctrlPr>
                <w:rPr>
                  <w:rFonts w:ascii="Cambria Math" w:hAnsi="Cambria Math"/>
                  <w:i/>
                </w:rPr>
              </m:ctrlPr>
            </m:naryPr>
            <m:sub>
              <m:r>
                <w:rPr>
                  <w:rFonts w:ascii="Cambria Math" w:hAnsi="Cambria Math"/>
                </w:rPr>
                <m:t>x= 0</m:t>
              </m:r>
            </m:sub>
            <m:sup>
              <m:r>
                <w:rPr>
                  <w:rFonts w:ascii="Cambria Math" w:hAnsi="Cambria Math"/>
                </w:rPr>
                <m:t>n</m:t>
              </m:r>
            </m:sup>
            <m:e>
              <m:r>
                <w:rPr>
                  <w:rFonts w:ascii="Cambria Math" w:hAnsi="Cambria Math"/>
                </w:rPr>
                <m:t xml:space="preserve">x  </m:t>
              </m:r>
              <m:r>
                <m:rPr>
                  <m:sty m:val="p"/>
                </m:rPr>
                <w:rPr>
                  <w:rFonts w:ascii="Cambria Math" w:hAnsi="Cambria Math"/>
                </w:rPr>
                <m:t>TruncBinom</m:t>
              </m:r>
              <m:r>
                <w:rPr>
                  <w:rFonts w:ascii="Cambria Math" w:hAnsi="Cambria Math"/>
                </w:rPr>
                <m:t>(x,p,n,T)</m:t>
              </m:r>
            </m:e>
          </m:nary>
        </m:oMath>
      </m:oMathPara>
    </w:p>
    <w:p w14:paraId="0DD013F9" w14:textId="77777777" w:rsidR="00B0791B" w:rsidRPr="00AC13E7" w:rsidRDefault="00410C80" w:rsidP="006342F2">
      <w:pPr>
        <w:jc w:val="both"/>
      </w:pPr>
      <w:r w:rsidRPr="00AC13E7">
        <w:br/>
        <w:t xml:space="preserve">We set </w:t>
      </w:r>
      <w:r w:rsidRPr="00AC13E7">
        <w:rPr>
          <w:rFonts w:ascii="Cambria Math" w:hAnsi="Cambria Math"/>
          <w:i/>
          <w:iCs/>
        </w:rPr>
        <w:t>n</w:t>
      </w:r>
      <w:r w:rsidRPr="00AC13E7">
        <w:t xml:space="preserve"> to equal the rounded mean read depth of variants in the lineage we are correcting and find </w:t>
      </w:r>
      <w:r w:rsidRPr="00AC13E7">
        <w:rPr>
          <w:rFonts w:ascii="Cambria Math" w:hAnsi="Cambria Math"/>
          <w:i/>
          <w:iCs/>
        </w:rPr>
        <w:t>p</w:t>
      </w:r>
      <w:r w:rsidRPr="00AC13E7">
        <w:t xml:space="preserve"> by solving the following optimization problem:</w:t>
      </w:r>
    </w:p>
    <w:p w14:paraId="0E1F2E62" w14:textId="77777777" w:rsidR="00B0791B" w:rsidRPr="00AC13E7" w:rsidRDefault="00B0791B" w:rsidP="006342F2">
      <w:pPr>
        <w:jc w:val="both"/>
      </w:pPr>
    </w:p>
    <w:p w14:paraId="034DF38F" w14:textId="60C74681" w:rsidR="00410C80" w:rsidRPr="00AC13E7" w:rsidRDefault="0036299C" w:rsidP="002E3119">
      <w:pPr>
        <w:jc w:val="both"/>
      </w:pPr>
      <m:oMathPara>
        <m:oMath>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argmin</m:t>
                  </m:r>
                </m:e>
                <m:lim>
                  <m:r>
                    <w:rPr>
                      <w:rFonts w:ascii="Cambria Math" w:hAnsi="Cambria Math"/>
                    </w:rPr>
                    <m:t>p</m:t>
                  </m:r>
                </m:lim>
              </m:limLow>
            </m:fName>
            <m:e>
              <m:d>
                <m:dPr>
                  <m:begChr m:val="|"/>
                  <m:endChr m:val="|"/>
                  <m:ctrlPr>
                    <w:rPr>
                      <w:rFonts w:ascii="Cambria Math" w:hAnsi="Cambria Math"/>
                      <w:i/>
                    </w:rPr>
                  </m:ctrlPr>
                </m:dPr>
                <m:e>
                  <m:r>
                    <w:rPr>
                      <w:rFonts w:ascii="Cambria Math" w:hAnsi="Cambria Math"/>
                    </w:rPr>
                    <m:t>E</m:t>
                  </m:r>
                  <m:d>
                    <m:dPr>
                      <m:begChr m:val="["/>
                      <m:endChr m:val="]"/>
                      <m:ctrlPr>
                        <w:rPr>
                          <w:rFonts w:ascii="Cambria Math" w:hAnsi="Cambria Math"/>
                          <w:i/>
                        </w:rPr>
                      </m:ctrlPr>
                    </m:dPr>
                    <m:e>
                      <m:r>
                        <m:rPr>
                          <m:sty m:val="p"/>
                        </m:rPr>
                        <w:rPr>
                          <w:rFonts w:ascii="Cambria Math" w:hAnsi="Cambria Math"/>
                        </w:rPr>
                        <m:t>TruncBinom</m:t>
                      </m:r>
                      <m:r>
                        <w:rPr>
                          <w:rFonts w:ascii="Cambria Math" w:hAnsi="Cambria Math"/>
                        </w:rPr>
                        <m:t>(p,n,T)</m:t>
                      </m:r>
                    </m:e>
                  </m:d>
                  <m:r>
                    <w:rPr>
                      <w:rFonts w:ascii="Cambria Math" w:hAnsi="Cambria Math"/>
                    </w:rPr>
                    <m:t xml:space="preserve"> </m:t>
                  </m:r>
                  <m:sSub>
                    <m:sSubPr>
                      <m:ctrlPr>
                        <w:rPr>
                          <w:rFonts w:ascii="Cambria Math" w:hAnsi="Cambria Math"/>
                          <w:i/>
                        </w:rPr>
                      </m:ctrlPr>
                    </m:sSubPr>
                    <m:e>
                      <m:r>
                        <w:rPr>
                          <w:rFonts w:ascii="Cambria Math" w:hAnsi="Cambria Math"/>
                        </w:rPr>
                        <m:t>- p</m:t>
                      </m:r>
                    </m:e>
                    <m:sub>
                      <m:r>
                        <w:rPr>
                          <w:rFonts w:ascii="Cambria Math" w:hAnsi="Cambria Math"/>
                        </w:rPr>
                        <m:t>v</m:t>
                      </m:r>
                    </m:sub>
                  </m:sSub>
                </m:e>
              </m:d>
            </m:e>
          </m:func>
          <m:r>
            <m:rPr>
              <m:sty m:val="p"/>
            </m:rPr>
            <w:br/>
          </m:r>
        </m:oMath>
      </m:oMathPara>
    </w:p>
    <w:p w14:paraId="60856BA5" w14:textId="77777777" w:rsidR="00410C80" w:rsidRPr="00AC13E7" w:rsidRDefault="00410C80" w:rsidP="002E3119">
      <w:pPr>
        <w:jc w:val="both"/>
      </w:pPr>
      <w:r w:rsidRPr="00AC13E7">
        <w:t xml:space="preserve">We solve this problem using the bounded localmin procedure as implemented in the R function optimize. </w:t>
      </w:r>
    </w:p>
    <w:p w14:paraId="797F89B5" w14:textId="77777777" w:rsidR="00410C80" w:rsidRPr="00AC13E7" w:rsidRDefault="00410C80" w:rsidP="002E3119">
      <w:pPr>
        <w:jc w:val="both"/>
      </w:pPr>
      <w:r w:rsidRPr="00AC13E7">
        <w:t xml:space="preserve">After finding </w:t>
      </w:r>
      <w:r w:rsidRPr="00AC13E7">
        <w:rPr>
          <w:rFonts w:ascii="Cambria Math" w:hAnsi="Cambria Math"/>
          <w:i/>
          <w:iCs/>
        </w:rPr>
        <w:t>p*</w:t>
      </w:r>
      <w:r w:rsidRPr="00AC13E7">
        <w:t xml:space="preserve"> we convert this back to CP by multiplying by the average copy number.  This is the WC corrected CP used for downstream analysis.  </w:t>
      </w:r>
    </w:p>
    <w:p w14:paraId="338F88FF" w14:textId="77777777" w:rsidR="00AA1850" w:rsidRPr="00AC13E7" w:rsidRDefault="00410C80" w:rsidP="002E3119">
      <w:pPr>
        <w:jc w:val="both"/>
      </w:pPr>
      <w:r w:rsidRPr="00AC13E7">
        <w:t>We additionally infer the ratio of true variants to observed variants (sf) by inverting the untruncated proportion of the probability mass of the binomial distribution:</w:t>
      </w:r>
    </w:p>
    <w:p w14:paraId="50C0260A" w14:textId="77777777" w:rsidR="00AA1850" w:rsidRPr="00AC13E7" w:rsidRDefault="00AA1850" w:rsidP="00AA1850">
      <w:pPr>
        <w:jc w:val="both"/>
      </w:pPr>
    </w:p>
    <w:p w14:paraId="783F9227" w14:textId="29AB21DF" w:rsidR="00A724FB" w:rsidRPr="00AC13E7" w:rsidRDefault="00AA1850" w:rsidP="00AA1850">
      <w:pPr>
        <w:jc w:val="both"/>
      </w:pPr>
      <m:oMathPara>
        <m:oMath>
          <m:r>
            <w:rPr>
              <w:rFonts w:ascii="Cambria Math" w:hAnsi="Cambria Math"/>
            </w:rPr>
            <m:t xml:space="preserve">sf= </m:t>
          </m:r>
          <m:f>
            <m:fPr>
              <m:ctrlPr>
                <w:rPr>
                  <w:rFonts w:ascii="Cambria Math" w:hAnsi="Cambria Math"/>
                  <w:i/>
                </w:rPr>
              </m:ctrlPr>
            </m:fPr>
            <m:num>
              <m:r>
                <w:rPr>
                  <w:rFonts w:ascii="Cambria Math" w:hAnsi="Cambria Math"/>
                </w:rPr>
                <m:t>1</m:t>
              </m:r>
            </m:num>
            <m:den>
              <m:r>
                <w:rPr>
                  <w:rFonts w:ascii="Cambria Math" w:hAnsi="Cambria Math"/>
                </w:rPr>
                <m:t xml:space="preserve">1- </m:t>
              </m:r>
              <m:nary>
                <m:naryPr>
                  <m:chr m:val="∑"/>
                  <m:limLoc m:val="subSup"/>
                  <m:ctrlPr>
                    <w:rPr>
                      <w:rFonts w:ascii="Cambria Math" w:hAnsi="Cambria Math"/>
                      <w:i/>
                    </w:rPr>
                  </m:ctrlPr>
                </m:naryPr>
                <m:sub>
                  <m:r>
                    <w:rPr>
                      <w:rFonts w:ascii="Cambria Math" w:hAnsi="Cambria Math"/>
                    </w:rPr>
                    <m:t>j=0</m:t>
                  </m:r>
                </m:sub>
                <m:sup>
                  <m:r>
                    <w:rPr>
                      <w:rFonts w:ascii="Cambria Math" w:hAnsi="Cambria Math"/>
                    </w:rPr>
                    <m:t>T</m:t>
                  </m:r>
                </m:sup>
                <m:e>
                  <m:r>
                    <m:rPr>
                      <m:sty m:val="p"/>
                    </m:rPr>
                    <w:rPr>
                      <w:rFonts w:ascii="Cambria Math" w:hAnsi="Cambria Math"/>
                    </w:rPr>
                    <m:t>Binomial</m:t>
                  </m:r>
                  <m:r>
                    <w:rPr>
                      <w:rFonts w:ascii="Cambria Math" w:hAnsi="Cambria Math"/>
                    </w:rPr>
                    <m:t>(j,</m:t>
                  </m:r>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,n)</m:t>
                  </m:r>
                </m:e>
              </m:nary>
            </m:den>
          </m:f>
          <m:r>
            <m:rPr>
              <m:sty m:val="p"/>
            </m:rPr>
            <w:br/>
          </m:r>
        </m:oMath>
        <m:oMath>
          <m:r>
            <m:rPr>
              <m:sty m:val="p"/>
            </m:rPr>
            <w:br/>
          </m:r>
        </m:oMath>
      </m:oMathPara>
    </w:p>
    <w:p w14:paraId="422E2035" w14:textId="6D1714BD" w:rsidR="002702C3" w:rsidRPr="00AC13E7" w:rsidRDefault="002702C3" w:rsidP="00AC36B1">
      <w:pPr>
        <w:pStyle w:val="Heading3"/>
        <w:rPr>
          <w:rFonts w:ascii="Times New Roman" w:hAnsi="Times New Roman" w:cs="Times New Roman"/>
          <w:b w:val="0"/>
          <w:bCs/>
          <w:sz w:val="32"/>
          <w:szCs w:val="32"/>
          <w:lang w:val="en-GB"/>
        </w:rPr>
      </w:pPr>
      <w:bookmarkStart w:id="199" w:name="_Toc391905034"/>
      <w:r w:rsidRPr="00AC13E7">
        <w:rPr>
          <w:rFonts w:ascii="Times New Roman" w:hAnsi="Times New Roman" w:cs="Times New Roman"/>
          <w:b w:val="0"/>
          <w:bCs/>
          <w:sz w:val="32"/>
          <w:szCs w:val="32"/>
          <w:lang w:val="en-GB"/>
        </w:rPr>
        <w:lastRenderedPageBreak/>
        <w:t>2.3.3 “Winner’s curse” correction consensus</w:t>
      </w:r>
      <w:bookmarkEnd w:id="199"/>
    </w:p>
    <w:p w14:paraId="3BF73530" w14:textId="01CD610B" w:rsidR="000322BA" w:rsidRPr="00AC13E7" w:rsidRDefault="006E014E" w:rsidP="002E3119">
      <w:pPr>
        <w:jc w:val="both"/>
      </w:pPr>
      <w:bookmarkStart w:id="200" w:name="_hp0jjlxp7dnn" w:colFirst="0" w:colLast="0"/>
      <w:bookmarkEnd w:id="200"/>
      <w:r w:rsidRPr="00AC13E7">
        <w:t xml:space="preserve">Ignaty Leshchiner, Amit Deshwar, </w:t>
      </w:r>
      <w:r w:rsidR="0084009D" w:rsidRPr="00AC13E7">
        <w:t xml:space="preserve">Dimitri Livitz, </w:t>
      </w:r>
      <w:r w:rsidRPr="00AC13E7">
        <w:t>Quaid D. Morris, Gad Getz</w:t>
      </w:r>
    </w:p>
    <w:p w14:paraId="481E304E" w14:textId="77777777" w:rsidR="006E014E" w:rsidRPr="00AC13E7" w:rsidRDefault="006E014E" w:rsidP="002E3119">
      <w:pPr>
        <w:jc w:val="both"/>
        <w:rPr>
          <w:rFonts w:asciiTheme="majorBidi" w:eastAsia="Times New Roman" w:hAnsiTheme="majorBidi" w:cstheme="majorBidi"/>
          <w:color w:val="000000"/>
        </w:rPr>
      </w:pPr>
    </w:p>
    <w:p w14:paraId="399B6FD7" w14:textId="77777777" w:rsidR="00C27A20" w:rsidRPr="00AC13E7" w:rsidRDefault="00C27A20" w:rsidP="002E3119">
      <w:pPr>
        <w:jc w:val="both"/>
        <w:rPr>
          <w:rFonts w:asciiTheme="majorBidi" w:eastAsia="Times New Roman" w:hAnsiTheme="majorBidi" w:cstheme="majorBidi"/>
          <w:color w:val="000000"/>
        </w:rPr>
      </w:pPr>
      <w:r w:rsidRPr="00AC13E7">
        <w:rPr>
          <w:rFonts w:asciiTheme="majorBidi" w:eastAsia="Times New Roman" w:hAnsiTheme="majorBidi" w:cstheme="majorBidi"/>
          <w:color w:val="000000"/>
        </w:rPr>
        <w:t>Consensus correction for the "winner's curse"-like effect was produced by integrating the values reported by the two methods above. Consensus CCF shift correction was obtained as the mean between the reported values, while for the corrected number of mutations in the subclone a geometric average was used. In a small set of samples a most conservative solution was used when available.</w:t>
      </w:r>
    </w:p>
    <w:p w14:paraId="1B1E5044" w14:textId="77777777" w:rsidR="00C27A20" w:rsidRPr="00AC13E7" w:rsidRDefault="00C27A20" w:rsidP="00C27A20">
      <w:pPr>
        <w:rPr>
          <w:rFonts w:ascii="Helvetica" w:eastAsia="Times New Roman" w:hAnsi="Helvetica"/>
          <w:color w:val="000000"/>
          <w:sz w:val="18"/>
          <w:szCs w:val="18"/>
        </w:rPr>
      </w:pPr>
    </w:p>
    <w:p w14:paraId="74FA0D47" w14:textId="77777777" w:rsidR="00C27A20" w:rsidRPr="00AC13E7" w:rsidRDefault="00C27A20" w:rsidP="00C27A20">
      <w:pPr>
        <w:rPr>
          <w:rFonts w:eastAsia="Times New Roman"/>
        </w:rPr>
      </w:pPr>
    </w:p>
    <w:p w14:paraId="0329B5CA" w14:textId="37DC4F0F" w:rsidR="008A1704" w:rsidRPr="00AC13E7" w:rsidRDefault="00C27A20" w:rsidP="00C27A20">
      <w:pPr>
        <w:rPr>
          <w:rFonts w:eastAsia="Times"/>
          <w:b/>
          <w:color w:val="000000"/>
          <w:sz w:val="36"/>
          <w:szCs w:val="36"/>
        </w:rPr>
      </w:pPr>
      <w:r w:rsidRPr="00AC13E7">
        <w:t xml:space="preserve"> </w:t>
      </w:r>
      <w:r w:rsidR="008A1704" w:rsidRPr="00AC13E7">
        <w:br w:type="page"/>
      </w:r>
    </w:p>
    <w:p w14:paraId="1952E7D5" w14:textId="3C1ED454" w:rsidR="00741462" w:rsidRPr="00AC13E7" w:rsidRDefault="00FE3B88" w:rsidP="00741462">
      <w:pPr>
        <w:pStyle w:val="Heading2"/>
        <w:spacing w:before="320" w:after="80"/>
        <w:rPr>
          <w:rFonts w:ascii="Times New Roman" w:hAnsi="Times New Roman" w:cs="Times New Roman"/>
          <w:lang w:val="en-GB"/>
        </w:rPr>
      </w:pPr>
      <w:bookmarkStart w:id="201" w:name="_Toc499569287"/>
      <w:bookmarkStart w:id="202" w:name="_Toc499571755"/>
      <w:bookmarkStart w:id="203" w:name="_Toc499641870"/>
      <w:bookmarkStart w:id="204" w:name="_Toc391905035"/>
      <w:r w:rsidRPr="00AC13E7">
        <w:rPr>
          <w:rFonts w:ascii="Times New Roman" w:hAnsi="Times New Roman" w:cs="Times New Roman"/>
          <w:lang w:val="en-GB"/>
        </w:rPr>
        <w:lastRenderedPageBreak/>
        <w:t>2.</w:t>
      </w:r>
      <w:r w:rsidR="002C09C8" w:rsidRPr="00AC13E7">
        <w:rPr>
          <w:rFonts w:ascii="Times New Roman" w:hAnsi="Times New Roman" w:cs="Times New Roman"/>
          <w:lang w:val="en-GB"/>
        </w:rPr>
        <w:t>4</w:t>
      </w:r>
      <w:r w:rsidRPr="00AC13E7">
        <w:rPr>
          <w:rFonts w:ascii="Times New Roman" w:hAnsi="Times New Roman" w:cs="Times New Roman"/>
          <w:lang w:val="en-GB"/>
        </w:rPr>
        <w:t xml:space="preserve"> Validation</w:t>
      </w:r>
      <w:bookmarkStart w:id="205" w:name="_Toc499571756"/>
      <w:bookmarkEnd w:id="201"/>
      <w:bookmarkEnd w:id="202"/>
      <w:bookmarkEnd w:id="203"/>
      <w:bookmarkEnd w:id="204"/>
    </w:p>
    <w:p w14:paraId="5B9F822F" w14:textId="224E2783" w:rsidR="00741462" w:rsidRPr="00AC13E7" w:rsidRDefault="00AB5009" w:rsidP="00AC36B1">
      <w:pPr>
        <w:pStyle w:val="Heading3"/>
        <w:rPr>
          <w:rFonts w:ascii="Times New Roman" w:hAnsi="Times New Roman" w:cs="Times New Roman"/>
          <w:b w:val="0"/>
          <w:bCs/>
          <w:sz w:val="32"/>
          <w:szCs w:val="32"/>
          <w:lang w:val="en-GB"/>
        </w:rPr>
      </w:pPr>
      <w:bookmarkStart w:id="206" w:name="_Ref380141808"/>
      <w:bookmarkStart w:id="207" w:name="_Toc391905036"/>
      <w:r w:rsidRPr="00AC13E7">
        <w:rPr>
          <w:rFonts w:ascii="Times New Roman" w:hAnsi="Times New Roman" w:cs="Times New Roman"/>
          <w:b w:val="0"/>
          <w:bCs/>
          <w:sz w:val="32"/>
          <w:szCs w:val="32"/>
          <w:lang w:val="en-GB"/>
        </w:rPr>
        <w:t>2.</w:t>
      </w:r>
      <w:r w:rsidR="000B5D3E" w:rsidRPr="00AC13E7">
        <w:rPr>
          <w:rFonts w:ascii="Times New Roman" w:hAnsi="Times New Roman" w:cs="Times New Roman"/>
          <w:b w:val="0"/>
          <w:bCs/>
          <w:sz w:val="32"/>
          <w:szCs w:val="32"/>
          <w:lang w:val="en-GB"/>
        </w:rPr>
        <w:t>4</w:t>
      </w:r>
      <w:r w:rsidRPr="00AC13E7">
        <w:rPr>
          <w:rFonts w:ascii="Times New Roman" w:hAnsi="Times New Roman" w:cs="Times New Roman"/>
          <w:b w:val="0"/>
          <w:bCs/>
          <w:sz w:val="32"/>
          <w:szCs w:val="32"/>
          <w:lang w:val="en-GB"/>
        </w:rPr>
        <w:t>.</w:t>
      </w:r>
      <w:r w:rsidR="000B5D3E" w:rsidRPr="00AC13E7">
        <w:rPr>
          <w:rFonts w:ascii="Times New Roman" w:hAnsi="Times New Roman" w:cs="Times New Roman"/>
          <w:b w:val="0"/>
          <w:bCs/>
          <w:sz w:val="32"/>
          <w:szCs w:val="32"/>
          <w:lang w:val="en-GB"/>
        </w:rPr>
        <w:t>1</w:t>
      </w:r>
      <w:r w:rsidRPr="00AC13E7">
        <w:rPr>
          <w:rFonts w:ascii="Times New Roman" w:hAnsi="Times New Roman" w:cs="Times New Roman"/>
          <w:b w:val="0"/>
          <w:bCs/>
          <w:sz w:val="32"/>
          <w:szCs w:val="32"/>
          <w:lang w:val="en-GB"/>
        </w:rPr>
        <w:t xml:space="preserve"> Simulation of sub</w:t>
      </w:r>
      <w:r w:rsidR="007778A9" w:rsidRPr="00AC13E7">
        <w:rPr>
          <w:rFonts w:ascii="Times New Roman" w:hAnsi="Times New Roman" w:cs="Times New Roman"/>
          <w:b w:val="0"/>
          <w:bCs/>
          <w:sz w:val="32"/>
          <w:szCs w:val="32"/>
          <w:lang w:val="en-GB"/>
        </w:rPr>
        <w:t>c</w:t>
      </w:r>
      <w:r w:rsidR="00C6344E" w:rsidRPr="00AC13E7">
        <w:rPr>
          <w:rFonts w:ascii="Times New Roman" w:hAnsi="Times New Roman" w:cs="Times New Roman"/>
          <w:b w:val="0"/>
          <w:bCs/>
          <w:sz w:val="32"/>
          <w:szCs w:val="32"/>
          <w:lang w:val="en-GB"/>
        </w:rPr>
        <w:t xml:space="preserve">lonally heterogeneous samples – </w:t>
      </w:r>
      <w:r w:rsidRPr="00AC13E7">
        <w:rPr>
          <w:rFonts w:ascii="Times New Roman" w:hAnsi="Times New Roman" w:cs="Times New Roman"/>
          <w:b w:val="0"/>
          <w:bCs/>
          <w:sz w:val="32"/>
          <w:szCs w:val="32"/>
          <w:lang w:val="en-GB"/>
        </w:rPr>
        <w:t>PhylogicSim</w:t>
      </w:r>
      <w:bookmarkEnd w:id="205"/>
      <w:r w:rsidR="00C6344E" w:rsidRPr="00AC13E7">
        <w:rPr>
          <w:rFonts w:ascii="Times New Roman" w:hAnsi="Times New Roman" w:cs="Times New Roman"/>
          <w:b w:val="0"/>
          <w:bCs/>
          <w:sz w:val="32"/>
          <w:szCs w:val="32"/>
          <w:lang w:val="en-GB"/>
        </w:rPr>
        <w:t>500</w:t>
      </w:r>
      <w:bookmarkEnd w:id="206"/>
      <w:bookmarkEnd w:id="207"/>
    </w:p>
    <w:p w14:paraId="533B2C91" w14:textId="30F0CDDC" w:rsidR="003537F8" w:rsidRPr="00AC13E7" w:rsidRDefault="00A3443B" w:rsidP="00AB5009">
      <w:pPr>
        <w:rPr>
          <w:lang w:eastAsia="en-US"/>
        </w:rPr>
      </w:pPr>
      <w:r w:rsidRPr="00AC13E7">
        <w:rPr>
          <w:lang w:eastAsia="en-US"/>
        </w:rPr>
        <w:t xml:space="preserve">Ignaty Leshchiner, </w:t>
      </w:r>
      <w:r w:rsidR="00F02D29" w:rsidRPr="00AC13E7">
        <w:rPr>
          <w:lang w:eastAsia="en-US"/>
        </w:rPr>
        <w:t xml:space="preserve">Daniel Rosebrock, </w:t>
      </w:r>
      <w:r w:rsidRPr="00AC13E7">
        <w:rPr>
          <w:lang w:eastAsia="en-US"/>
        </w:rPr>
        <w:t>Dimitri Livitz, Gad Getz</w:t>
      </w:r>
    </w:p>
    <w:p w14:paraId="2377406F" w14:textId="77777777" w:rsidR="00A3443B" w:rsidRPr="00AC13E7" w:rsidRDefault="00A3443B" w:rsidP="00AB5009">
      <w:pPr>
        <w:rPr>
          <w:bCs/>
          <w:sz w:val="32"/>
          <w:szCs w:val="32"/>
        </w:rPr>
      </w:pPr>
    </w:p>
    <w:p w14:paraId="5AC826F3" w14:textId="61731FC1" w:rsidR="004D5899" w:rsidRPr="00AC13E7" w:rsidRDefault="004D5899" w:rsidP="00750E89">
      <w:pPr>
        <w:jc w:val="both"/>
        <w:rPr>
          <w:lang w:eastAsia="en-US"/>
        </w:rPr>
      </w:pPr>
      <w:r w:rsidRPr="00AC13E7">
        <w:rPr>
          <w:lang w:eastAsia="en-US"/>
        </w:rPr>
        <w:t xml:space="preserve">To generate simulated data, we followed specific guidelines to ensure biologically realistic and heterogeneous data.  The software simulator, PhylogicSim, </w:t>
      </w:r>
      <w:r w:rsidR="00750E89" w:rsidRPr="00AC13E7">
        <w:rPr>
          <w:lang w:eastAsia="en-US"/>
        </w:rPr>
        <w:t xml:space="preserve">(another </w:t>
      </w:r>
      <w:r w:rsidRPr="00AC13E7">
        <w:rPr>
          <w:lang w:eastAsia="en-US"/>
        </w:rPr>
        <w:t>component of</w:t>
      </w:r>
      <w:r w:rsidR="00CD3129" w:rsidRPr="00AC13E7">
        <w:rPr>
          <w:lang w:eastAsia="en-US"/>
        </w:rPr>
        <w:t xml:space="preserve"> the</w:t>
      </w:r>
      <w:r w:rsidRPr="00AC13E7">
        <w:rPr>
          <w:lang w:eastAsia="en-US"/>
        </w:rPr>
        <w:t xml:space="preserve"> Phylogic</w:t>
      </w:r>
      <w:r w:rsidR="005845D1" w:rsidRPr="00AC13E7">
        <w:rPr>
          <w:lang w:eastAsia="en-US"/>
        </w:rPr>
        <w:t>NDT</w:t>
      </w:r>
      <w:r w:rsidRPr="00AC13E7">
        <w:rPr>
          <w:lang w:eastAsia="en-US"/>
        </w:rPr>
        <w:t xml:space="preserve"> package</w:t>
      </w:r>
      <w:r w:rsidR="00FC5135" w:rsidRPr="00AC13E7">
        <w:rPr>
          <w:lang w:eastAsia="en-US"/>
        </w:rPr>
        <w:t>)</w:t>
      </w:r>
      <w:r w:rsidRPr="00AC13E7">
        <w:rPr>
          <w:lang w:eastAsia="en-US"/>
        </w:rPr>
        <w:t xml:space="preserve"> was used to generate 500 samples with diverse heterogeneity profiles. First, we randomly generated cluster CCFs, as well as the number of mutations in each cluster.  A clonal cluster was inc</w:t>
      </w:r>
      <w:r w:rsidR="008A1704" w:rsidRPr="00AC13E7">
        <w:rPr>
          <w:lang w:eastAsia="en-US"/>
        </w:rPr>
        <w:t>luded in each simulated sample.</w:t>
      </w:r>
      <w:r w:rsidRPr="00AC13E7">
        <w:rPr>
          <w:lang w:eastAsia="en-US"/>
        </w:rPr>
        <w:t> The number of subclones</w:t>
      </w:r>
      <w:r w:rsidR="000C3888" w:rsidRPr="00AC13E7">
        <w:rPr>
          <w:lang w:eastAsia="en-US"/>
        </w:rPr>
        <w:t xml:space="preserve"> (N)</w:t>
      </w:r>
      <w:r w:rsidRPr="00AC13E7">
        <w:rPr>
          <w:lang w:eastAsia="en-US"/>
        </w:rPr>
        <w:t xml:space="preserve"> in each sample was chosen randomly from the set (0,</w:t>
      </w:r>
      <w:r w:rsidR="008A1704" w:rsidRPr="00AC13E7">
        <w:rPr>
          <w:lang w:eastAsia="en-US"/>
        </w:rPr>
        <w:t xml:space="preserve"> </w:t>
      </w:r>
      <w:r w:rsidRPr="00AC13E7">
        <w:rPr>
          <w:lang w:eastAsia="en-US"/>
        </w:rPr>
        <w:t>1,</w:t>
      </w:r>
      <w:r w:rsidR="008A1704" w:rsidRPr="00AC13E7">
        <w:rPr>
          <w:lang w:eastAsia="en-US"/>
        </w:rPr>
        <w:t xml:space="preserve"> </w:t>
      </w:r>
      <w:r w:rsidRPr="00AC13E7">
        <w:rPr>
          <w:lang w:eastAsia="en-US"/>
        </w:rPr>
        <w:t>2,</w:t>
      </w:r>
      <w:r w:rsidR="008A1704" w:rsidRPr="00AC13E7">
        <w:rPr>
          <w:lang w:eastAsia="en-US"/>
        </w:rPr>
        <w:t xml:space="preserve"> </w:t>
      </w:r>
      <w:r w:rsidRPr="00AC13E7">
        <w:rPr>
          <w:lang w:eastAsia="en-US"/>
        </w:rPr>
        <w:t>3,</w:t>
      </w:r>
      <w:r w:rsidR="008A1704" w:rsidRPr="00AC13E7">
        <w:rPr>
          <w:lang w:eastAsia="en-US"/>
        </w:rPr>
        <w:t xml:space="preserve"> </w:t>
      </w:r>
      <w:r w:rsidRPr="00AC13E7">
        <w:rPr>
          <w:lang w:eastAsia="en-US"/>
        </w:rPr>
        <w:t>4) for samples with linear evolution, and (2,</w:t>
      </w:r>
      <w:r w:rsidR="008A1704" w:rsidRPr="00AC13E7">
        <w:rPr>
          <w:lang w:eastAsia="en-US"/>
        </w:rPr>
        <w:t xml:space="preserve"> </w:t>
      </w:r>
      <w:r w:rsidRPr="00AC13E7">
        <w:rPr>
          <w:lang w:eastAsia="en-US"/>
        </w:rPr>
        <w:t>3,</w:t>
      </w:r>
      <w:r w:rsidR="008A1704" w:rsidRPr="00AC13E7">
        <w:rPr>
          <w:lang w:eastAsia="en-US"/>
        </w:rPr>
        <w:t xml:space="preserve"> </w:t>
      </w:r>
      <w:r w:rsidRPr="00AC13E7">
        <w:rPr>
          <w:lang w:eastAsia="en-US"/>
        </w:rPr>
        <w:t xml:space="preserve">4) for samples with branched evolution, where samples with branched evolution always contained two dominant sibling </w:t>
      </w:r>
      <w:r w:rsidR="008A1704" w:rsidRPr="00AC13E7">
        <w:rPr>
          <w:lang w:eastAsia="en-US"/>
        </w:rPr>
        <w:t xml:space="preserve">clones whose CCFs summed to 1. </w:t>
      </w:r>
      <w:r w:rsidRPr="00AC13E7">
        <w:rPr>
          <w:lang w:eastAsia="en-US"/>
        </w:rPr>
        <w:t>Cluster CCFs were furthermore chosen to have a distance of 0.1 from the nearest cluster CCF, and to</w:t>
      </w:r>
      <w:r w:rsidR="008A1704" w:rsidRPr="00AC13E7">
        <w:rPr>
          <w:lang w:eastAsia="en-US"/>
        </w:rPr>
        <w:t xml:space="preserve"> be at least 0.1 in magnitude. </w:t>
      </w:r>
      <w:r w:rsidRPr="00AC13E7">
        <w:rPr>
          <w:lang w:eastAsia="en-US"/>
        </w:rPr>
        <w:t>The number of mutations in each sample was chosen from a uniform distribution with domain 2,000 - 7,000, U[2000,7000].  The proportion of mutations assigned to each cluster was then estimated by taking N random numbers from U[0,1], dividing by the sum, and assigning each of these proportions randomly to a cluster.</w:t>
      </w:r>
    </w:p>
    <w:p w14:paraId="4B8B30D6" w14:textId="77777777" w:rsidR="004D5899" w:rsidRPr="00AC13E7" w:rsidRDefault="004D5899" w:rsidP="008B6240">
      <w:pPr>
        <w:jc w:val="both"/>
        <w:rPr>
          <w:rFonts w:eastAsia="Times New Roman"/>
          <w:lang w:eastAsia="en-US"/>
        </w:rPr>
      </w:pPr>
    </w:p>
    <w:p w14:paraId="35DD658C" w14:textId="295AECF3" w:rsidR="004D5899" w:rsidRPr="00AC13E7" w:rsidRDefault="003F2275" w:rsidP="008B6240">
      <w:pPr>
        <w:jc w:val="both"/>
        <w:rPr>
          <w:lang w:eastAsia="en-US"/>
        </w:rPr>
      </w:pPr>
      <w:r w:rsidRPr="00AC13E7">
        <w:rPr>
          <w:lang w:eastAsia="en-US"/>
        </w:rPr>
        <w:t>Samples</w:t>
      </w:r>
      <w:r w:rsidR="004D5899" w:rsidRPr="00AC13E7">
        <w:rPr>
          <w:lang w:eastAsia="en-US"/>
        </w:rPr>
        <w:t xml:space="preserve"> were chosen </w:t>
      </w:r>
      <w:r w:rsidR="00BA3904" w:rsidRPr="00AC13E7">
        <w:rPr>
          <w:lang w:eastAsia="en-US"/>
        </w:rPr>
        <w:t xml:space="preserve">by inspecting the </w:t>
      </w:r>
      <w:r w:rsidR="004D5899" w:rsidRPr="00AC13E7">
        <w:rPr>
          <w:lang w:eastAsia="en-US"/>
        </w:rPr>
        <w:t xml:space="preserve">PCAWG </w:t>
      </w:r>
      <w:r w:rsidR="00BA3904" w:rsidRPr="00AC13E7">
        <w:rPr>
          <w:lang w:eastAsia="en-US"/>
        </w:rPr>
        <w:t xml:space="preserve">consensus copy number profiles </w:t>
      </w:r>
      <w:r w:rsidR="004D5899" w:rsidRPr="00AC13E7">
        <w:rPr>
          <w:lang w:eastAsia="en-US"/>
        </w:rPr>
        <w:t>across all cancer types</w:t>
      </w:r>
      <w:r w:rsidR="00BA3904" w:rsidRPr="00AC13E7">
        <w:rPr>
          <w:lang w:eastAsia="en-US"/>
        </w:rPr>
        <w:t>, selecting tumours where</w:t>
      </w:r>
      <w:r w:rsidR="004D5899" w:rsidRPr="00AC13E7">
        <w:rPr>
          <w:lang w:eastAsia="en-US"/>
        </w:rPr>
        <w:t xml:space="preserve"> at least 70% of the genome</w:t>
      </w:r>
      <w:r w:rsidR="00BA3904" w:rsidRPr="00AC13E7">
        <w:rPr>
          <w:lang w:eastAsia="en-US"/>
        </w:rPr>
        <w:t xml:space="preserve"> was</w:t>
      </w:r>
      <w:r w:rsidR="004D5899" w:rsidRPr="00AC13E7">
        <w:rPr>
          <w:lang w:eastAsia="en-US"/>
        </w:rPr>
        <w:t xml:space="preserve"> covered by clonal 3</w:t>
      </w:r>
      <w:r w:rsidR="00E54DDC" w:rsidRPr="00AC13E7">
        <w:rPr>
          <w:lang w:eastAsia="en-US"/>
        </w:rPr>
        <w:t>-star</w:t>
      </w:r>
      <w:r w:rsidR="004D5899" w:rsidRPr="00AC13E7">
        <w:rPr>
          <w:lang w:eastAsia="en-US"/>
        </w:rPr>
        <w:t xml:space="preserve"> segments (N=853 samples). </w:t>
      </w:r>
      <w:r w:rsidR="00BA3904" w:rsidRPr="00AC13E7">
        <w:rPr>
          <w:lang w:eastAsia="en-US"/>
        </w:rPr>
        <w:t>We then used the ABSOLUTE output as the copy number profile for the simulated tumour.</w:t>
      </w:r>
      <w:r w:rsidR="004D5899" w:rsidRPr="00AC13E7">
        <w:rPr>
          <w:lang w:eastAsia="en-US"/>
        </w:rPr>
        <w:t xml:space="preserve"> Each segment with </w:t>
      </w:r>
      <w:r w:rsidR="00AD4433" w:rsidRPr="00AC13E7">
        <w:rPr>
          <w:lang w:eastAsia="en-US"/>
        </w:rPr>
        <w:t xml:space="preserve">a </w:t>
      </w:r>
      <w:r w:rsidR="004D5899" w:rsidRPr="00AC13E7">
        <w:rPr>
          <w:lang w:eastAsia="en-US"/>
        </w:rPr>
        <w:t>subclonal allelic copy number state was rounded to the nea</w:t>
      </w:r>
      <w:r w:rsidR="008A1704" w:rsidRPr="00AC13E7">
        <w:rPr>
          <w:lang w:eastAsia="en-US"/>
        </w:rPr>
        <w:t xml:space="preserve">rest clonal copy number state. </w:t>
      </w:r>
      <w:r w:rsidR="004D5899" w:rsidRPr="00AC13E7">
        <w:rPr>
          <w:lang w:eastAsia="en-US"/>
        </w:rPr>
        <w:t>Segments were then assigned randomly to subclones in the same CCF space as the mutation c</w:t>
      </w:r>
      <w:r w:rsidR="008A1704" w:rsidRPr="00AC13E7">
        <w:rPr>
          <w:lang w:eastAsia="en-US"/>
        </w:rPr>
        <w:t xml:space="preserve">lusters. </w:t>
      </w:r>
      <w:r w:rsidR="004D5899" w:rsidRPr="00AC13E7">
        <w:rPr>
          <w:lang w:eastAsia="en-US"/>
        </w:rPr>
        <w:t>For each sample, purity was chosen from the distribution of consensus purities across all called PCAWG samples.</w:t>
      </w:r>
    </w:p>
    <w:p w14:paraId="098D839B" w14:textId="77777777" w:rsidR="004D5899" w:rsidRPr="00AC13E7" w:rsidRDefault="004D5899" w:rsidP="008B6240">
      <w:pPr>
        <w:jc w:val="both"/>
        <w:rPr>
          <w:rFonts w:eastAsia="Times New Roman"/>
          <w:lang w:eastAsia="en-US"/>
        </w:rPr>
      </w:pPr>
    </w:p>
    <w:p w14:paraId="14FE7953" w14:textId="0B0B2421" w:rsidR="004D5899" w:rsidRPr="00AC13E7" w:rsidRDefault="004D5899" w:rsidP="008B6240">
      <w:pPr>
        <w:jc w:val="both"/>
        <w:rPr>
          <w:lang w:eastAsia="en-US"/>
        </w:rPr>
      </w:pPr>
      <w:r w:rsidRPr="00AC13E7">
        <w:rPr>
          <w:lang w:eastAsia="en-US"/>
        </w:rPr>
        <w:t>We used a beta binomial model to simulate coverage profiles (number of reads at each locus in the genome) for each simulated sample. To do this, all normal (non-tumo</w:t>
      </w:r>
      <w:r w:rsidR="00E92C68" w:rsidRPr="00AC13E7">
        <w:rPr>
          <w:lang w:eastAsia="en-US"/>
        </w:rPr>
        <w:t>u</w:t>
      </w:r>
      <w:r w:rsidRPr="00AC13E7">
        <w:rPr>
          <w:lang w:eastAsia="en-US"/>
        </w:rPr>
        <w:t>r) coverage profiles from all PCAWG samples were fit to a beta-binomial distribution, optimizing parameters alpha and beta in the beta-binomial pdf, leaving n=500 fixed.  For each simulated sample, we chose a mean coverage by sampling from the distribution of mean coverages of all tumo</w:t>
      </w:r>
      <w:r w:rsidR="00E92C68" w:rsidRPr="00AC13E7">
        <w:rPr>
          <w:lang w:eastAsia="en-US"/>
        </w:rPr>
        <w:t>u</w:t>
      </w:r>
      <w:r w:rsidRPr="00AC13E7">
        <w:rPr>
          <w:lang w:eastAsia="en-US"/>
        </w:rPr>
        <w:t xml:space="preserve">r samples in PCAWG </w:t>
      </w:r>
      <w:r w:rsidR="008A1704" w:rsidRPr="00AC13E7">
        <w:rPr>
          <w:lang w:eastAsia="en-US"/>
        </w:rPr>
        <w:t xml:space="preserve">(total mean coverage = 53.6x). </w:t>
      </w:r>
      <w:r w:rsidRPr="00AC13E7">
        <w:rPr>
          <w:lang w:eastAsia="en-US"/>
        </w:rPr>
        <w:t xml:space="preserve">We then chose alpha, beta, and n from the beta-binomial fits of all normal coverage profiles </w:t>
      </w:r>
      <w:r w:rsidR="008A1704" w:rsidRPr="00AC13E7">
        <w:rPr>
          <w:lang w:eastAsia="en-US"/>
        </w:rPr>
        <w:t>that</w:t>
      </w:r>
      <w:r w:rsidRPr="00AC13E7">
        <w:rPr>
          <w:lang w:eastAsia="en-US"/>
        </w:rPr>
        <w:t xml:space="preserve"> had the closest mean to the sampled tumo</w:t>
      </w:r>
      <w:r w:rsidR="00E92C68" w:rsidRPr="00AC13E7">
        <w:rPr>
          <w:lang w:eastAsia="en-US"/>
        </w:rPr>
        <w:t>u</w:t>
      </w:r>
      <w:r w:rsidR="008A1704" w:rsidRPr="00AC13E7">
        <w:rPr>
          <w:lang w:eastAsia="en-US"/>
        </w:rPr>
        <w:t xml:space="preserve">r coverage. </w:t>
      </w:r>
      <w:r w:rsidRPr="00AC13E7">
        <w:rPr>
          <w:lang w:eastAsia="en-US"/>
        </w:rPr>
        <w:t xml:space="preserve">Coverage at each site in the simulation was then chosen at random from a beta-binomial distribution using these alpha, beta, and </w:t>
      </w:r>
      <w:r w:rsidRPr="00AC13E7">
        <w:rPr>
          <w:i/>
          <w:lang w:eastAsia="en-US"/>
        </w:rPr>
        <w:t>n</w:t>
      </w:r>
      <w:r w:rsidRPr="00AC13E7">
        <w:rPr>
          <w:lang w:eastAsia="en-US"/>
        </w:rPr>
        <w:t xml:space="preserve"> parameters, scaling accordingly to account for local copy number changes.</w:t>
      </w:r>
    </w:p>
    <w:p w14:paraId="0181187B" w14:textId="77777777" w:rsidR="004D5899" w:rsidRPr="00AC13E7" w:rsidRDefault="004D5899" w:rsidP="008B6240">
      <w:pPr>
        <w:jc w:val="both"/>
        <w:rPr>
          <w:rFonts w:eastAsia="Times New Roman"/>
          <w:lang w:eastAsia="en-US"/>
        </w:rPr>
      </w:pPr>
    </w:p>
    <w:p w14:paraId="5094EA6B" w14:textId="5B6D8F1D" w:rsidR="004D5899" w:rsidRPr="00AC13E7" w:rsidRDefault="004D5899" w:rsidP="002D5801">
      <w:pPr>
        <w:jc w:val="both"/>
        <w:rPr>
          <w:lang w:eastAsia="en-US"/>
        </w:rPr>
      </w:pPr>
      <w:r w:rsidRPr="00AC13E7">
        <w:rPr>
          <w:lang w:eastAsia="en-US"/>
        </w:rPr>
        <w:t>Using the actual (true) CCF of the mutation, multiplicity, and allelic copy number information at the site of the mutation, we calculate expected allelic fraction for each SNV site. Finally, the measured</w:t>
      </w:r>
      <w:r w:rsidR="002D5801" w:rsidRPr="00AC13E7">
        <w:rPr>
          <w:lang w:eastAsia="en-US"/>
        </w:rPr>
        <w:t xml:space="preserve"> variant allele</w:t>
      </w:r>
      <w:r w:rsidRPr="00AC13E7">
        <w:rPr>
          <w:lang w:eastAsia="en-US"/>
        </w:rPr>
        <w:t xml:space="preserve"> count for each SNV site is chosen from a binomial distribution ~ B(n,p), where n is the coverage at the site, and p is the expected allelic fraction of the mutation.</w:t>
      </w:r>
    </w:p>
    <w:p w14:paraId="7BF1EC80" w14:textId="77777777" w:rsidR="004D5899" w:rsidRPr="00AC13E7" w:rsidRDefault="004D5899" w:rsidP="008B6240">
      <w:pPr>
        <w:jc w:val="both"/>
        <w:rPr>
          <w:rFonts w:eastAsia="Times New Roman"/>
          <w:lang w:eastAsia="en-US"/>
        </w:rPr>
      </w:pPr>
    </w:p>
    <w:p w14:paraId="698027BA" w14:textId="1CB442BE" w:rsidR="004D5899" w:rsidRPr="00AC13E7" w:rsidRDefault="004D5899" w:rsidP="008A1704">
      <w:pPr>
        <w:jc w:val="both"/>
        <w:rPr>
          <w:rFonts w:ascii="Times" w:hAnsi="Times"/>
        </w:rPr>
      </w:pPr>
      <w:r w:rsidRPr="00AC13E7">
        <w:rPr>
          <w:rFonts w:ascii="Times" w:hAnsi="Times"/>
        </w:rPr>
        <w:lastRenderedPageBreak/>
        <w:t>For each simulated SNV the following information is</w:t>
      </w:r>
      <w:r w:rsidR="008A1704" w:rsidRPr="00AC13E7">
        <w:rPr>
          <w:rFonts w:ascii="Times" w:hAnsi="Times"/>
        </w:rPr>
        <w:t xml:space="preserve"> used to calculate the expected </w:t>
      </w:r>
      <w:r w:rsidRPr="00AC13E7">
        <w:rPr>
          <w:rFonts w:ascii="Times" w:hAnsi="Times"/>
        </w:rPr>
        <w:t>(true) allelic fraction:</w:t>
      </w:r>
    </w:p>
    <w:p w14:paraId="7480EF32" w14:textId="77777777" w:rsidR="004D5899" w:rsidRPr="00AC13E7" w:rsidRDefault="004D5899" w:rsidP="008A1704">
      <w:pPr>
        <w:jc w:val="both"/>
        <w:rPr>
          <w:rFonts w:ascii="Times" w:hAnsi="Times"/>
        </w:rPr>
      </w:pPr>
    </w:p>
    <w:p w14:paraId="11654F32" w14:textId="62404487" w:rsidR="004D5899" w:rsidRPr="00AC13E7" w:rsidRDefault="0032764D" w:rsidP="008A1704">
      <w:pPr>
        <w:pStyle w:val="ListParagraph1"/>
        <w:numPr>
          <w:ilvl w:val="0"/>
          <w:numId w:val="6"/>
        </w:numPr>
        <w:jc w:val="both"/>
        <w:rPr>
          <w:rFonts w:ascii="Times" w:hAnsi="Times"/>
          <w:lang w:val="en-GB"/>
        </w:rPr>
      </w:pPr>
      <m:oMath>
        <m:r>
          <w:rPr>
            <w:rFonts w:ascii="Cambria Math" w:hAnsi="Cambria Math"/>
            <w:lang w:val="en-GB"/>
          </w:rPr>
          <m:t>mult</m:t>
        </m:r>
      </m:oMath>
      <w:r w:rsidR="004D5899" w:rsidRPr="00AC13E7">
        <w:rPr>
          <w:rFonts w:ascii="Times" w:hAnsi="Times"/>
          <w:lang w:val="en-GB"/>
        </w:rPr>
        <w:t xml:space="preserve"> = multiplicity of mutation </w:t>
      </w:r>
    </w:p>
    <w:p w14:paraId="769BF8B8" w14:textId="15B2B8D2" w:rsidR="004D5899" w:rsidRPr="00AC13E7" w:rsidRDefault="0036299C" w:rsidP="008A1704">
      <w:pPr>
        <w:pStyle w:val="ListParagraph1"/>
        <w:numPr>
          <w:ilvl w:val="0"/>
          <w:numId w:val="6"/>
        </w:numPr>
        <w:jc w:val="both"/>
        <w:rPr>
          <w:rFonts w:ascii="Times" w:hAnsi="Times"/>
          <w:lang w:val="en-GB"/>
        </w:rPr>
      </w:pPr>
      <m:oMath>
        <m:sSub>
          <m:sSubPr>
            <m:ctrlPr>
              <w:rPr>
                <w:rFonts w:ascii="Cambria Math" w:hAnsi="Cambria Math"/>
                <w:i/>
                <w:lang w:val="en-GB"/>
              </w:rPr>
            </m:ctrlPr>
          </m:sSubPr>
          <m:e>
            <m:r>
              <w:rPr>
                <w:rFonts w:ascii="Cambria Math" w:hAnsi="Cambria Math"/>
                <w:lang w:val="en-GB"/>
              </w:rPr>
              <m:t>CCF</m:t>
            </m:r>
          </m:e>
          <m:sub>
            <m:r>
              <w:rPr>
                <w:rFonts w:ascii="Cambria Math" w:hAnsi="Cambria Math"/>
                <w:lang w:val="en-GB"/>
              </w:rPr>
              <m:t>mut</m:t>
            </m:r>
          </m:sub>
        </m:sSub>
      </m:oMath>
      <w:r w:rsidR="004D5899" w:rsidRPr="00AC13E7">
        <w:rPr>
          <w:rFonts w:ascii="Times" w:hAnsi="Times"/>
          <w:lang w:val="en-GB"/>
        </w:rPr>
        <w:t xml:space="preserve"> = ccf of mutation</w:t>
      </w:r>
    </w:p>
    <w:p w14:paraId="58A19697" w14:textId="046907AA" w:rsidR="004D5899" w:rsidRPr="00AC13E7" w:rsidRDefault="0032764D" w:rsidP="008A1704">
      <w:pPr>
        <w:pStyle w:val="ListParagraph1"/>
        <w:numPr>
          <w:ilvl w:val="0"/>
          <w:numId w:val="6"/>
        </w:numPr>
        <w:jc w:val="both"/>
        <w:rPr>
          <w:rFonts w:ascii="Times" w:hAnsi="Times"/>
          <w:lang w:val="en-GB"/>
        </w:rPr>
      </w:pPr>
      <m:oMath>
        <m:r>
          <w:rPr>
            <w:rFonts w:ascii="Cambria Math" w:hAnsi="Cambria Math"/>
            <w:color w:val="000000"/>
            <w:lang w:val="en-GB"/>
          </w:rPr>
          <m:t>ρ</m:t>
        </m:r>
      </m:oMath>
      <w:r w:rsidR="004D5899" w:rsidRPr="00AC13E7">
        <w:rPr>
          <w:rFonts w:ascii="Times" w:hAnsi="Times"/>
          <w:lang w:val="en-GB"/>
        </w:rPr>
        <w:t xml:space="preserve"> = sample purity</w:t>
      </w:r>
    </w:p>
    <w:p w14:paraId="4A1B007D" w14:textId="151832CA" w:rsidR="004D5899" w:rsidRPr="00AC13E7" w:rsidRDefault="0036299C" w:rsidP="008A1704">
      <w:pPr>
        <w:pStyle w:val="ListParagraph1"/>
        <w:numPr>
          <w:ilvl w:val="0"/>
          <w:numId w:val="6"/>
        </w:numPr>
        <w:ind w:rightChars="-100" w:right="-240"/>
        <w:jc w:val="both"/>
        <w:rPr>
          <w:rFonts w:ascii="Times" w:hAnsi="Times"/>
          <w:lang w:val="en-GB"/>
        </w:rPr>
      </w:pPr>
      <m:oMath>
        <m:sSub>
          <m:sSubPr>
            <m:ctrlPr>
              <w:rPr>
                <w:rFonts w:ascii="Cambria Math" w:hAnsi="Cambria Math"/>
                <w:i/>
                <w:lang w:val="en-GB"/>
              </w:rPr>
            </m:ctrlPr>
          </m:sSubPr>
          <m:e>
            <m:r>
              <w:rPr>
                <w:rFonts w:ascii="Cambria Math" w:hAnsi="Cambria Math"/>
                <w:lang w:val="en-GB"/>
              </w:rPr>
              <m:t>CN</m:t>
            </m:r>
          </m:e>
          <m:sub>
            <m:r>
              <w:rPr>
                <w:rFonts w:ascii="Cambria Math" w:hAnsi="Cambria Math"/>
                <w:lang w:val="en-GB"/>
              </w:rPr>
              <m:t>cl</m:t>
            </m:r>
          </m:sub>
        </m:sSub>
      </m:oMath>
      <w:r w:rsidR="004D5899" w:rsidRPr="00AC13E7">
        <w:rPr>
          <w:rFonts w:ascii="Times" w:hAnsi="Times"/>
          <w:vertAlign w:val="subscript"/>
          <w:lang w:val="en-GB"/>
        </w:rPr>
        <w:t xml:space="preserve"> </w:t>
      </w:r>
      <w:r w:rsidR="004D5899" w:rsidRPr="00AC13E7">
        <w:rPr>
          <w:rFonts w:ascii="Times" w:hAnsi="Times"/>
          <w:lang w:val="en-GB"/>
        </w:rPr>
        <w:t>= loca</w:t>
      </w:r>
      <w:r w:rsidR="008A1704" w:rsidRPr="00AC13E7">
        <w:rPr>
          <w:rFonts w:ascii="Times" w:hAnsi="Times"/>
          <w:lang w:val="en-GB"/>
        </w:rPr>
        <w:t>l absolute copy number (alleles</w:t>
      </w:r>
      <w:r w:rsidR="004D5899" w:rsidRPr="00AC13E7">
        <w:rPr>
          <w:rFonts w:ascii="Times" w:hAnsi="Times"/>
          <w:lang w:val="en-GB"/>
        </w:rPr>
        <w:t xml:space="preserve"> A+B) in clonal fraction (i.e. </w:t>
      </w:r>
      <m:oMath>
        <m:r>
          <w:rPr>
            <w:rFonts w:ascii="Cambria Math" w:hAnsi="Cambria Math"/>
            <w:lang w:val="en-GB"/>
          </w:rPr>
          <m:t>1-</m:t>
        </m:r>
        <m:sSub>
          <m:sSubPr>
            <m:ctrlPr>
              <w:rPr>
                <w:rFonts w:ascii="Cambria Math" w:hAnsi="Cambria Math"/>
                <w:i/>
                <w:lang w:val="en-GB"/>
              </w:rPr>
            </m:ctrlPr>
          </m:sSubPr>
          <m:e>
            <m:r>
              <w:rPr>
                <w:rFonts w:ascii="Cambria Math" w:hAnsi="Cambria Math"/>
                <w:lang w:val="en-GB"/>
              </w:rPr>
              <m:t>CCF</m:t>
            </m:r>
          </m:e>
          <m:sub>
            <m:r>
              <w:rPr>
                <w:rFonts w:ascii="Cambria Math" w:hAnsi="Cambria Math"/>
                <w:lang w:val="en-GB"/>
              </w:rPr>
              <m:t>scna</m:t>
            </m:r>
          </m:sub>
        </m:sSub>
      </m:oMath>
      <w:r w:rsidR="004D5899" w:rsidRPr="00AC13E7">
        <w:rPr>
          <w:rFonts w:ascii="Times" w:hAnsi="Times"/>
          <w:lang w:val="en-GB"/>
        </w:rPr>
        <w:t>)</w:t>
      </w:r>
    </w:p>
    <w:p w14:paraId="08EE88E4" w14:textId="5C612E65" w:rsidR="004D5899" w:rsidRPr="00AC13E7" w:rsidRDefault="0036299C" w:rsidP="008A1704">
      <w:pPr>
        <w:pStyle w:val="ListParagraph1"/>
        <w:numPr>
          <w:ilvl w:val="0"/>
          <w:numId w:val="6"/>
        </w:numPr>
        <w:ind w:rightChars="-100" w:right="-240"/>
        <w:jc w:val="both"/>
        <w:rPr>
          <w:rFonts w:ascii="Times" w:hAnsi="Times"/>
          <w:lang w:val="en-GB"/>
        </w:rPr>
      </w:pPr>
      <m:oMath>
        <m:sSub>
          <m:sSubPr>
            <m:ctrlPr>
              <w:rPr>
                <w:rFonts w:ascii="Cambria Math" w:hAnsi="Cambria Math"/>
                <w:i/>
                <w:lang w:val="en-GB"/>
              </w:rPr>
            </m:ctrlPr>
          </m:sSubPr>
          <m:e>
            <m:r>
              <w:rPr>
                <w:rFonts w:ascii="Cambria Math" w:hAnsi="Cambria Math"/>
                <w:lang w:val="en-GB"/>
              </w:rPr>
              <m:t>CN</m:t>
            </m:r>
          </m:e>
          <m:sub>
            <m:r>
              <w:rPr>
                <w:rFonts w:ascii="Cambria Math" w:hAnsi="Cambria Math"/>
                <w:lang w:val="en-GB"/>
              </w:rPr>
              <m:t>sub</m:t>
            </m:r>
          </m:sub>
        </m:sSub>
      </m:oMath>
      <w:r w:rsidR="004D5899" w:rsidRPr="00AC13E7">
        <w:rPr>
          <w:rFonts w:ascii="Times" w:hAnsi="Times"/>
          <w:lang w:val="en-GB"/>
        </w:rPr>
        <w:t xml:space="preserve">= local absolute copy number (alleles  A+B) in subclonal fraction </w:t>
      </w:r>
    </w:p>
    <w:p w14:paraId="42063F43" w14:textId="50928061" w:rsidR="004D5899" w:rsidRPr="00AC13E7" w:rsidRDefault="0036299C" w:rsidP="008A1704">
      <w:pPr>
        <w:pStyle w:val="ListParagraph1"/>
        <w:numPr>
          <w:ilvl w:val="0"/>
          <w:numId w:val="6"/>
        </w:numPr>
        <w:jc w:val="both"/>
        <w:rPr>
          <w:rFonts w:ascii="Times" w:hAnsi="Times"/>
          <w:lang w:val="en-GB"/>
        </w:rPr>
      </w:pPr>
      <m:oMath>
        <m:sSub>
          <m:sSubPr>
            <m:ctrlPr>
              <w:rPr>
                <w:rFonts w:ascii="Cambria Math" w:hAnsi="Cambria Math"/>
                <w:i/>
                <w:lang w:val="en-GB"/>
              </w:rPr>
            </m:ctrlPr>
          </m:sSubPr>
          <m:e>
            <m:r>
              <w:rPr>
                <w:rFonts w:ascii="Cambria Math" w:hAnsi="Cambria Math"/>
                <w:lang w:val="en-GB"/>
              </w:rPr>
              <m:t>CCF</m:t>
            </m:r>
          </m:e>
          <m:sub>
            <m:r>
              <w:rPr>
                <w:rFonts w:ascii="Cambria Math" w:hAnsi="Cambria Math"/>
                <w:lang w:val="en-GB"/>
              </w:rPr>
              <m:t>scna</m:t>
            </m:r>
          </m:sub>
        </m:sSub>
      </m:oMath>
      <w:r w:rsidR="004D5899" w:rsidRPr="00AC13E7">
        <w:rPr>
          <w:rFonts w:ascii="Times" w:hAnsi="Times"/>
          <w:lang w:val="en-GB"/>
        </w:rPr>
        <w:t xml:space="preserve"> = ccf for subclonal copy number event </w:t>
      </w:r>
    </w:p>
    <w:p w14:paraId="04B5BC2B" w14:textId="77777777" w:rsidR="004D5899" w:rsidRPr="00AC13E7" w:rsidRDefault="004D5899" w:rsidP="008A1704">
      <w:pPr>
        <w:pStyle w:val="ListParagraph1"/>
        <w:ind w:left="415"/>
        <w:jc w:val="both"/>
        <w:rPr>
          <w:rFonts w:ascii="Times" w:hAnsi="Times"/>
          <w:lang w:val="en-GB"/>
        </w:rPr>
      </w:pPr>
    </w:p>
    <w:p w14:paraId="4B007465" w14:textId="160E8124" w:rsidR="004D5899" w:rsidRPr="00AC13E7" w:rsidRDefault="004D5899" w:rsidP="008A1704">
      <w:pPr>
        <w:jc w:val="both"/>
        <w:rPr>
          <w:rFonts w:ascii="Times" w:hAnsi="Times"/>
        </w:rPr>
      </w:pPr>
      <w:r w:rsidRPr="00AC13E7">
        <w:rPr>
          <w:rFonts w:ascii="Times" w:hAnsi="Times"/>
        </w:rPr>
        <w:t xml:space="preserve">To calculate </w:t>
      </w:r>
      <w:r w:rsidR="00C57A12" w:rsidRPr="00AC13E7">
        <w:rPr>
          <w:rFonts w:ascii="Times" w:hAnsi="Times"/>
        </w:rPr>
        <w:t xml:space="preserve">the </w:t>
      </w:r>
      <w:r w:rsidR="000B5D3E" w:rsidRPr="00AC13E7">
        <w:rPr>
          <w:rFonts w:ascii="Times" w:hAnsi="Times"/>
        </w:rPr>
        <w:t xml:space="preserve">expected (true) </w:t>
      </w:r>
      <w:r w:rsidRPr="00AC13E7">
        <w:rPr>
          <w:rFonts w:ascii="Times" w:hAnsi="Times"/>
        </w:rPr>
        <w:t>allelic fraction</w:t>
      </w:r>
      <w:r w:rsidR="000B5D3E" w:rsidRPr="00AC13E7">
        <w:rPr>
          <w:rFonts w:ascii="Times" w:hAnsi="Times"/>
        </w:rPr>
        <w:t xml:space="preserve"> we</w:t>
      </w:r>
      <w:r w:rsidRPr="00AC13E7">
        <w:rPr>
          <w:rFonts w:ascii="Times" w:hAnsi="Times"/>
        </w:rPr>
        <w:t xml:space="preserve"> use</w:t>
      </w:r>
      <w:r w:rsidR="000B5D3E" w:rsidRPr="00AC13E7">
        <w:rPr>
          <w:rFonts w:ascii="Times" w:hAnsi="Times"/>
        </w:rPr>
        <w:t>d</w:t>
      </w:r>
      <w:r w:rsidRPr="00AC13E7">
        <w:rPr>
          <w:rFonts w:ascii="Times" w:hAnsi="Times"/>
        </w:rPr>
        <w:t xml:space="preserve"> the following measurements. </w:t>
      </w:r>
    </w:p>
    <w:p w14:paraId="6B7E1810" w14:textId="77777777" w:rsidR="004D5899" w:rsidRPr="00AC13E7" w:rsidRDefault="004D5899" w:rsidP="004D5899">
      <w:pPr>
        <w:rPr>
          <w:rFonts w:ascii="Times" w:hAnsi="Times"/>
        </w:rPr>
      </w:pPr>
    </w:p>
    <w:p w14:paraId="5F6E01B1" w14:textId="77777777" w:rsidR="004D5899" w:rsidRPr="00AC13E7" w:rsidRDefault="004D5899" w:rsidP="008B6240">
      <w:pPr>
        <w:numPr>
          <w:ilvl w:val="0"/>
          <w:numId w:val="7"/>
        </w:numPr>
        <w:ind w:left="720"/>
        <w:rPr>
          <w:rFonts w:ascii="Times" w:hAnsi="Times"/>
        </w:rPr>
      </w:pPr>
      <w:r w:rsidRPr="00AC13E7">
        <w:rPr>
          <w:rFonts w:ascii="Times" w:hAnsi="Times"/>
        </w:rPr>
        <w:t>in case of no sub-clonal CN alterations:</w:t>
      </w:r>
    </w:p>
    <w:p w14:paraId="1A43C216" w14:textId="77777777" w:rsidR="004D5899" w:rsidRPr="00AC13E7" w:rsidRDefault="004D5899" w:rsidP="004D5899">
      <w:pPr>
        <w:rPr>
          <w:rFonts w:ascii="Times" w:hAnsi="Times"/>
        </w:rPr>
      </w:pPr>
    </w:p>
    <w:p w14:paraId="34799737" w14:textId="6693523C" w:rsidR="004D5899" w:rsidRPr="00AC13E7" w:rsidRDefault="0032764D" w:rsidP="004D5899">
      <w:pPr>
        <w:rPr>
          <w:rFonts w:ascii="Times" w:hAnsi="Times"/>
        </w:rPr>
      </w:pPr>
      <m:oMathPara>
        <m:oMath>
          <m:r>
            <w:rPr>
              <w:rFonts w:ascii="Cambria Math" w:hAnsi="Cambria Math"/>
            </w:rPr>
            <m:t xml:space="preserve">af= </m:t>
          </m:r>
          <m:sSub>
            <m:sSubPr>
              <m:ctrlPr>
                <w:rPr>
                  <w:rFonts w:ascii="Cambria Math" w:hAnsi="Cambria Math"/>
                  <w:i/>
                </w:rPr>
              </m:ctrlPr>
            </m:sSubPr>
            <m:e>
              <m:r>
                <w:rPr>
                  <w:rFonts w:ascii="Cambria Math" w:hAnsi="Cambria Math"/>
                </w:rPr>
                <m:t>CCF</m:t>
              </m:r>
            </m:e>
            <m:sub>
              <m:r>
                <w:rPr>
                  <w:rFonts w:ascii="Cambria Math" w:hAnsi="Cambria Math"/>
                </w:rPr>
                <m:t>mut</m:t>
              </m:r>
            </m:sub>
          </m:sSub>
          <m:r>
            <w:rPr>
              <w:rFonts w:ascii="Cambria Math" w:hAnsi="Cambria Math"/>
            </w:rPr>
            <m:t xml:space="preserve"> mult </m:t>
          </m:r>
          <m:r>
            <w:rPr>
              <w:rFonts w:ascii="Cambria Math" w:hAnsi="Cambria Math"/>
              <w:color w:val="000000"/>
            </w:rPr>
            <m:t>ρ</m:t>
          </m:r>
          <m:r>
            <w:rPr>
              <w:rFonts w:ascii="Cambria Math" w:hAnsi="Cambria Math"/>
            </w:rPr>
            <m:t xml:space="preserve"> /  2(1.0-ρ) + </m:t>
          </m:r>
          <m:sSub>
            <m:sSubPr>
              <m:ctrlPr>
                <w:rPr>
                  <w:rFonts w:ascii="Cambria Math" w:hAnsi="Cambria Math"/>
                  <w:i/>
                </w:rPr>
              </m:ctrlPr>
            </m:sSubPr>
            <m:e>
              <m:r>
                <w:rPr>
                  <w:rFonts w:ascii="Cambria Math" w:hAnsi="Cambria Math"/>
                </w:rPr>
                <m:t>ρCN</m:t>
              </m:r>
            </m:e>
            <m:sub>
              <m:r>
                <w:rPr>
                  <w:rFonts w:ascii="Cambria Math" w:hAnsi="Cambria Math"/>
                </w:rPr>
                <m:t>cl</m:t>
              </m:r>
            </m:sub>
          </m:sSub>
        </m:oMath>
      </m:oMathPara>
    </w:p>
    <w:p w14:paraId="37AAEEED" w14:textId="77777777" w:rsidR="004D5899" w:rsidRPr="00AC13E7" w:rsidRDefault="004D5899" w:rsidP="004D5899">
      <w:pPr>
        <w:rPr>
          <w:rFonts w:ascii="Times" w:hAnsi="Times"/>
        </w:rPr>
      </w:pPr>
    </w:p>
    <w:p w14:paraId="23EE73B3" w14:textId="77777777" w:rsidR="00C57A12" w:rsidRPr="00AC13E7" w:rsidRDefault="004D5899" w:rsidP="008B6240">
      <w:pPr>
        <w:numPr>
          <w:ilvl w:val="0"/>
          <w:numId w:val="7"/>
        </w:numPr>
        <w:ind w:left="720"/>
        <w:rPr>
          <w:rFonts w:ascii="Times" w:hAnsi="Times"/>
        </w:rPr>
      </w:pPr>
      <w:r w:rsidRPr="00AC13E7">
        <w:rPr>
          <w:rFonts w:ascii="Times" w:hAnsi="Times"/>
        </w:rPr>
        <w:t xml:space="preserve">in case of sub-clonal CN alterations:  </w:t>
      </w:r>
    </w:p>
    <w:p w14:paraId="4A7138A2" w14:textId="77777777" w:rsidR="008A1704" w:rsidRPr="00AC13E7" w:rsidRDefault="008A1704" w:rsidP="008A1704">
      <w:pPr>
        <w:ind w:left="720"/>
        <w:rPr>
          <w:rFonts w:ascii="Times" w:hAnsi="Times"/>
        </w:rPr>
      </w:pPr>
    </w:p>
    <w:p w14:paraId="339CBAB0" w14:textId="39550AC5" w:rsidR="004D5899" w:rsidRPr="00AC13E7" w:rsidRDefault="004D5899" w:rsidP="008B6240">
      <w:pPr>
        <w:ind w:left="720"/>
        <w:jc w:val="center"/>
        <w:rPr>
          <w:rFonts w:ascii="Times" w:hAnsi="Times"/>
        </w:rPr>
      </w:pPr>
      <m:oMathPara>
        <m:oMath>
          <m:r>
            <w:rPr>
              <w:rFonts w:ascii="Cambria Math" w:hAnsi="Cambria Math"/>
            </w:rPr>
            <m:t>mult=</m:t>
          </m:r>
          <m:sSub>
            <m:sSubPr>
              <m:ctrlPr>
                <w:rPr>
                  <w:rFonts w:ascii="Cambria Math" w:hAnsi="Cambria Math"/>
                  <w:i/>
                </w:rPr>
              </m:ctrlPr>
            </m:sSubPr>
            <m:e>
              <m:r>
                <w:rPr>
                  <w:rFonts w:ascii="Cambria Math" w:hAnsi="Cambria Math"/>
                </w:rPr>
                <m:t>mult</m:t>
              </m:r>
            </m:e>
            <m:sub>
              <m:r>
                <w:rPr>
                  <w:rFonts w:ascii="Cambria Math" w:hAnsi="Cambria Math"/>
                </w:rPr>
                <m:t>sub</m:t>
              </m:r>
            </m:sub>
          </m:sSub>
          <m:r>
            <w:rPr>
              <w:rFonts w:ascii="Cambria Math" w:hAnsi="Cambria Math"/>
            </w:rPr>
            <m:t xml:space="preserve"> </m:t>
          </m:r>
          <m:sSub>
            <m:sSubPr>
              <m:ctrlPr>
                <w:rPr>
                  <w:rFonts w:ascii="Cambria Math" w:hAnsi="Cambria Math"/>
                  <w:i/>
                </w:rPr>
              </m:ctrlPr>
            </m:sSubPr>
            <m:e>
              <m:r>
                <w:rPr>
                  <w:rFonts w:ascii="Cambria Math" w:hAnsi="Cambria Math"/>
                </w:rPr>
                <m:t>CCF</m:t>
              </m:r>
            </m:e>
            <m:sub>
              <m:r>
                <w:rPr>
                  <w:rFonts w:ascii="Cambria Math" w:hAnsi="Cambria Math"/>
                </w:rPr>
                <m:t>scna</m:t>
              </m:r>
            </m:sub>
          </m:sSub>
          <m:r>
            <w:rPr>
              <w:rFonts w:ascii="Cambria Math" w:hAnsi="Cambria Math"/>
            </w:rPr>
            <m:t xml:space="preserve"> +</m:t>
          </m:r>
          <m:sSub>
            <m:sSubPr>
              <m:ctrlPr>
                <w:rPr>
                  <w:rFonts w:ascii="Cambria Math" w:hAnsi="Cambria Math"/>
                  <w:i/>
                </w:rPr>
              </m:ctrlPr>
            </m:sSubPr>
            <m:e>
              <m:r>
                <w:rPr>
                  <w:rFonts w:ascii="Cambria Math" w:hAnsi="Cambria Math"/>
                </w:rPr>
                <m:t>mult</m:t>
              </m:r>
            </m:e>
            <m:sub>
              <m:r>
                <w:rPr>
                  <w:rFonts w:ascii="Cambria Math" w:hAnsi="Cambria Math"/>
                </w:rPr>
                <m:t>cl</m:t>
              </m:r>
            </m:sub>
          </m:sSub>
          <m:r>
            <w:rPr>
              <w:rFonts w:ascii="Cambria Math" w:hAnsi="Cambria Math"/>
            </w:rPr>
            <m:t>(1-</m:t>
          </m:r>
          <m:sSub>
            <m:sSubPr>
              <m:ctrlPr>
                <w:rPr>
                  <w:rFonts w:ascii="Cambria Math" w:hAnsi="Cambria Math"/>
                  <w:i/>
                </w:rPr>
              </m:ctrlPr>
            </m:sSubPr>
            <m:e>
              <m:r>
                <w:rPr>
                  <w:rFonts w:ascii="Cambria Math" w:hAnsi="Cambria Math"/>
                </w:rPr>
                <m:t>CCF</m:t>
              </m:r>
            </m:e>
            <m:sub>
              <m:r>
                <w:rPr>
                  <w:rFonts w:ascii="Cambria Math" w:hAnsi="Cambria Math"/>
                </w:rPr>
                <m:t>scna</m:t>
              </m:r>
            </m:sub>
          </m:sSub>
          <m:r>
            <w:rPr>
              <w:rFonts w:ascii="Cambria Math" w:hAnsi="Cambria Math"/>
            </w:rPr>
            <m:t>)</m:t>
          </m:r>
        </m:oMath>
      </m:oMathPara>
    </w:p>
    <w:p w14:paraId="1EB2BB72" w14:textId="77777777" w:rsidR="004D5899" w:rsidRPr="00AC13E7" w:rsidRDefault="004D5899" w:rsidP="004D5899">
      <w:pPr>
        <w:rPr>
          <w:rFonts w:ascii="Times" w:hAnsi="Times"/>
        </w:rPr>
      </w:pPr>
    </w:p>
    <w:p w14:paraId="49CDBF28" w14:textId="52F1EE55" w:rsidR="004D5899" w:rsidRPr="00AC13E7" w:rsidRDefault="0032764D" w:rsidP="008B6240">
      <w:pPr>
        <w:jc w:val="center"/>
        <w:rPr>
          <w:rFonts w:ascii="Times" w:hAnsi="Times"/>
        </w:rPr>
      </w:pPr>
      <m:oMathPara>
        <m:oMath>
          <m:r>
            <w:rPr>
              <w:rFonts w:ascii="Cambria Math" w:hAnsi="Cambria Math"/>
            </w:rPr>
            <m:t xml:space="preserve">af= </m:t>
          </m:r>
          <m:f>
            <m:fPr>
              <m:ctrlPr>
                <w:rPr>
                  <w:rFonts w:ascii="Cambria Math" w:hAnsi="Cambria Math"/>
                  <w:i/>
                </w:rPr>
              </m:ctrlPr>
            </m:fPr>
            <m:num>
              <m:sSub>
                <m:sSubPr>
                  <m:ctrlPr>
                    <w:rPr>
                      <w:rFonts w:ascii="Cambria Math" w:hAnsi="Cambria Math"/>
                      <w:i/>
                    </w:rPr>
                  </m:ctrlPr>
                </m:sSubPr>
                <m:e>
                  <m:r>
                    <w:rPr>
                      <w:rFonts w:ascii="Cambria Math" w:hAnsi="Cambria Math"/>
                    </w:rPr>
                    <m:t>CCF</m:t>
                  </m:r>
                </m:e>
                <m:sub>
                  <m:r>
                    <w:rPr>
                      <w:rFonts w:ascii="Cambria Math" w:hAnsi="Cambria Math"/>
                    </w:rPr>
                    <m:t>mult</m:t>
                  </m:r>
                </m:sub>
              </m:sSub>
              <m:r>
                <w:rPr>
                  <w:rFonts w:ascii="Cambria Math" w:hAnsi="Cambria Math"/>
                </w:rPr>
                <m:t xml:space="preserve">  mult  </m:t>
              </m:r>
              <m:r>
                <w:rPr>
                  <w:rFonts w:ascii="Cambria Math" w:hAnsi="Cambria Math"/>
                  <w:color w:val="000000"/>
                </w:rPr>
                <m:t>ρ</m:t>
              </m:r>
            </m:num>
            <m:den>
              <m:r>
                <w:rPr>
                  <w:rFonts w:ascii="Cambria Math" w:hAnsi="Cambria Math"/>
                </w:rPr>
                <m:t>2(1.0-ρ)</m:t>
              </m:r>
            </m:den>
          </m:f>
          <m:r>
            <w:rPr>
              <w:rFonts w:ascii="Cambria Math" w:hAnsi="Cambria Math"/>
            </w:rPr>
            <m:t xml:space="preserve">    + </m:t>
          </m:r>
          <m:sSub>
            <m:sSubPr>
              <m:ctrlPr>
                <w:rPr>
                  <w:rFonts w:ascii="Cambria Math" w:hAnsi="Cambria Math"/>
                  <w:i/>
                </w:rPr>
              </m:ctrlPr>
            </m:sSubPr>
            <m:e>
              <m:r>
                <w:rPr>
                  <w:rFonts w:ascii="Cambria Math" w:hAnsi="Cambria Math"/>
                </w:rPr>
                <m:t>CN</m:t>
              </m:r>
            </m:e>
            <m:sub>
              <m:r>
                <w:rPr>
                  <w:rFonts w:ascii="Cambria Math" w:hAnsi="Cambria Math"/>
                </w:rPr>
                <m:t>sub</m:t>
              </m:r>
            </m:sub>
          </m:sSub>
          <m:r>
            <w:rPr>
              <w:rFonts w:ascii="Cambria Math" w:hAnsi="Cambria Math"/>
              <w:vertAlign w:val="subscript"/>
            </w:rPr>
            <m:t xml:space="preserve"> </m:t>
          </m:r>
          <m:sSub>
            <m:sSubPr>
              <m:ctrlPr>
                <w:rPr>
                  <w:rFonts w:ascii="Cambria Math" w:hAnsi="Cambria Math"/>
                  <w:i/>
                </w:rPr>
              </m:ctrlPr>
            </m:sSubPr>
            <m:e>
              <m:r>
                <w:rPr>
                  <w:rFonts w:ascii="Cambria Math" w:hAnsi="Cambria Math"/>
                </w:rPr>
                <m:t>CCF</m:t>
              </m:r>
            </m:e>
            <m:sub>
              <m:r>
                <w:rPr>
                  <w:rFonts w:ascii="Cambria Math" w:hAnsi="Cambria Math"/>
                </w:rPr>
                <m:t>scna</m:t>
              </m:r>
            </m:sub>
          </m:sSub>
          <m:r>
            <w:rPr>
              <w:rFonts w:ascii="Cambria Math" w:hAnsi="Cambria Math"/>
              <w:color w:val="000000"/>
            </w:rPr>
            <m:t>ρ</m:t>
          </m:r>
          <m:r>
            <w:rPr>
              <w:rFonts w:ascii="Cambria Math" w:hAnsi="Cambria Math"/>
            </w:rPr>
            <m:t xml:space="preserve"> +CN +</m:t>
          </m:r>
          <m:sSub>
            <m:sSubPr>
              <m:ctrlPr>
                <w:rPr>
                  <w:rFonts w:ascii="Cambria Math" w:hAnsi="Cambria Math"/>
                  <w:i/>
                </w:rPr>
              </m:ctrlPr>
            </m:sSubPr>
            <m:e>
              <m:r>
                <w:rPr>
                  <w:rFonts w:ascii="Cambria Math" w:hAnsi="Cambria Math"/>
                </w:rPr>
                <m:t>CN</m:t>
              </m:r>
            </m:e>
            <m:sub>
              <m:r>
                <w:rPr>
                  <w:rFonts w:ascii="Cambria Math" w:hAnsi="Cambria Math"/>
                </w:rPr>
                <m:t>cl</m:t>
              </m:r>
            </m:sub>
          </m:sSub>
          <m:r>
            <w:rPr>
              <w:rFonts w:ascii="Cambria Math" w:hAnsi="Cambria Math"/>
              <w:vertAlign w:val="subscript"/>
            </w:rPr>
            <m:t xml:space="preserve"> </m:t>
          </m:r>
          <m:r>
            <w:rPr>
              <w:rFonts w:ascii="Cambria Math" w:hAnsi="Cambria Math"/>
            </w:rPr>
            <m:t>ρ(1-</m:t>
          </m:r>
          <m:sSub>
            <m:sSubPr>
              <m:ctrlPr>
                <w:rPr>
                  <w:rFonts w:ascii="Cambria Math" w:hAnsi="Cambria Math"/>
                  <w:i/>
                </w:rPr>
              </m:ctrlPr>
            </m:sSubPr>
            <m:e>
              <m:r>
                <w:rPr>
                  <w:rFonts w:ascii="Cambria Math" w:hAnsi="Cambria Math"/>
                </w:rPr>
                <m:t>CCF</m:t>
              </m:r>
            </m:e>
            <m:sub>
              <m:r>
                <w:rPr>
                  <w:rFonts w:ascii="Cambria Math" w:hAnsi="Cambria Math"/>
                </w:rPr>
                <m:t>scna</m:t>
              </m:r>
            </m:sub>
          </m:sSub>
          <m:r>
            <w:rPr>
              <w:rFonts w:ascii="Cambria Math" w:hAnsi="Cambria Math"/>
            </w:rPr>
            <m:t>)</m:t>
          </m:r>
          <m:r>
            <m:rPr>
              <m:sty m:val="p"/>
            </m:rPr>
            <w:rPr>
              <w:rFonts w:ascii="Times" w:hAnsi="Times"/>
            </w:rPr>
            <w:br/>
          </m:r>
        </m:oMath>
      </m:oMathPara>
    </w:p>
    <w:p w14:paraId="752B4AF4" w14:textId="65F0867C" w:rsidR="004D5899" w:rsidRPr="00AC13E7" w:rsidRDefault="004D5899" w:rsidP="00650DFA">
      <w:pPr>
        <w:jc w:val="both"/>
        <w:rPr>
          <w:rFonts w:ascii="Times" w:hAnsi="Times"/>
        </w:rPr>
      </w:pPr>
      <w:r w:rsidRPr="00AC13E7">
        <w:rPr>
          <w:rFonts w:ascii="Times" w:hAnsi="Times"/>
        </w:rPr>
        <w:t xml:space="preserve">we allow a) </w:t>
      </w:r>
      <m:oMath>
        <m:sSub>
          <m:sSubPr>
            <m:ctrlPr>
              <w:rPr>
                <w:rFonts w:ascii="Cambria Math" w:hAnsi="Cambria Math"/>
                <w:i/>
              </w:rPr>
            </m:ctrlPr>
          </m:sSubPr>
          <m:e>
            <m:r>
              <w:rPr>
                <w:rFonts w:ascii="Cambria Math" w:hAnsi="Cambria Math"/>
              </w:rPr>
              <m:t>CCF</m:t>
            </m:r>
          </m:e>
          <m:sub>
            <m:r>
              <w:rPr>
                <w:rFonts w:ascii="Cambria Math" w:hAnsi="Cambria Math"/>
              </w:rPr>
              <m:t>mut</m:t>
            </m:r>
          </m:sub>
        </m:sSub>
        <m:r>
          <w:rPr>
            <w:rFonts w:ascii="Cambria Math" w:hAnsi="Cambria Math"/>
          </w:rPr>
          <m:t xml:space="preserve">=1 </m:t>
        </m:r>
      </m:oMath>
      <w:r w:rsidRPr="00AC13E7">
        <w:rPr>
          <w:rFonts w:ascii="Times" w:hAnsi="Times"/>
        </w:rPr>
        <w:t xml:space="preserve">or b) </w:t>
      </w:r>
      <m:oMath>
        <m:sSub>
          <m:sSubPr>
            <m:ctrlPr>
              <w:rPr>
                <w:rFonts w:ascii="Cambria Math" w:hAnsi="Cambria Math"/>
                <w:i/>
              </w:rPr>
            </m:ctrlPr>
          </m:sSubPr>
          <m:e>
            <m:r>
              <w:rPr>
                <w:rFonts w:ascii="Cambria Math" w:hAnsi="Cambria Math"/>
              </w:rPr>
              <m:t>CCF</m:t>
            </m:r>
          </m:e>
          <m:sub>
            <m:r>
              <w:rPr>
                <w:rFonts w:ascii="Cambria Math" w:hAnsi="Cambria Math"/>
              </w:rPr>
              <m:t>mut</m:t>
            </m:r>
          </m:sub>
        </m:sSub>
        <m:r>
          <w:rPr>
            <w:rFonts w:ascii="Cambria Math" w:hAnsi="Cambria Math"/>
          </w:rPr>
          <m:t xml:space="preserve">= </m:t>
        </m:r>
        <m:sSub>
          <m:sSubPr>
            <m:ctrlPr>
              <w:rPr>
                <w:rFonts w:ascii="Cambria Math" w:hAnsi="Cambria Math"/>
                <w:i/>
              </w:rPr>
            </m:ctrlPr>
          </m:sSubPr>
          <m:e>
            <m:r>
              <w:rPr>
                <w:rFonts w:ascii="Cambria Math" w:hAnsi="Cambria Math"/>
              </w:rPr>
              <m:t>CCF</m:t>
            </m:r>
          </m:e>
          <m:sub>
            <m:r>
              <w:rPr>
                <w:rFonts w:ascii="Cambria Math" w:hAnsi="Cambria Math"/>
              </w:rPr>
              <m:t>scna</m:t>
            </m:r>
          </m:sub>
        </m:sSub>
      </m:oMath>
      <w:r w:rsidRPr="00AC13E7">
        <w:rPr>
          <w:rFonts w:ascii="Times" w:hAnsi="Times"/>
          <w:vertAlign w:val="subscript"/>
        </w:rPr>
        <w:t xml:space="preserve"> </w:t>
      </w:r>
      <w:r w:rsidR="001A6593" w:rsidRPr="00AC13E7">
        <w:rPr>
          <w:rFonts w:ascii="Times" w:hAnsi="Times"/>
          <w:vertAlign w:val="subscript"/>
        </w:rPr>
        <w:t xml:space="preserve"> </w:t>
      </w:r>
      <w:r w:rsidRPr="00AC13E7">
        <w:rPr>
          <w:rFonts w:ascii="Times" w:hAnsi="Times"/>
        </w:rPr>
        <w:t xml:space="preserve">and </w:t>
      </w:r>
      <m:oMath>
        <m:sSub>
          <m:sSubPr>
            <m:ctrlPr>
              <w:rPr>
                <w:rFonts w:ascii="Cambria Math" w:hAnsi="Cambria Math"/>
                <w:i/>
              </w:rPr>
            </m:ctrlPr>
          </m:sSubPr>
          <m:e>
            <m:r>
              <w:rPr>
                <w:rFonts w:ascii="Cambria Math" w:hAnsi="Cambria Math"/>
              </w:rPr>
              <m:t>mult</m:t>
            </m:r>
          </m:e>
          <m:sub>
            <m:r>
              <w:rPr>
                <w:rFonts w:ascii="Cambria Math" w:hAnsi="Cambria Math"/>
              </w:rPr>
              <m:t>cl</m:t>
            </m:r>
          </m:sub>
        </m:sSub>
        <m:r>
          <w:rPr>
            <w:rFonts w:ascii="Cambria Math" w:hAnsi="Cambria Math"/>
          </w:rPr>
          <m:t xml:space="preserve">=0 </m:t>
        </m:r>
      </m:oMath>
      <w:r w:rsidRPr="00AC13E7">
        <w:rPr>
          <w:rFonts w:ascii="Times" w:hAnsi="Times"/>
        </w:rPr>
        <w:t xml:space="preserve">or c) </w:t>
      </w:r>
      <m:oMath>
        <m:sSub>
          <m:sSubPr>
            <m:ctrlPr>
              <w:rPr>
                <w:rFonts w:ascii="Cambria Math" w:hAnsi="Cambria Math"/>
                <w:i/>
              </w:rPr>
            </m:ctrlPr>
          </m:sSubPr>
          <m:e>
            <m:r>
              <w:rPr>
                <w:rFonts w:ascii="Cambria Math" w:hAnsi="Cambria Math"/>
              </w:rPr>
              <m:t>CCF</m:t>
            </m:r>
          </m:e>
          <m:sub>
            <m:r>
              <w:rPr>
                <w:rFonts w:ascii="Cambria Math" w:hAnsi="Cambria Math"/>
              </w:rPr>
              <m:t>mut</m:t>
            </m:r>
          </m:sub>
        </m:sSub>
        <m:r>
          <w:rPr>
            <w:rFonts w:ascii="Cambria Math" w:hAnsi="Cambria Math"/>
          </w:rPr>
          <m:t xml:space="preserve">=1- </m:t>
        </m:r>
        <m:sSub>
          <m:sSubPr>
            <m:ctrlPr>
              <w:rPr>
                <w:rFonts w:ascii="Cambria Math" w:hAnsi="Cambria Math"/>
                <w:i/>
              </w:rPr>
            </m:ctrlPr>
          </m:sSubPr>
          <m:e>
            <m:r>
              <w:rPr>
                <w:rFonts w:ascii="Cambria Math" w:hAnsi="Cambria Math"/>
              </w:rPr>
              <m:t>CCF</m:t>
            </m:r>
          </m:e>
          <m:sub>
            <m:r>
              <w:rPr>
                <w:rFonts w:ascii="Cambria Math" w:hAnsi="Cambria Math"/>
              </w:rPr>
              <m:t>scna</m:t>
            </m:r>
          </m:sub>
        </m:sSub>
        <m:r>
          <w:rPr>
            <w:rFonts w:ascii="Cambria Math" w:hAnsi="Cambria Math"/>
          </w:rPr>
          <m:t xml:space="preserve"> </m:t>
        </m:r>
      </m:oMath>
      <w:r w:rsidRPr="00AC13E7">
        <w:rPr>
          <w:rFonts w:ascii="Times" w:hAnsi="Times"/>
        </w:rPr>
        <w:t xml:space="preserve">and </w:t>
      </w:r>
      <m:oMath>
        <m:sSub>
          <m:sSubPr>
            <m:ctrlPr>
              <w:rPr>
                <w:rFonts w:ascii="Cambria Math" w:hAnsi="Cambria Math"/>
                <w:i/>
              </w:rPr>
            </m:ctrlPr>
          </m:sSubPr>
          <m:e>
            <m:r>
              <w:rPr>
                <w:rFonts w:ascii="Cambria Math" w:hAnsi="Cambria Math"/>
              </w:rPr>
              <m:t>mult</m:t>
            </m:r>
          </m:e>
          <m:sub>
            <m:r>
              <w:rPr>
                <w:rFonts w:ascii="Cambria Math" w:hAnsi="Cambria Math"/>
              </w:rPr>
              <m:t>sub</m:t>
            </m:r>
          </m:sub>
        </m:sSub>
        <m:r>
          <w:rPr>
            <w:rFonts w:ascii="Cambria Math" w:hAnsi="Cambria Math"/>
          </w:rPr>
          <m:t>=0</m:t>
        </m:r>
      </m:oMath>
    </w:p>
    <w:p w14:paraId="644EF5F9" w14:textId="443F4B5E" w:rsidR="002169F1" w:rsidRPr="00AC13E7" w:rsidRDefault="002169F1" w:rsidP="004D5899">
      <w:pPr>
        <w:rPr>
          <w:bCs/>
          <w:sz w:val="32"/>
          <w:szCs w:val="32"/>
        </w:rPr>
      </w:pPr>
    </w:p>
    <w:p w14:paraId="5BF3C58C" w14:textId="2C0548B0" w:rsidR="008B0B2C" w:rsidRPr="00AC13E7" w:rsidRDefault="002169F1" w:rsidP="00B07CE7">
      <w:pPr>
        <w:jc w:val="both"/>
        <w:rPr>
          <w:rFonts w:ascii="Times" w:hAnsi="Times"/>
        </w:rPr>
      </w:pPr>
      <w:r w:rsidRPr="00AC13E7">
        <w:rPr>
          <w:rFonts w:ascii="Times" w:hAnsi="Times" w:cs="Cambria"/>
        </w:rPr>
        <w:t xml:space="preserve">We have used the </w:t>
      </w:r>
      <w:r w:rsidR="00650D3D" w:rsidRPr="00AC13E7">
        <w:rPr>
          <w:rFonts w:ascii="Times" w:hAnsi="Times" w:cs="Cambria"/>
        </w:rPr>
        <w:t>above-simulated</w:t>
      </w:r>
      <w:r w:rsidRPr="00AC13E7">
        <w:rPr>
          <w:rFonts w:ascii="Times" w:hAnsi="Times" w:cs="Cambria"/>
        </w:rPr>
        <w:t xml:space="preserve"> </w:t>
      </w:r>
      <w:r w:rsidRPr="00AC13E7">
        <w:rPr>
          <w:rFonts w:ascii="Times" w:hAnsi="Times"/>
        </w:rPr>
        <w:t>dataset</w:t>
      </w:r>
      <w:r w:rsidR="003545AB" w:rsidRPr="00AC13E7">
        <w:rPr>
          <w:rFonts w:ascii="Times" w:hAnsi="Times"/>
        </w:rPr>
        <w:t>s for extensive quality control and validation of the individual reconstruction methods as well as the performance of the consensus subclonal reconstructio</w:t>
      </w:r>
      <w:r w:rsidR="00567AEF" w:rsidRPr="00AC13E7">
        <w:rPr>
          <w:rFonts w:ascii="Times" w:hAnsi="Times"/>
        </w:rPr>
        <w:t>n</w:t>
      </w:r>
      <w:r w:rsidR="003545AB" w:rsidRPr="00AC13E7">
        <w:rPr>
          <w:rFonts w:ascii="Times" w:hAnsi="Times"/>
        </w:rPr>
        <w:t>. In general, 11 subclonal reconstruction methods</w:t>
      </w:r>
      <w:r w:rsidR="003545AB" w:rsidRPr="00AC13E7">
        <w:rPr>
          <w:rFonts w:ascii="Times" w:hAnsi="Times" w:cs="Cambria"/>
        </w:rPr>
        <w:t xml:space="preserve"> </w:t>
      </w:r>
      <w:r w:rsidR="003545AB" w:rsidRPr="00AC13E7">
        <w:rPr>
          <w:rFonts w:ascii="Times" w:hAnsi="Times"/>
        </w:rPr>
        <w:t xml:space="preserve">as well as the consensus approaches </w:t>
      </w:r>
      <w:r w:rsidR="003545AB" w:rsidRPr="00AC13E7">
        <w:rPr>
          <w:rFonts w:ascii="Times" w:hAnsi="Times" w:cs="Cambria"/>
        </w:rPr>
        <w:t>used in this man</w:t>
      </w:r>
      <w:r w:rsidR="003545AB" w:rsidRPr="00AC13E7">
        <w:rPr>
          <w:rFonts w:ascii="Times" w:hAnsi="Times"/>
        </w:rPr>
        <w:t>u</w:t>
      </w:r>
      <w:r w:rsidR="003545AB" w:rsidRPr="00AC13E7">
        <w:rPr>
          <w:rFonts w:ascii="Times" w:hAnsi="Times" w:cs="Cambria"/>
        </w:rPr>
        <w:t xml:space="preserve">script </w:t>
      </w:r>
      <w:r w:rsidR="003545AB" w:rsidRPr="00AC13E7">
        <w:rPr>
          <w:rFonts w:ascii="Times" w:hAnsi="Times"/>
        </w:rPr>
        <w:t>produced consistent results (</w:t>
      </w:r>
      <w:r w:rsidR="00072153" w:rsidRPr="00AC13E7">
        <w:rPr>
          <w:rFonts w:ascii="Times" w:hAnsi="Times"/>
        </w:rPr>
        <w:fldChar w:fldCharType="begin"/>
      </w:r>
      <w:r w:rsidR="00072153" w:rsidRPr="00AC13E7">
        <w:rPr>
          <w:rFonts w:ascii="Times" w:hAnsi="Times"/>
        </w:rPr>
        <w:instrText xml:space="preserve"> REF _Ref379537180 \h </w:instrText>
      </w:r>
      <w:r w:rsidR="00072153" w:rsidRPr="00AC13E7">
        <w:rPr>
          <w:rFonts w:ascii="Times" w:hAnsi="Times"/>
        </w:rPr>
      </w:r>
      <w:r w:rsidR="00072153" w:rsidRPr="00AC13E7">
        <w:rPr>
          <w:rFonts w:ascii="Times" w:hAnsi="Times"/>
        </w:rPr>
        <w:fldChar w:fldCharType="separate"/>
      </w:r>
      <w:r w:rsidR="00673FBD" w:rsidRPr="00AC13E7">
        <w:t xml:space="preserve">Fig. </w:t>
      </w:r>
      <w:r w:rsidR="00673FBD">
        <w:rPr>
          <w:noProof/>
        </w:rPr>
        <w:t>34</w:t>
      </w:r>
      <w:r w:rsidR="00072153" w:rsidRPr="00AC13E7">
        <w:rPr>
          <w:rFonts w:ascii="Times" w:hAnsi="Times"/>
        </w:rPr>
        <w:fldChar w:fldCharType="end"/>
      </w:r>
      <w:r w:rsidR="003545AB" w:rsidRPr="00AC13E7">
        <w:rPr>
          <w:rFonts w:ascii="Times" w:hAnsi="Times"/>
        </w:rPr>
        <w:t xml:space="preserve">) </w:t>
      </w:r>
      <w:r w:rsidR="008B0B2C" w:rsidRPr="00AC13E7">
        <w:rPr>
          <w:rFonts w:ascii="Times" w:hAnsi="Times"/>
        </w:rPr>
        <w:t>on the simulated datasets</w:t>
      </w:r>
      <w:r w:rsidR="008A1704" w:rsidRPr="00AC13E7">
        <w:rPr>
          <w:rFonts w:ascii="Times" w:hAnsi="Times"/>
        </w:rPr>
        <w:t>.</w:t>
      </w:r>
      <w:r w:rsidR="008B0B2C" w:rsidRPr="00AC13E7">
        <w:rPr>
          <w:rFonts w:ascii="Times" w:hAnsi="Times"/>
        </w:rPr>
        <w:t xml:space="preserve"> </w:t>
      </w:r>
      <w:r w:rsidR="008A1704" w:rsidRPr="00AC13E7">
        <w:rPr>
          <w:rFonts w:ascii="Times" w:hAnsi="Times"/>
        </w:rPr>
        <w:t>I</w:t>
      </w:r>
      <w:r w:rsidR="003545AB" w:rsidRPr="00AC13E7">
        <w:rPr>
          <w:rFonts w:ascii="Times" w:hAnsi="Times"/>
        </w:rPr>
        <w:t>n some samples</w:t>
      </w:r>
      <w:r w:rsidR="008A1704" w:rsidRPr="00AC13E7">
        <w:rPr>
          <w:rFonts w:ascii="Times" w:hAnsi="Times"/>
        </w:rPr>
        <w:t>,</w:t>
      </w:r>
      <w:r w:rsidR="003545AB" w:rsidRPr="00AC13E7">
        <w:rPr>
          <w:rFonts w:ascii="Times" w:hAnsi="Times"/>
        </w:rPr>
        <w:t xml:space="preserve"> </w:t>
      </w:r>
      <w:r w:rsidR="008B0B2C" w:rsidRPr="00AC13E7">
        <w:rPr>
          <w:rFonts w:ascii="Times" w:hAnsi="Times"/>
        </w:rPr>
        <w:t xml:space="preserve">specific </w:t>
      </w:r>
      <w:r w:rsidR="003545AB" w:rsidRPr="00AC13E7">
        <w:rPr>
          <w:rFonts w:ascii="Times" w:hAnsi="Times"/>
        </w:rPr>
        <w:t>methods</w:t>
      </w:r>
      <w:r w:rsidR="008B0B2C" w:rsidRPr="00AC13E7">
        <w:rPr>
          <w:rFonts w:ascii="Times" w:hAnsi="Times"/>
        </w:rPr>
        <w:t xml:space="preserve"> deviated from the majority</w:t>
      </w:r>
      <w:r w:rsidR="00B07CE7" w:rsidRPr="00AC13E7">
        <w:rPr>
          <w:rFonts w:ascii="Times" w:hAnsi="Times"/>
        </w:rPr>
        <w:t>,</w:t>
      </w:r>
      <w:r w:rsidR="008B0B2C" w:rsidRPr="00AC13E7">
        <w:rPr>
          <w:rFonts w:ascii="Times" w:hAnsi="Times"/>
        </w:rPr>
        <w:t xml:space="preserve"> justif</w:t>
      </w:r>
      <w:r w:rsidR="00B07CE7" w:rsidRPr="00AC13E7">
        <w:rPr>
          <w:rFonts w:ascii="Times" w:hAnsi="Times"/>
        </w:rPr>
        <w:t>ying</w:t>
      </w:r>
      <w:r w:rsidR="008B0B2C" w:rsidRPr="00AC13E7">
        <w:rPr>
          <w:rFonts w:ascii="Times" w:hAnsi="Times"/>
        </w:rPr>
        <w:t xml:space="preserve"> </w:t>
      </w:r>
      <w:r w:rsidR="00B07CE7" w:rsidRPr="00AC13E7">
        <w:rPr>
          <w:rFonts w:ascii="Times" w:hAnsi="Times"/>
        </w:rPr>
        <w:t xml:space="preserve">the </w:t>
      </w:r>
      <w:r w:rsidR="008B0B2C" w:rsidRPr="00AC13E7">
        <w:rPr>
          <w:rFonts w:ascii="Times" w:hAnsi="Times"/>
        </w:rPr>
        <w:t>consensus approaches.</w:t>
      </w:r>
    </w:p>
    <w:p w14:paraId="21801FC8" w14:textId="77777777" w:rsidR="00F02D29" w:rsidRPr="00AC13E7" w:rsidRDefault="00F02D29" w:rsidP="00F02D29">
      <w:pPr>
        <w:jc w:val="both"/>
        <w:rPr>
          <w:rFonts w:ascii="Times" w:hAnsi="Times"/>
        </w:rPr>
      </w:pPr>
      <w:r w:rsidRPr="00AC13E7">
        <w:rPr>
          <w:rFonts w:ascii="Times" w:hAnsi="Times"/>
        </w:rPr>
        <w:t>As an additional metric “obtainable” truth was calculated from the true cluster positions, based only on mutations that mutation callers would discover (which results in a CCF shift of cluster positions and sizes) and by performing additional pair-wise cluster permutation significance test to identify pairs of clusters which would be statically undistinguishable from a single cluster (p-value&gt;0.05).</w:t>
      </w:r>
    </w:p>
    <w:p w14:paraId="3D91C054" w14:textId="77777777" w:rsidR="008A1704" w:rsidRPr="00AC13E7" w:rsidRDefault="008A1704" w:rsidP="008B6240">
      <w:pPr>
        <w:jc w:val="both"/>
        <w:rPr>
          <w:rFonts w:ascii="Times" w:hAnsi="Times"/>
        </w:rPr>
      </w:pPr>
    </w:p>
    <w:p w14:paraId="5055C7B1" w14:textId="05DAB58F" w:rsidR="00BC7BDA" w:rsidRPr="00AC13E7" w:rsidRDefault="00BC7BDA" w:rsidP="004D5899">
      <w:pPr>
        <w:rPr>
          <w:rFonts w:ascii="Times" w:hAnsi="Times"/>
        </w:rPr>
      </w:pPr>
    </w:p>
    <w:p w14:paraId="72F79F34" w14:textId="2CE0D01E" w:rsidR="00F05DA6" w:rsidRPr="00AC13E7" w:rsidRDefault="00940EDB" w:rsidP="00F05DA6">
      <w:pPr>
        <w:keepNext/>
        <w:jc w:val="center"/>
      </w:pPr>
      <w:r>
        <w:rPr>
          <w:noProof/>
          <w:lang w:eastAsia="en-GB"/>
        </w:rPr>
        <w:lastRenderedPageBreak/>
        <w:drawing>
          <wp:inline distT="0" distB="0" distL="0" distR="0" wp14:anchorId="5E45E7CD" wp14:editId="6F74BEF0">
            <wp:extent cx="5266055" cy="5518785"/>
            <wp:effectExtent l="0" t="0" r="0" b="0"/>
            <wp:docPr id="21" name="Picture 21" descr="Fig34_supp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34_suppl.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66055" cy="5518785"/>
                    </a:xfrm>
                    <a:prstGeom prst="rect">
                      <a:avLst/>
                    </a:prstGeom>
                    <a:noFill/>
                    <a:ln>
                      <a:noFill/>
                    </a:ln>
                  </pic:spPr>
                </pic:pic>
              </a:graphicData>
            </a:graphic>
          </wp:inline>
        </w:drawing>
      </w:r>
    </w:p>
    <w:p w14:paraId="32E0916E" w14:textId="10B6584E" w:rsidR="00FA0A28" w:rsidRPr="00AC13E7" w:rsidRDefault="00F05DA6" w:rsidP="004916C9">
      <w:pPr>
        <w:pStyle w:val="Caption"/>
        <w:rPr>
          <w:rFonts w:ascii="Times" w:hAnsi="Times"/>
        </w:rPr>
      </w:pPr>
      <w:bookmarkStart w:id="208" w:name="_Ref379537180"/>
      <w:bookmarkStart w:id="209" w:name="_Toc384459605"/>
      <w:r w:rsidRPr="00AC13E7">
        <w:t xml:space="preserve">Fig. </w:t>
      </w:r>
      <w:r w:rsidR="001003E9">
        <w:fldChar w:fldCharType="begin"/>
      </w:r>
      <w:r w:rsidR="001003E9">
        <w:instrText xml:space="preserve"> SEQ Fig. \* ARABIC </w:instrText>
      </w:r>
      <w:r w:rsidR="001003E9">
        <w:fldChar w:fldCharType="separate"/>
      </w:r>
      <w:r w:rsidR="00673FBD">
        <w:rPr>
          <w:noProof/>
        </w:rPr>
        <w:t>34</w:t>
      </w:r>
      <w:r w:rsidR="001003E9">
        <w:rPr>
          <w:noProof/>
        </w:rPr>
        <w:fldChar w:fldCharType="end"/>
      </w:r>
      <w:bookmarkEnd w:id="208"/>
      <w:r w:rsidRPr="00AC13E7">
        <w:t xml:space="preserve"> </w:t>
      </w:r>
      <w:r w:rsidRPr="00AC13E7">
        <w:rPr>
          <w:bCs/>
        </w:rPr>
        <w:t xml:space="preserve">Summary of subclonal reconstruction on simulation data. </w:t>
      </w:r>
      <w:r w:rsidRPr="00AC13E7">
        <w:t xml:space="preserve">General consistency between individual methods and consensus method results: </w:t>
      </w:r>
      <w:r w:rsidRPr="00AC13E7">
        <w:rPr>
          <w:b/>
          <w:bCs/>
        </w:rPr>
        <w:t>A)</w:t>
      </w:r>
      <w:r w:rsidRPr="00AC13E7">
        <w:t xml:space="preserve"> fraction of clonal mutations and </w:t>
      </w:r>
      <w:r w:rsidRPr="00AC13E7">
        <w:rPr>
          <w:b/>
          <w:bCs/>
        </w:rPr>
        <w:t>B)</w:t>
      </w:r>
      <w:r w:rsidRPr="00AC13E7">
        <w:t xml:space="preserve"> number of subclonal clusters.</w:t>
      </w:r>
      <w:bookmarkEnd w:id="209"/>
    </w:p>
    <w:p w14:paraId="1B8C24AB" w14:textId="77777777" w:rsidR="008A1704" w:rsidRPr="00AC13E7" w:rsidRDefault="008A1704" w:rsidP="008B6240">
      <w:pPr>
        <w:jc w:val="both"/>
      </w:pPr>
    </w:p>
    <w:p w14:paraId="219DDA37" w14:textId="09ADFEFC" w:rsidR="008B0B2C" w:rsidRPr="00AC13E7" w:rsidRDefault="008B0B2C" w:rsidP="00B7479D">
      <w:pPr>
        <w:jc w:val="both"/>
      </w:pPr>
      <w:r w:rsidRPr="00AC13E7">
        <w:t>We have generated a set of simulated samples to specifically explore the resolution of single sample subclonal reconstruction. We have simulated sample sets with varying purities and cluster-to-cluster distance series ranging from 0.2 to 0.03 CCF inter</w:t>
      </w:r>
      <w:r w:rsidR="00E1545E" w:rsidRPr="00AC13E7">
        <w:t>-</w:t>
      </w:r>
      <w:r w:rsidRPr="00AC13E7">
        <w:t xml:space="preserve">cluster distance. In summary, even in the </w:t>
      </w:r>
      <w:r w:rsidR="00BB5F3D" w:rsidRPr="00AC13E7">
        <w:t>purest</w:t>
      </w:r>
      <w:r w:rsidRPr="00AC13E7">
        <w:t xml:space="preserve"> samples</w:t>
      </w:r>
      <w:r w:rsidR="00475E5F" w:rsidRPr="00AC13E7">
        <w:t>,</w:t>
      </w:r>
      <w:r w:rsidRPr="00AC13E7">
        <w:t xml:space="preserve"> non</w:t>
      </w:r>
      <w:r w:rsidR="00F11729" w:rsidRPr="00AC13E7">
        <w:t>e</w:t>
      </w:r>
      <w:r w:rsidRPr="00AC13E7">
        <w:t xml:space="preserve"> of the methods </w:t>
      </w:r>
      <w:r w:rsidR="00475E5F" w:rsidRPr="00AC13E7">
        <w:t>were</w:t>
      </w:r>
      <w:r w:rsidRPr="00AC13E7">
        <w:t xml:space="preserve"> able to consistently resolve clusters that were </w:t>
      </w:r>
      <w:r w:rsidR="009C1D76" w:rsidRPr="00AC13E7">
        <w:t xml:space="preserve">less </w:t>
      </w:r>
      <w:r w:rsidRPr="00AC13E7">
        <w:t>than 0.07 CCF</w:t>
      </w:r>
      <w:r w:rsidR="00475E5F" w:rsidRPr="00AC13E7">
        <w:t xml:space="preserve"> </w:t>
      </w:r>
      <w:r w:rsidR="00B7479D" w:rsidRPr="00AC13E7">
        <w:t>apart</w:t>
      </w:r>
      <w:r w:rsidR="00475E5F" w:rsidRPr="00AC13E7">
        <w:t>.</w:t>
      </w:r>
      <w:r w:rsidRPr="00AC13E7">
        <w:t xml:space="preserve"> </w:t>
      </w:r>
      <w:r w:rsidR="00475E5F" w:rsidRPr="00AC13E7">
        <w:t>These results provide</w:t>
      </w:r>
      <w:r w:rsidR="008112CE" w:rsidRPr="00AC13E7">
        <w:t xml:space="preserve"> an</w:t>
      </w:r>
      <w:r w:rsidR="00475E5F" w:rsidRPr="00AC13E7">
        <w:t xml:space="preserve"> </w:t>
      </w:r>
      <w:r w:rsidR="00CA4ADC" w:rsidRPr="00AC13E7">
        <w:t xml:space="preserve">extra </w:t>
      </w:r>
      <w:r w:rsidR="00475E5F" w:rsidRPr="00AC13E7">
        <w:t xml:space="preserve">argument for potential </w:t>
      </w:r>
      <w:r w:rsidR="00CA4ADC" w:rsidRPr="00AC13E7">
        <w:t xml:space="preserve">additional </w:t>
      </w:r>
      <w:r w:rsidR="00475E5F" w:rsidRPr="00AC13E7">
        <w:t>in</w:t>
      </w:r>
      <w:r w:rsidR="00CA4ADC" w:rsidRPr="00AC13E7">
        <w:t>tra</w:t>
      </w:r>
      <w:r w:rsidR="00475E5F" w:rsidRPr="00AC13E7">
        <w:t>-tumo</w:t>
      </w:r>
      <w:r w:rsidR="003B2709" w:rsidRPr="00AC13E7">
        <w:t>u</w:t>
      </w:r>
      <w:r w:rsidR="00475E5F" w:rsidRPr="00AC13E7">
        <w:t>r heterogeneity within subclonal reconstructions in sequenced samples, especially when subclonal CCFs overlap in single sample cases.</w:t>
      </w:r>
    </w:p>
    <w:p w14:paraId="5A8806AB" w14:textId="58D10574" w:rsidR="00475E5F" w:rsidRPr="00AC13E7" w:rsidRDefault="00475E5F" w:rsidP="006659E2">
      <w:pPr>
        <w:jc w:val="both"/>
      </w:pPr>
      <w:r w:rsidRPr="00AC13E7">
        <w:t xml:space="preserve">The simulated datasets were used to extensively benchmark and validate the “winner’s curse” correction methods. When run on the “detected” portion of simulated variants they accurately </w:t>
      </w:r>
      <w:r w:rsidR="00911113" w:rsidRPr="00AC13E7">
        <w:t xml:space="preserve">recapitulated the </w:t>
      </w:r>
      <w:r w:rsidRPr="00AC13E7">
        <w:t>true CCF of the subclonal clusters and properly correct</w:t>
      </w:r>
      <w:r w:rsidR="00123F10" w:rsidRPr="00AC13E7">
        <w:t>ed</w:t>
      </w:r>
      <w:r w:rsidRPr="00AC13E7">
        <w:t xml:space="preserve"> the</w:t>
      </w:r>
      <w:r w:rsidR="008966EA" w:rsidRPr="00AC13E7">
        <w:t xml:space="preserve"> associated</w:t>
      </w:r>
      <w:r w:rsidRPr="00AC13E7">
        <w:t xml:space="preserve"> number of mutations. </w:t>
      </w:r>
    </w:p>
    <w:p w14:paraId="25FE4A8F" w14:textId="77777777" w:rsidR="00752152" w:rsidRPr="00AC13E7" w:rsidRDefault="00752152" w:rsidP="006659E2">
      <w:pPr>
        <w:jc w:val="both"/>
      </w:pPr>
    </w:p>
    <w:p w14:paraId="1882E845" w14:textId="77777777" w:rsidR="00CC74C3" w:rsidRDefault="00CC74C3">
      <w:pPr>
        <w:rPr>
          <w:rFonts w:eastAsia="Times"/>
          <w:bCs/>
          <w:color w:val="000000"/>
          <w:sz w:val="32"/>
          <w:szCs w:val="32"/>
        </w:rPr>
      </w:pPr>
      <w:bookmarkStart w:id="210" w:name="_Ref380141824"/>
      <w:r>
        <w:rPr>
          <w:b/>
          <w:bCs/>
          <w:sz w:val="32"/>
          <w:szCs w:val="32"/>
        </w:rPr>
        <w:br w:type="page"/>
      </w:r>
    </w:p>
    <w:p w14:paraId="526AB376" w14:textId="1D13B7E7" w:rsidR="00752152" w:rsidRPr="00AC13E7" w:rsidRDefault="008C4690" w:rsidP="00AC36B1">
      <w:pPr>
        <w:pStyle w:val="Heading3"/>
        <w:rPr>
          <w:rFonts w:ascii="Times New Roman" w:hAnsi="Times New Roman" w:cs="Times New Roman"/>
          <w:b w:val="0"/>
          <w:bCs/>
          <w:sz w:val="32"/>
          <w:szCs w:val="32"/>
          <w:lang w:val="en-GB"/>
        </w:rPr>
      </w:pPr>
      <w:bookmarkStart w:id="211" w:name="_Toc391905037"/>
      <w:r w:rsidRPr="00AC13E7">
        <w:rPr>
          <w:rFonts w:ascii="Times New Roman" w:hAnsi="Times New Roman" w:cs="Times New Roman"/>
          <w:b w:val="0"/>
          <w:bCs/>
          <w:sz w:val="32"/>
          <w:szCs w:val="32"/>
          <w:lang w:val="en-GB"/>
        </w:rPr>
        <w:lastRenderedPageBreak/>
        <w:t>2.4.2</w:t>
      </w:r>
      <w:r w:rsidR="00741462" w:rsidRPr="00AC13E7">
        <w:rPr>
          <w:rFonts w:ascii="Times New Roman" w:hAnsi="Times New Roman" w:cs="Times New Roman"/>
          <w:b w:val="0"/>
          <w:bCs/>
          <w:sz w:val="32"/>
          <w:szCs w:val="32"/>
          <w:lang w:val="en-GB"/>
        </w:rPr>
        <w:t xml:space="preserve"> </w:t>
      </w:r>
      <w:r w:rsidR="00C6344E" w:rsidRPr="00AC13E7">
        <w:rPr>
          <w:rFonts w:ascii="Times New Roman" w:hAnsi="Times New Roman" w:cs="Times New Roman"/>
          <w:b w:val="0"/>
          <w:bCs/>
          <w:sz w:val="32"/>
          <w:szCs w:val="32"/>
          <w:lang w:val="en-GB"/>
        </w:rPr>
        <w:t>A g</w:t>
      </w:r>
      <w:r w:rsidR="00752152" w:rsidRPr="00AC13E7">
        <w:rPr>
          <w:rFonts w:ascii="Times New Roman" w:hAnsi="Times New Roman" w:cs="Times New Roman"/>
          <w:b w:val="0"/>
          <w:bCs/>
          <w:sz w:val="32"/>
          <w:szCs w:val="32"/>
          <w:lang w:val="en-GB"/>
        </w:rPr>
        <w:t>rid</w:t>
      </w:r>
      <w:r w:rsidR="00C6344E" w:rsidRPr="00AC13E7">
        <w:rPr>
          <w:rFonts w:ascii="Times New Roman" w:hAnsi="Times New Roman" w:cs="Times New Roman"/>
          <w:b w:val="0"/>
          <w:bCs/>
          <w:sz w:val="32"/>
          <w:szCs w:val="32"/>
          <w:lang w:val="en-GB"/>
        </w:rPr>
        <w:t xml:space="preserve"> approach to</w:t>
      </w:r>
      <w:r w:rsidR="00752152" w:rsidRPr="00AC13E7">
        <w:rPr>
          <w:rFonts w:ascii="Times New Roman" w:hAnsi="Times New Roman" w:cs="Times New Roman"/>
          <w:b w:val="0"/>
          <w:bCs/>
          <w:sz w:val="32"/>
          <w:szCs w:val="32"/>
          <w:lang w:val="en-GB"/>
        </w:rPr>
        <w:t xml:space="preserve"> simulations of tumours – SimClone1000</w:t>
      </w:r>
      <w:bookmarkEnd w:id="210"/>
      <w:bookmarkEnd w:id="211"/>
    </w:p>
    <w:p w14:paraId="089A7EB2" w14:textId="54EF7DBF" w:rsidR="00752152" w:rsidRPr="00AC13E7" w:rsidRDefault="00752152" w:rsidP="00752152">
      <w:r w:rsidRPr="00AC13E7">
        <w:t xml:space="preserve">Maxime Tarabichi, Stefan Dentro, </w:t>
      </w:r>
      <w:r w:rsidR="00CC7CE0" w:rsidRPr="00AC13E7">
        <w:t xml:space="preserve">Quaid Morris, Wenyi Wang, Moritz Gerstung, </w:t>
      </w:r>
      <w:r w:rsidRPr="00AC13E7">
        <w:t>David Wedge, Peter Van Loo</w:t>
      </w:r>
    </w:p>
    <w:p w14:paraId="22A8481D" w14:textId="77777777" w:rsidR="00752152" w:rsidRPr="00AC13E7" w:rsidRDefault="00752152" w:rsidP="00752152"/>
    <w:p w14:paraId="6273A043" w14:textId="0058CE69" w:rsidR="00752152" w:rsidRPr="00AC13E7" w:rsidRDefault="00752152" w:rsidP="00752152">
      <w:pPr>
        <w:jc w:val="both"/>
      </w:pPr>
      <w:r w:rsidRPr="00AC13E7">
        <w:t xml:space="preserve">In addition to the </w:t>
      </w:r>
      <w:r w:rsidR="00CF1A6B" w:rsidRPr="00AC13E7">
        <w:t>PhylogicSim</w:t>
      </w:r>
      <w:r w:rsidRPr="00AC13E7">
        <w:t>500 simulations, we simulated an independent set of 700 tumours</w:t>
      </w:r>
      <w:r w:rsidR="00592651" w:rsidRPr="00AC13E7">
        <w:t xml:space="preserve"> using the SimClone simulator</w:t>
      </w:r>
      <w:r w:rsidRPr="00AC13E7">
        <w:t xml:space="preserve">, for which the truth was hidden. We opted for a grid approach to explore the performance of the methods across a range of values for four parameters: number of reads per chromosome copy (nrpcc), number of subclones, fraction </w:t>
      </w:r>
      <w:r w:rsidR="00CC7CE0" w:rsidRPr="00AC13E7">
        <w:t xml:space="preserve">of </w:t>
      </w:r>
      <w:r w:rsidRPr="00AC13E7">
        <w:t>clonal</w:t>
      </w:r>
      <w:r w:rsidR="00CC7CE0" w:rsidRPr="00AC13E7">
        <w:t xml:space="preserve"> SNVs</w:t>
      </w:r>
      <w:r w:rsidRPr="00AC13E7">
        <w:t xml:space="preserve">, and number of clonal </w:t>
      </w:r>
      <w:r w:rsidR="00CC7CE0" w:rsidRPr="00AC13E7">
        <w:t>SNVs</w:t>
      </w:r>
      <w:r w:rsidRPr="00AC13E7">
        <w:t xml:space="preserve">.  </w:t>
      </w:r>
    </w:p>
    <w:p w14:paraId="08D827D9" w14:textId="77777777" w:rsidR="00752152" w:rsidRPr="00AC13E7" w:rsidRDefault="00752152" w:rsidP="00752152">
      <w:pPr>
        <w:jc w:val="both"/>
      </w:pPr>
      <w:r w:rsidRPr="00AC13E7">
        <w:t>Additionally, we resimulated 300 of the 700 samples in a fully diploid setting with the exact simulation parameters, including nrpcc, allowing us to assess the impact of copy number aberrations on performance.</w:t>
      </w:r>
    </w:p>
    <w:p w14:paraId="62FB499E" w14:textId="77777777" w:rsidR="00752152" w:rsidRPr="00AC13E7" w:rsidRDefault="00752152" w:rsidP="00752152">
      <w:pPr>
        <w:jc w:val="both"/>
      </w:pPr>
    </w:p>
    <w:p w14:paraId="3F25B9DA" w14:textId="77777777" w:rsidR="00592651" w:rsidRPr="00AC13E7" w:rsidRDefault="00592651" w:rsidP="00592651">
      <w:pPr>
        <w:jc w:val="both"/>
        <w:rPr>
          <w:b/>
        </w:rPr>
      </w:pPr>
      <w:r w:rsidRPr="00AC13E7">
        <w:rPr>
          <w:b/>
        </w:rPr>
        <w:t>Simulating subclonal architectures with SimClone</w:t>
      </w:r>
    </w:p>
    <w:p w14:paraId="2557B47E" w14:textId="77777777" w:rsidR="00592651" w:rsidRPr="00AC13E7" w:rsidRDefault="00592651" w:rsidP="00592651">
      <w:pPr>
        <w:jc w:val="both"/>
      </w:pPr>
      <w:r w:rsidRPr="00AC13E7">
        <w:t xml:space="preserve">We simulated subclonal architectures by first establishing a series of required parameters (see the next section) and provide these to the SimClone simulator. In this instance, SimClone takes a subclonal architecture design (number of mutation clusters, the proportions of tumour cells that each cluster takes up and the number of mutations per cluster) and a copy number profile (genome wide copy number and a purity value). </w:t>
      </w:r>
    </w:p>
    <w:p w14:paraId="30B40683" w14:textId="77777777" w:rsidR="00592651" w:rsidRPr="00AC13E7" w:rsidRDefault="00592651" w:rsidP="00592651">
      <w:pPr>
        <w:jc w:val="both"/>
      </w:pPr>
    </w:p>
    <w:p w14:paraId="056AA709" w14:textId="52AADFCE" w:rsidR="00592651" w:rsidRPr="00AC13E7" w:rsidRDefault="00592651" w:rsidP="00592651">
      <w:pPr>
        <w:widowControl w:val="0"/>
        <w:autoSpaceDE w:val="0"/>
        <w:autoSpaceDN w:val="0"/>
        <w:adjustRightInd w:val="0"/>
        <w:spacing w:after="240"/>
        <w:jc w:val="both"/>
        <w:rPr>
          <w:color w:val="000000"/>
        </w:rPr>
      </w:pPr>
      <w:r w:rsidRPr="00AC13E7">
        <w:t xml:space="preserve">SimClone makes a number of assumptions during its simulation runs: </w:t>
      </w:r>
      <w:r w:rsidRPr="00AC13E7">
        <w:rPr>
          <w:color w:val="000000"/>
        </w:rPr>
        <w:t>Both the mutation and wild type alleles are supported by a number of reads. We assume that the distribution of the number of mutation-supporting-reads takes on the shape of a binomial distribution. To model variation on the total number of reads covering the locus where the mutation has occurred, we assume that the depth can be modelled through a Poisson distribution. The mutation is carried by a number of chromosome copies (multiplicity). The shape of this distribution is partly determined by the copy number profile, that bounds the possible multiplicity states, and by cancer type specific development, i.e. if gains occur late there will be many SNVs on multiple copies, while if gains occur early there will be few. Multiplicity is modelled through a Poisson, and for the SimClone1000 data set its parameter was set to 1. Finally, as a simplification, subclonal mutations cannot be carried by more or less than 1 chromosome copy.</w:t>
      </w:r>
    </w:p>
    <w:p w14:paraId="6796B6C5" w14:textId="77777777" w:rsidR="00592651" w:rsidRPr="00AC13E7" w:rsidRDefault="00592651" w:rsidP="00592651">
      <w:pPr>
        <w:widowControl w:val="0"/>
        <w:autoSpaceDE w:val="0"/>
        <w:autoSpaceDN w:val="0"/>
        <w:adjustRightInd w:val="0"/>
        <w:spacing w:after="240"/>
        <w:jc w:val="both"/>
        <w:rPr>
          <w:color w:val="000000"/>
        </w:rPr>
      </w:pPr>
      <w:r w:rsidRPr="00AC13E7">
        <w:rPr>
          <w:color w:val="000000"/>
        </w:rPr>
        <w:t xml:space="preserve">With cluster locations and sizes provided as input, SimClone now simulates the mutations per cluster. Further input is required in a copy number profile, a tumour purity value, coverage and a multiplicity λ parameter (which is set to 1 by default). Mutations are generated by calculating the expected number of reads reporting the mutation and wild-type alleles. But the multiplicity must first be determined before those can be calculated. </w:t>
      </w:r>
    </w:p>
    <w:p w14:paraId="1BEE8DBE" w14:textId="77777777" w:rsidR="00592651" w:rsidRPr="00AC13E7" w:rsidRDefault="00592651" w:rsidP="00592651">
      <w:pPr>
        <w:widowControl w:val="0"/>
        <w:autoSpaceDE w:val="0"/>
        <w:autoSpaceDN w:val="0"/>
        <w:adjustRightInd w:val="0"/>
        <w:spacing w:after="240"/>
        <w:jc w:val="both"/>
        <w:rPr>
          <w:color w:val="000000"/>
        </w:rPr>
      </w:pPr>
      <w:r w:rsidRPr="00AC13E7">
        <w:rPr>
          <w:color w:val="000000"/>
        </w:rPr>
        <w:t>The multiplicity (</w:t>
      </w:r>
      <w:r w:rsidRPr="00AC13E7">
        <w:rPr>
          <w:i/>
          <w:iCs/>
          <w:color w:val="000000"/>
        </w:rPr>
        <w:t>m</w:t>
      </w:r>
      <w:r w:rsidRPr="00AC13E7">
        <w:rPr>
          <w:i/>
          <w:iCs/>
          <w:color w:val="000000"/>
          <w:position w:val="-6"/>
        </w:rPr>
        <w:t>m</w:t>
      </w:r>
      <w:r w:rsidRPr="00AC13E7">
        <w:rPr>
          <w:color w:val="000000"/>
        </w:rPr>
        <w:t xml:space="preserve">) is drawn from a Poisson distribution with the provided λ parameter as input. </w:t>
      </w:r>
    </w:p>
    <w:p w14:paraId="29C07443" w14:textId="77777777" w:rsidR="00592651" w:rsidRPr="00AC13E7" w:rsidRDefault="0036299C" w:rsidP="00592651">
      <w:pPr>
        <w:widowControl w:val="0"/>
        <w:autoSpaceDE w:val="0"/>
        <w:autoSpaceDN w:val="0"/>
        <w:adjustRightInd w:val="0"/>
        <w:spacing w:after="240"/>
        <w:jc w:val="both"/>
        <w:rPr>
          <w:color w:val="000000"/>
        </w:rPr>
      </w:pPr>
      <m:oMathPara>
        <m:oMath>
          <m:sSub>
            <m:sSubPr>
              <m:ctrlPr>
                <w:rPr>
                  <w:rFonts w:ascii="Cambria Math" w:hAnsi="Cambria Math"/>
                  <w:i/>
                  <w:color w:val="000000"/>
                </w:rPr>
              </m:ctrlPr>
            </m:sSubPr>
            <m:e>
              <m:r>
                <w:rPr>
                  <w:rFonts w:ascii="Cambria Math" w:hAnsi="Cambria Math"/>
                  <w:color w:val="000000"/>
                </w:rPr>
                <m:t>m</m:t>
              </m:r>
            </m:e>
            <m:sub>
              <m:r>
                <w:rPr>
                  <w:rFonts w:ascii="Cambria Math" w:hAnsi="Cambria Math"/>
                  <w:color w:val="000000"/>
                </w:rPr>
                <m:t>m</m:t>
              </m:r>
            </m:sub>
          </m:sSub>
          <m:r>
            <w:rPr>
              <w:rFonts w:ascii="Cambria Math" w:hAnsi="Cambria Math"/>
              <w:color w:val="000000"/>
            </w:rPr>
            <m:t xml:space="preserve">~ </m:t>
          </m:r>
          <m:r>
            <m:rPr>
              <m:sty m:val="p"/>
            </m:rPr>
            <w:rPr>
              <w:rFonts w:ascii="Cambria Math" w:hAnsi="Cambria Math"/>
              <w:color w:val="000000"/>
            </w:rPr>
            <m:t>Poisson</m:t>
          </m:r>
          <m:r>
            <w:rPr>
              <w:rFonts w:ascii="Cambria Math" w:hAnsi="Cambria Math"/>
              <w:color w:val="000000"/>
            </w:rPr>
            <m:t>(λ)</m:t>
          </m:r>
        </m:oMath>
      </m:oMathPara>
    </w:p>
    <w:p w14:paraId="5738F7B2" w14:textId="77777777" w:rsidR="00592651" w:rsidRPr="00AC13E7" w:rsidRDefault="00592651" w:rsidP="00592651">
      <w:pPr>
        <w:widowControl w:val="0"/>
        <w:autoSpaceDE w:val="0"/>
        <w:autoSpaceDN w:val="0"/>
        <w:adjustRightInd w:val="0"/>
        <w:spacing w:after="240"/>
        <w:jc w:val="both"/>
        <w:rPr>
          <w:color w:val="000000"/>
        </w:rPr>
      </w:pPr>
      <w:r w:rsidRPr="00AC13E7">
        <w:rPr>
          <w:color w:val="000000"/>
        </w:rPr>
        <w:t xml:space="preserve">The mutations are randomly assigned to a copy number segment in the provided </w:t>
      </w:r>
      <w:r w:rsidRPr="00AC13E7">
        <w:rPr>
          <w:color w:val="000000"/>
        </w:rPr>
        <w:lastRenderedPageBreak/>
        <w:t xml:space="preserve">profile. If the multiplicity is not possible given the major and minor allele of the selected segment we adjust it to the copy number of the major allele. </w:t>
      </w:r>
    </w:p>
    <w:p w14:paraId="3F833AD6" w14:textId="77777777" w:rsidR="00592651" w:rsidRPr="00AC13E7" w:rsidRDefault="00592651" w:rsidP="00592651">
      <w:pPr>
        <w:widowControl w:val="0"/>
        <w:autoSpaceDE w:val="0"/>
        <w:autoSpaceDN w:val="0"/>
        <w:adjustRightInd w:val="0"/>
        <w:spacing w:after="240"/>
        <w:jc w:val="both"/>
        <w:rPr>
          <w:color w:val="000000"/>
        </w:rPr>
      </w:pPr>
      <w:r w:rsidRPr="00AC13E7">
        <w:rPr>
          <w:color w:val="000000"/>
        </w:rPr>
        <w:t>Then the number of reads per chromosome copy for the tumour (</w:t>
      </w:r>
      <w:r w:rsidRPr="00AC13E7">
        <w:rPr>
          <w:i/>
          <w:iCs/>
          <w:color w:val="000000"/>
        </w:rPr>
        <w:t>c</w:t>
      </w:r>
      <w:r w:rsidRPr="00AC13E7">
        <w:rPr>
          <w:i/>
          <w:iCs/>
          <w:color w:val="000000"/>
          <w:position w:val="-6"/>
        </w:rPr>
        <w:t>t</w:t>
      </w:r>
      <w:r w:rsidRPr="00AC13E7">
        <w:rPr>
          <w:color w:val="000000"/>
        </w:rPr>
        <w:t>) and normal (</w:t>
      </w:r>
      <w:r w:rsidRPr="00AC13E7">
        <w:rPr>
          <w:i/>
          <w:iCs/>
          <w:color w:val="000000"/>
        </w:rPr>
        <w:t>c</w:t>
      </w:r>
      <w:r w:rsidRPr="00AC13E7">
        <w:rPr>
          <w:i/>
          <w:iCs/>
          <w:color w:val="000000"/>
          <w:position w:val="-6"/>
        </w:rPr>
        <w:t>n</w:t>
      </w:r>
      <w:r w:rsidRPr="00AC13E7">
        <w:rPr>
          <w:color w:val="000000"/>
        </w:rPr>
        <w:t>) cells are calculated from the total coverage (</w:t>
      </w:r>
      <w:r w:rsidRPr="00AC13E7">
        <w:rPr>
          <w:i/>
          <w:iCs/>
          <w:color w:val="000000"/>
        </w:rPr>
        <w:t>C</w:t>
      </w:r>
      <w:r w:rsidRPr="00AC13E7">
        <w:rPr>
          <w:color w:val="000000"/>
        </w:rPr>
        <w:t>), tumour purity (ρ) and tumour ploidy (ψ</w:t>
      </w:r>
      <w:r w:rsidRPr="00AC13E7">
        <w:rPr>
          <w:i/>
          <w:iCs/>
          <w:color w:val="000000"/>
          <w:position w:val="-6"/>
        </w:rPr>
        <w:t>t</w:t>
      </w:r>
      <w:r w:rsidRPr="00AC13E7">
        <w:rPr>
          <w:color w:val="000000"/>
        </w:rPr>
        <w:t xml:space="preserve">). The total copy number of the normal cells is assumed to be 2: </w:t>
      </w:r>
    </w:p>
    <w:p w14:paraId="2874EF0C" w14:textId="77777777" w:rsidR="00592651" w:rsidRPr="00AC13E7" w:rsidRDefault="0036299C" w:rsidP="00592651">
      <w:pPr>
        <w:jc w:val="both"/>
      </w:pPr>
      <m:oMathPara>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=C</m:t>
          </m:r>
          <m:f>
            <m:fPr>
              <m:ctrlPr>
                <w:rPr>
                  <w:rFonts w:ascii="Cambria Math" w:hAnsi="Cambria Math"/>
                  <w:i/>
                </w:rPr>
              </m:ctrlPr>
            </m:fPr>
            <m:num>
              <m:r>
                <w:rPr>
                  <w:rFonts w:ascii="Cambria Math" w:hAnsi="Cambria Math"/>
                </w:rPr>
                <m:t>ρ</m:t>
              </m:r>
            </m:num>
            <m:den>
              <m:r>
                <w:rPr>
                  <w:rFonts w:ascii="Cambria Math" w:hAnsi="Cambria Math"/>
                </w:rPr>
                <m:t>ρ</m:t>
              </m:r>
              <m:sSub>
                <m:sSubPr>
                  <m:ctrlPr>
                    <w:rPr>
                      <w:rFonts w:ascii="Cambria Math" w:hAnsi="Cambria Math"/>
                      <w:i/>
                    </w:rPr>
                  </m:ctrlPr>
                </m:sSubPr>
                <m:e>
                  <m:r>
                    <w:rPr>
                      <w:rFonts w:ascii="Cambria Math" w:hAnsi="Cambria Math"/>
                    </w:rPr>
                    <m:t>ψ</m:t>
                  </m:r>
                </m:e>
                <m:sub>
                  <m:r>
                    <w:rPr>
                      <w:rFonts w:ascii="Cambria Math" w:hAnsi="Cambria Math"/>
                    </w:rPr>
                    <m:t>t</m:t>
                  </m:r>
                </m:sub>
              </m:sSub>
              <m:r>
                <w:rPr>
                  <w:rFonts w:ascii="Cambria Math" w:hAnsi="Cambria Math"/>
                </w:rPr>
                <m:t>+2(1-ρ)</m:t>
              </m:r>
            </m:den>
          </m:f>
        </m:oMath>
      </m:oMathPara>
    </w:p>
    <w:p w14:paraId="290367E4" w14:textId="77777777" w:rsidR="00592651" w:rsidRPr="00AC13E7" w:rsidRDefault="00592651" w:rsidP="00592651">
      <w:pPr>
        <w:jc w:val="both"/>
      </w:pPr>
    </w:p>
    <w:p w14:paraId="02B56914" w14:textId="77777777" w:rsidR="00592651" w:rsidRPr="00AC13E7" w:rsidRDefault="0036299C" w:rsidP="00592651">
      <w:pPr>
        <w:jc w:val="both"/>
      </w:pPr>
      <m:oMathPara>
        <m:oMath>
          <m:sSub>
            <m:sSubPr>
              <m:ctrlPr>
                <w:rPr>
                  <w:rFonts w:ascii="Cambria Math" w:hAnsi="Cambria Math"/>
                  <w:i/>
                </w:rPr>
              </m:ctrlPr>
            </m:sSubPr>
            <m:e>
              <m:r>
                <w:rPr>
                  <w:rFonts w:ascii="Cambria Math" w:hAnsi="Cambria Math"/>
                </w:rPr>
                <m:t>c</m:t>
              </m:r>
            </m:e>
            <m:sub>
              <m:r>
                <w:rPr>
                  <w:rFonts w:ascii="Cambria Math" w:hAnsi="Cambria Math"/>
                </w:rPr>
                <m:t>n</m:t>
              </m:r>
            </m:sub>
          </m:sSub>
          <m:r>
            <w:rPr>
              <w:rFonts w:ascii="Cambria Math" w:hAnsi="Cambria Math"/>
            </w:rPr>
            <m:t>=C</m:t>
          </m:r>
          <m:f>
            <m:fPr>
              <m:ctrlPr>
                <w:rPr>
                  <w:rFonts w:ascii="Cambria Math" w:hAnsi="Cambria Math"/>
                  <w:i/>
                </w:rPr>
              </m:ctrlPr>
            </m:fPr>
            <m:num>
              <m:r>
                <w:rPr>
                  <w:rFonts w:ascii="Cambria Math" w:hAnsi="Cambria Math"/>
                </w:rPr>
                <m:t>1-ρ</m:t>
              </m:r>
            </m:num>
            <m:den>
              <m:r>
                <w:rPr>
                  <w:rFonts w:ascii="Cambria Math" w:hAnsi="Cambria Math"/>
                </w:rPr>
                <m:t>ρ</m:t>
              </m:r>
              <m:sSub>
                <m:sSubPr>
                  <m:ctrlPr>
                    <w:rPr>
                      <w:rFonts w:ascii="Cambria Math" w:hAnsi="Cambria Math"/>
                      <w:i/>
                    </w:rPr>
                  </m:ctrlPr>
                </m:sSubPr>
                <m:e>
                  <m:r>
                    <w:rPr>
                      <w:rFonts w:ascii="Cambria Math" w:hAnsi="Cambria Math"/>
                    </w:rPr>
                    <m:t>ψ</m:t>
                  </m:r>
                </m:e>
                <m:sub>
                  <m:r>
                    <w:rPr>
                      <w:rFonts w:ascii="Cambria Math" w:hAnsi="Cambria Math"/>
                    </w:rPr>
                    <m:t>t</m:t>
                  </m:r>
                </m:sub>
              </m:sSub>
              <m:r>
                <w:rPr>
                  <w:rFonts w:ascii="Cambria Math" w:hAnsi="Cambria Math"/>
                </w:rPr>
                <m:t>+2(1-ρ)</m:t>
              </m:r>
            </m:den>
          </m:f>
        </m:oMath>
      </m:oMathPara>
    </w:p>
    <w:p w14:paraId="048CD02D" w14:textId="77777777" w:rsidR="00592651" w:rsidRPr="00AC13E7" w:rsidRDefault="00592651" w:rsidP="00592651">
      <w:pPr>
        <w:jc w:val="both"/>
      </w:pPr>
    </w:p>
    <w:p w14:paraId="291B12C3" w14:textId="77777777" w:rsidR="00592651" w:rsidRPr="00AC13E7" w:rsidRDefault="00592651" w:rsidP="00592651">
      <w:pPr>
        <w:widowControl w:val="0"/>
        <w:autoSpaceDE w:val="0"/>
        <w:autoSpaceDN w:val="0"/>
        <w:adjustRightInd w:val="0"/>
        <w:spacing w:after="240"/>
        <w:jc w:val="both"/>
        <w:rPr>
          <w:color w:val="000000"/>
        </w:rPr>
      </w:pPr>
      <w:r w:rsidRPr="00AC13E7">
        <w:rPr>
          <w:color w:val="000000"/>
        </w:rPr>
        <w:t xml:space="preserve">The expected number of mutant alleles </w:t>
      </w:r>
      <w:r w:rsidRPr="00AC13E7">
        <w:rPr>
          <w:i/>
          <w:iCs/>
          <w:color w:val="000000"/>
        </w:rPr>
        <w:t>r</w:t>
      </w:r>
      <w:r w:rsidRPr="00AC13E7">
        <w:rPr>
          <w:i/>
          <w:iCs/>
          <w:color w:val="000000"/>
          <w:position w:val="-6"/>
        </w:rPr>
        <w:t xml:space="preserve">m </w:t>
      </w:r>
      <w:r w:rsidRPr="00AC13E7">
        <w:rPr>
          <w:color w:val="000000"/>
        </w:rPr>
        <w:t>is determined by the multiplicity of the mutation, the mutation’s fraction of tumour cells (</w:t>
      </w:r>
      <w:r w:rsidRPr="00AC13E7">
        <w:rPr>
          <w:i/>
          <w:iCs/>
          <w:color w:val="000000"/>
        </w:rPr>
        <w:t>f</w:t>
      </w:r>
      <w:r w:rsidRPr="00AC13E7">
        <w:rPr>
          <w:color w:val="000000"/>
        </w:rPr>
        <w:t>) and the number of reads per tumour chromosome copy (</w:t>
      </w:r>
      <w:r w:rsidRPr="00AC13E7">
        <w:rPr>
          <w:i/>
          <w:iCs/>
          <w:color w:val="000000"/>
        </w:rPr>
        <w:t>c</w:t>
      </w:r>
      <w:r w:rsidRPr="00AC13E7">
        <w:rPr>
          <w:i/>
          <w:iCs/>
          <w:color w:val="000000"/>
          <w:position w:val="-6"/>
        </w:rPr>
        <w:t>t</w:t>
      </w:r>
      <w:r w:rsidRPr="00AC13E7">
        <w:rPr>
          <w:color w:val="000000"/>
        </w:rPr>
        <w:t xml:space="preserve">): </w:t>
      </w:r>
    </w:p>
    <w:p w14:paraId="0EAB8718" w14:textId="77777777" w:rsidR="00592651" w:rsidRPr="00AC13E7" w:rsidRDefault="00592651" w:rsidP="00592651">
      <w:pPr>
        <w:jc w:val="both"/>
      </w:pPr>
      <m:oMathPara>
        <m:oMath>
          <m:r>
            <m:rPr>
              <m:scr m:val="double-struck"/>
            </m:rP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m</m:t>
                  </m:r>
                </m:sub>
              </m:sSub>
            </m:e>
          </m:d>
          <m:r>
            <w:rPr>
              <w:rFonts w:ascii="Cambria Math" w:hAnsi="Cambria Math"/>
            </w:rPr>
            <m:t xml:space="preserve">= </m:t>
          </m:r>
          <m:sSub>
            <m:sSubPr>
              <m:ctrlPr>
                <w:rPr>
                  <w:rFonts w:ascii="Cambria Math" w:hAnsi="Cambria Math"/>
                  <w:i/>
                </w:rPr>
              </m:ctrlPr>
            </m:sSubPr>
            <m:e>
              <m:r>
                <w:rPr>
                  <w:rFonts w:ascii="Cambria Math" w:hAnsi="Cambria Math"/>
                </w:rPr>
                <m:t>m</m:t>
              </m:r>
            </m:e>
            <m:sub>
              <m:r>
                <w:rPr>
                  <w:rFonts w:ascii="Cambria Math" w:hAnsi="Cambria Math"/>
                </w:rPr>
                <m:t>m</m:t>
              </m:r>
            </m:sub>
          </m:sSub>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t</m:t>
              </m:r>
            </m:sub>
          </m:sSub>
        </m:oMath>
      </m:oMathPara>
    </w:p>
    <w:p w14:paraId="656A5A27" w14:textId="77777777" w:rsidR="00592651" w:rsidRPr="00AC13E7" w:rsidRDefault="00592651" w:rsidP="00592651">
      <w:pPr>
        <w:widowControl w:val="0"/>
        <w:autoSpaceDE w:val="0"/>
        <w:autoSpaceDN w:val="0"/>
        <w:adjustRightInd w:val="0"/>
        <w:spacing w:after="240"/>
        <w:jc w:val="both"/>
        <w:rPr>
          <w:color w:val="000000"/>
        </w:rPr>
      </w:pPr>
    </w:p>
    <w:p w14:paraId="3C1175BA" w14:textId="77777777" w:rsidR="00592651" w:rsidRPr="00AC13E7" w:rsidRDefault="00592651" w:rsidP="00592651">
      <w:pPr>
        <w:widowControl w:val="0"/>
        <w:autoSpaceDE w:val="0"/>
        <w:autoSpaceDN w:val="0"/>
        <w:adjustRightInd w:val="0"/>
        <w:spacing w:after="240"/>
        <w:jc w:val="both"/>
        <w:rPr>
          <w:color w:val="000000"/>
        </w:rPr>
      </w:pPr>
      <w:r w:rsidRPr="00AC13E7">
        <w:rPr>
          <w:color w:val="000000"/>
        </w:rPr>
        <w:t xml:space="preserve">The expected number of wild type alleles </w:t>
      </w:r>
      <w:r w:rsidRPr="00AC13E7">
        <w:rPr>
          <w:i/>
          <w:iCs/>
          <w:color w:val="000000"/>
        </w:rPr>
        <w:t>r</w:t>
      </w:r>
      <w:r w:rsidRPr="00AC13E7">
        <w:rPr>
          <w:i/>
          <w:iCs/>
          <w:color w:val="000000"/>
          <w:position w:val="-6"/>
        </w:rPr>
        <w:t xml:space="preserve">w </w:t>
      </w:r>
      <w:r w:rsidRPr="00AC13E7">
        <w:rPr>
          <w:color w:val="000000"/>
        </w:rPr>
        <w:t xml:space="preserve">consists of three components: (1) Reads from normal cells (can be zero when the sample is pure and does not contain normal cells), (2) reads from whole chromosome copies from tumour cells that are not carrying the mutation (can also be zero when the copy number is 1+0) and (3) if the mutation is subclonal, an additional number of reads from cells that are not part of the subclone that carries the mutation: </w:t>
      </w:r>
    </w:p>
    <w:p w14:paraId="04DE43C8" w14:textId="77777777" w:rsidR="00592651" w:rsidRPr="00AC13E7" w:rsidRDefault="00592651" w:rsidP="00592651">
      <w:pPr>
        <w:jc w:val="both"/>
      </w:pPr>
      <m:oMathPara>
        <m:oMath>
          <m:r>
            <m:rPr>
              <m:scr m:val="double-struck"/>
            </m:rP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w</m:t>
                  </m:r>
                </m:sub>
              </m:sSub>
            </m:e>
          </m:d>
          <m:r>
            <w:rPr>
              <w:rFonts w:ascii="Cambria Math" w:hAnsi="Cambria Math"/>
            </w:rPr>
            <m:t>= 2</m:t>
          </m:r>
          <m:sSub>
            <m:sSubPr>
              <m:ctrlPr>
                <w:rPr>
                  <w:rFonts w:ascii="Cambria Math" w:hAnsi="Cambria Math"/>
                  <w:i/>
                </w:rPr>
              </m:ctrlPr>
            </m:sSubPr>
            <m:e>
              <m:r>
                <w:rPr>
                  <w:rFonts w:ascii="Cambria Math" w:hAnsi="Cambria Math"/>
                </w:rPr>
                <m:t>c</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w</m:t>
              </m:r>
            </m:sub>
          </m:sSub>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m</m:t>
              </m:r>
            </m:sub>
          </m:sSub>
          <m:d>
            <m:dPr>
              <m:ctrlPr>
                <w:rPr>
                  <w:rFonts w:ascii="Cambria Math" w:hAnsi="Cambria Math"/>
                  <w:i/>
                </w:rPr>
              </m:ctrlPr>
            </m:dPr>
            <m:e>
              <m:r>
                <w:rPr>
                  <w:rFonts w:ascii="Cambria Math" w:hAnsi="Cambria Math"/>
                </w:rPr>
                <m:t>1-f</m:t>
              </m:r>
            </m:e>
          </m:d>
          <m:sSub>
            <m:sSubPr>
              <m:ctrlPr>
                <w:rPr>
                  <w:rFonts w:ascii="Cambria Math" w:hAnsi="Cambria Math"/>
                  <w:i/>
                </w:rPr>
              </m:ctrlPr>
            </m:sSubPr>
            <m:e>
              <m:r>
                <w:rPr>
                  <w:rFonts w:ascii="Cambria Math" w:hAnsi="Cambria Math"/>
                </w:rPr>
                <m:t>c</m:t>
              </m:r>
            </m:e>
            <m:sub>
              <m:r>
                <w:rPr>
                  <w:rFonts w:ascii="Cambria Math" w:hAnsi="Cambria Math"/>
                </w:rPr>
                <m:t>t</m:t>
              </m:r>
            </m:sub>
          </m:sSub>
        </m:oMath>
      </m:oMathPara>
    </w:p>
    <w:p w14:paraId="5DDAEFA6" w14:textId="79841D15" w:rsidR="00592651" w:rsidRPr="00AC13E7" w:rsidRDefault="00592651" w:rsidP="00592651">
      <w:pPr>
        <w:widowControl w:val="0"/>
        <w:autoSpaceDE w:val="0"/>
        <w:autoSpaceDN w:val="0"/>
        <w:adjustRightInd w:val="0"/>
        <w:spacing w:after="240"/>
        <w:jc w:val="both"/>
        <w:rPr>
          <w:color w:val="000000"/>
        </w:rPr>
      </w:pPr>
      <w:r w:rsidRPr="00AC13E7">
        <w:rPr>
          <w:color w:val="000000"/>
        </w:rPr>
        <w:t xml:space="preserve">The total number of observed reads </w:t>
      </w:r>
      <w:r w:rsidR="00650D3D">
        <w:rPr>
          <w:color w:val="000000"/>
        </w:rPr>
        <w:t>is</w:t>
      </w:r>
      <w:r w:rsidRPr="00AC13E7">
        <w:rPr>
          <w:color w:val="000000"/>
        </w:rPr>
        <w:t xml:space="preserve"> then drawn from a Poisson distribution: </w:t>
      </w:r>
    </w:p>
    <w:p w14:paraId="3328A2A6" w14:textId="77777777" w:rsidR="00592651" w:rsidRPr="00AC13E7" w:rsidRDefault="0036299C" w:rsidP="00592651">
      <w:pPr>
        <w:jc w:val="both"/>
      </w:pPr>
      <m:oMathPara>
        <m:oMath>
          <m:sSub>
            <m:sSubPr>
              <m:ctrlPr>
                <w:rPr>
                  <w:rFonts w:ascii="Cambria Math" w:hAnsi="Cambria Math"/>
                  <w:i/>
                </w:rPr>
              </m:ctrlPr>
            </m:sSubPr>
            <m:e>
              <m:r>
                <w:rPr>
                  <w:rFonts w:ascii="Cambria Math" w:hAnsi="Cambria Math"/>
                </w:rPr>
                <m:t>r</m:t>
              </m:r>
            </m:e>
            <m:sub>
              <m:r>
                <w:rPr>
                  <w:rFonts w:ascii="Cambria Math" w:hAnsi="Cambria Math"/>
                </w:rPr>
                <m:t>d</m:t>
              </m:r>
            </m:sub>
          </m:sSub>
          <m:r>
            <w:rPr>
              <w:rFonts w:ascii="Cambria Math" w:hAnsi="Cambria Math"/>
            </w:rPr>
            <m:t>~</m:t>
          </m:r>
          <m:r>
            <m:rPr>
              <m:sty m:val="p"/>
            </m:rPr>
            <w:rPr>
              <w:rFonts w:ascii="Cambria Math" w:hAnsi="Cambria Math"/>
            </w:rPr>
            <m:t>Poisson</m:t>
          </m:r>
          <m:r>
            <m:rPr>
              <m:scr m:val="double-struck"/>
            </m:rP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m</m:t>
                  </m:r>
                </m:sub>
              </m:sSub>
            </m:e>
          </m:d>
          <m:r>
            <m:rPr>
              <m:scr m:val="double-struck"/>
            </m:rP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w</m:t>
                  </m:r>
                </m:sub>
              </m:sSub>
            </m:e>
          </m:d>
          <m:r>
            <w:rPr>
              <w:rFonts w:ascii="Cambria Math" w:hAnsi="Cambria Math"/>
            </w:rPr>
            <m:t>)</m:t>
          </m:r>
        </m:oMath>
      </m:oMathPara>
    </w:p>
    <w:p w14:paraId="38F490FF" w14:textId="77777777" w:rsidR="00592651" w:rsidRPr="00AC13E7" w:rsidRDefault="00592651" w:rsidP="00592651">
      <w:pPr>
        <w:widowControl w:val="0"/>
        <w:autoSpaceDE w:val="0"/>
        <w:autoSpaceDN w:val="0"/>
        <w:adjustRightInd w:val="0"/>
        <w:spacing w:after="240"/>
        <w:jc w:val="both"/>
        <w:rPr>
          <w:color w:val="000000"/>
        </w:rPr>
      </w:pPr>
      <w:r w:rsidRPr="00AC13E7">
        <w:rPr>
          <w:color w:val="000000"/>
        </w:rPr>
        <w:t xml:space="preserve">And the final mutant and wild type alleles are determined by a draw from a binomial distribution: </w:t>
      </w:r>
    </w:p>
    <w:p w14:paraId="196B668C" w14:textId="77777777" w:rsidR="00592651" w:rsidRPr="00AC13E7" w:rsidRDefault="0036299C" w:rsidP="00592651">
      <w:pPr>
        <w:jc w:val="both"/>
      </w:pPr>
      <m:oMathPara>
        <m:oMath>
          <m:sSub>
            <m:sSubPr>
              <m:ctrlPr>
                <w:rPr>
                  <w:rFonts w:ascii="Cambria Math" w:hAnsi="Cambria Math"/>
                  <w:i/>
                </w:rPr>
              </m:ctrlPr>
            </m:sSubPr>
            <m:e>
              <m:r>
                <w:rPr>
                  <w:rFonts w:ascii="Cambria Math" w:hAnsi="Cambria Math"/>
                </w:rPr>
                <m:t>r</m:t>
              </m:r>
            </m:e>
            <m:sub>
              <m:r>
                <w:rPr>
                  <w:rFonts w:ascii="Cambria Math" w:hAnsi="Cambria Math"/>
                </w:rPr>
                <m:t>m</m:t>
              </m:r>
            </m:sub>
          </m:sSub>
          <m:r>
            <w:rPr>
              <w:rFonts w:ascii="Cambria Math" w:hAnsi="Cambria Math"/>
            </w:rPr>
            <m:t>~</m:t>
          </m:r>
          <m:r>
            <m:rPr>
              <m:sty m:val="p"/>
            </m:rPr>
            <w:rPr>
              <w:rFonts w:ascii="Cambria Math" w:hAnsi="Cambria Math"/>
            </w:rPr>
            <m:t>Binomial</m:t>
          </m:r>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d</m:t>
              </m:r>
            </m:sub>
          </m:sSub>
          <m:r>
            <w:rPr>
              <w:rFonts w:ascii="Cambria Math" w:hAnsi="Cambria Math"/>
            </w:rPr>
            <m:t>,</m:t>
          </m:r>
          <m:f>
            <m:fPr>
              <m:ctrlPr>
                <w:rPr>
                  <w:rFonts w:ascii="Cambria Math" w:hAnsi="Cambria Math"/>
                  <w:i/>
                </w:rPr>
              </m:ctrlPr>
            </m:fPr>
            <m:num>
              <m:r>
                <m:rPr>
                  <m:scr m:val="double-struck"/>
                </m:rPr>
                <w:rPr>
                  <w:rFonts w:ascii="Cambria Math" w:hAnsi="Cambria Math"/>
                </w:rPr>
                <m:t>E(</m:t>
              </m:r>
              <m:sSub>
                <m:sSubPr>
                  <m:ctrlPr>
                    <w:rPr>
                      <w:rFonts w:ascii="Cambria Math" w:hAnsi="Cambria Math"/>
                      <w:i/>
                    </w:rPr>
                  </m:ctrlPr>
                </m:sSubPr>
                <m:e>
                  <m:r>
                    <w:rPr>
                      <w:rFonts w:ascii="Cambria Math" w:hAnsi="Cambria Math"/>
                    </w:rPr>
                    <m:t>r</m:t>
                  </m:r>
                </m:e>
                <m:sub>
                  <m:r>
                    <w:rPr>
                      <w:rFonts w:ascii="Cambria Math" w:hAnsi="Cambria Math"/>
                    </w:rPr>
                    <m:t>m</m:t>
                  </m:r>
                </m:sub>
              </m:sSub>
              <m:r>
                <w:rPr>
                  <w:rFonts w:ascii="Cambria Math" w:hAnsi="Cambria Math"/>
                </w:rPr>
                <m:t>)</m:t>
              </m:r>
            </m:num>
            <m:den>
              <m:r>
                <m:rPr>
                  <m:scr m:val="double-struck"/>
                </m:rP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m</m:t>
                      </m:r>
                    </m:sub>
                  </m:sSub>
                </m:e>
              </m:d>
              <m:r>
                <m:rPr>
                  <m:scr m:val="double-struck"/>
                </m:rPr>
                <w:rPr>
                  <w:rFonts w:ascii="Cambria Math" w:hAnsi="Cambria Math"/>
                </w:rPr>
                <m:t>+E(</m:t>
              </m:r>
              <m:sSub>
                <m:sSubPr>
                  <m:ctrlPr>
                    <w:rPr>
                      <w:rFonts w:ascii="Cambria Math" w:hAnsi="Cambria Math"/>
                      <w:i/>
                    </w:rPr>
                  </m:ctrlPr>
                </m:sSubPr>
                <m:e>
                  <m:r>
                    <w:rPr>
                      <w:rFonts w:ascii="Cambria Math" w:hAnsi="Cambria Math"/>
                    </w:rPr>
                    <m:t>r</m:t>
                  </m:r>
                </m:e>
                <m:sub>
                  <m:r>
                    <w:rPr>
                      <w:rFonts w:ascii="Cambria Math" w:hAnsi="Cambria Math"/>
                    </w:rPr>
                    <m:t>w</m:t>
                  </m:r>
                </m:sub>
              </m:sSub>
              <m:r>
                <w:rPr>
                  <w:rFonts w:ascii="Cambria Math" w:hAnsi="Cambria Math"/>
                </w:rPr>
                <m:t>)</m:t>
              </m:r>
            </m:den>
          </m:f>
        </m:oMath>
      </m:oMathPara>
    </w:p>
    <w:p w14:paraId="2F8FEA8C" w14:textId="77777777" w:rsidR="00592651" w:rsidRPr="00AC13E7" w:rsidRDefault="00592651" w:rsidP="00752152">
      <w:pPr>
        <w:jc w:val="both"/>
      </w:pPr>
    </w:p>
    <w:p w14:paraId="677D6CD2" w14:textId="77777777" w:rsidR="00752152" w:rsidRPr="00AC13E7" w:rsidRDefault="00752152" w:rsidP="00752152">
      <w:pPr>
        <w:rPr>
          <w:b/>
        </w:rPr>
      </w:pPr>
      <w:r w:rsidRPr="00AC13E7">
        <w:rPr>
          <w:b/>
        </w:rPr>
        <w:t>Parameter values</w:t>
      </w:r>
    </w:p>
    <w:p w14:paraId="32EA1480" w14:textId="77777777" w:rsidR="00C858BA" w:rsidRPr="00AC13E7" w:rsidRDefault="00C858BA" w:rsidP="00752152">
      <w:pPr>
        <w:rPr>
          <w:b/>
        </w:rPr>
      </w:pPr>
    </w:p>
    <w:p w14:paraId="51C4AEF2" w14:textId="77777777" w:rsidR="00752152" w:rsidRPr="00AC13E7" w:rsidRDefault="00752152" w:rsidP="00752152">
      <w:pPr>
        <w:jc w:val="both"/>
      </w:pPr>
      <w:r w:rsidRPr="00AC13E7">
        <w:t>The values for the grid parameters were taken to cover the range of values seen in the 2,778 samples from PCAWG and beyond.</w:t>
      </w:r>
    </w:p>
    <w:p w14:paraId="722A2BF8" w14:textId="77777777" w:rsidR="0084039E" w:rsidRPr="00AC13E7" w:rsidRDefault="0084039E" w:rsidP="00752152">
      <w:pPr>
        <w:jc w:val="both"/>
      </w:pPr>
    </w:p>
    <w:p w14:paraId="022EADE6" w14:textId="56E5CC71" w:rsidR="00752152" w:rsidRPr="00AC13E7" w:rsidRDefault="0084039E" w:rsidP="00752152">
      <w:pPr>
        <w:jc w:val="both"/>
      </w:pPr>
      <w:r w:rsidRPr="00AC13E7">
        <w:t>T</w:t>
      </w:r>
      <w:r w:rsidR="00752152" w:rsidRPr="00AC13E7">
        <w:t>he coverage of the simulations was fixed to the average coverage in PCAWG,</w:t>
      </w:r>
      <w:r w:rsidR="00BA6249" w:rsidRPr="00AC13E7">
        <w:t xml:space="preserve"> </w:t>
      </w:r>
      <m:oMath>
        <m:r>
          <w:rPr>
            <w:rFonts w:ascii="Cambria Math" w:hAnsi="Cambria Math"/>
          </w:rPr>
          <m:t>coverage=48.46621</m:t>
        </m:r>
      </m:oMath>
      <w:r w:rsidR="00BA6249" w:rsidRPr="00AC13E7">
        <w:t>.</w:t>
      </w:r>
    </w:p>
    <w:p w14:paraId="2F491ACE" w14:textId="77777777" w:rsidR="0084039E" w:rsidRPr="00AC13E7" w:rsidRDefault="0084039E" w:rsidP="00752152">
      <w:pPr>
        <w:jc w:val="both"/>
      </w:pPr>
    </w:p>
    <w:p w14:paraId="53D2030F" w14:textId="6F32AC43" w:rsidR="00752152" w:rsidRPr="00AC13E7" w:rsidRDefault="00752152" w:rsidP="00752152">
      <w:pPr>
        <w:jc w:val="both"/>
      </w:pPr>
      <w:r w:rsidRPr="00AC13E7">
        <w:t xml:space="preserve">Six purity clusters were selected using </w:t>
      </w:r>
      <w:r w:rsidRPr="00AC13E7">
        <w:rPr>
          <w:i/>
        </w:rPr>
        <w:t>kmeans</w:t>
      </w:r>
      <w:r w:rsidRPr="00AC13E7">
        <w:t xml:space="preserve"> on the PCAWG purity values (</w:t>
      </w:r>
      <w:r w:rsidR="00D03C34" w:rsidRPr="00AC13E7">
        <w:fldChar w:fldCharType="begin"/>
      </w:r>
      <w:r w:rsidR="00D03C34" w:rsidRPr="00AC13E7">
        <w:instrText xml:space="preserve"> REF _Ref379536748 \h </w:instrText>
      </w:r>
      <w:r w:rsidR="00D03C34" w:rsidRPr="00AC13E7">
        <w:fldChar w:fldCharType="separate"/>
      </w:r>
      <w:r w:rsidR="00673FBD" w:rsidRPr="00AC13E7">
        <w:t xml:space="preserve">Fig. </w:t>
      </w:r>
      <w:r w:rsidR="00673FBD">
        <w:rPr>
          <w:noProof/>
        </w:rPr>
        <w:t>35</w:t>
      </w:r>
      <w:r w:rsidR="00D03C34" w:rsidRPr="00AC13E7">
        <w:fldChar w:fldCharType="end"/>
      </w:r>
      <w:r w:rsidRPr="00AC13E7">
        <w:t xml:space="preserve">). Five clusters for the number of clonal mutations were defined by </w:t>
      </w:r>
      <w:r w:rsidRPr="00AC13E7">
        <w:rPr>
          <w:i/>
        </w:rPr>
        <w:t>kmeans</w:t>
      </w:r>
      <w:r w:rsidRPr="00AC13E7">
        <w:t xml:space="preserve">, one of which was fixed at </w:t>
      </w:r>
      <m:oMath>
        <m:sSub>
          <m:sSubPr>
            <m:ctrlPr>
              <w:rPr>
                <w:rFonts w:ascii="Cambria Math" w:hAnsi="Cambria Math"/>
                <w:i/>
              </w:rPr>
            </m:ctrlPr>
          </m:sSubPr>
          <m:e>
            <m:r>
              <w:rPr>
                <w:rFonts w:ascii="Cambria Math" w:hAnsi="Cambria Math"/>
              </w:rPr>
              <m:t>N</m:t>
            </m:r>
          </m:e>
          <m:sub>
            <m:r>
              <w:rPr>
                <w:rFonts w:ascii="Cambria Math" w:hAnsi="Cambria Math"/>
              </w:rPr>
              <m:t>SNV</m:t>
            </m:r>
          </m:sub>
        </m:sSub>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5</m:t>
            </m:r>
          </m:sup>
        </m:sSup>
      </m:oMath>
      <w:r w:rsidRPr="00AC13E7">
        <w:t xml:space="preserve">, to better cover hypermutators, i.e. an important corner case in real data.  Similarly five clusters for the fraction of clonal mutations </w:t>
      </w:r>
      <w:r w:rsidRPr="00AC13E7">
        <w:lastRenderedPageBreak/>
        <w:t xml:space="preserve">were defined using </w:t>
      </w:r>
      <w:r w:rsidRPr="00AC13E7">
        <w:rPr>
          <w:i/>
        </w:rPr>
        <w:t>kmeans</w:t>
      </w:r>
      <w:r w:rsidRPr="00AC13E7">
        <w:t xml:space="preserve">, one of which was fixed at </w:t>
      </w:r>
      <m:oMath>
        <m:sSub>
          <m:sSubPr>
            <m:ctrlPr>
              <w:rPr>
                <w:rFonts w:ascii="Cambria Math" w:hAnsi="Cambria Math"/>
                <w:i/>
              </w:rPr>
            </m:ctrlPr>
          </m:sSubPr>
          <m:e>
            <m:r>
              <w:rPr>
                <w:rFonts w:ascii="Cambria Math" w:hAnsi="Cambria Math"/>
              </w:rPr>
              <m:t>f</m:t>
            </m:r>
          </m:e>
          <m:sub>
            <m:r>
              <w:rPr>
                <w:rFonts w:ascii="Cambria Math" w:hAnsi="Cambria Math"/>
              </w:rPr>
              <m:t>clonal</m:t>
            </m:r>
          </m:sub>
        </m:sSub>
        <m:r>
          <w:rPr>
            <w:rFonts w:ascii="Cambria Math" w:hAnsi="Cambria Math"/>
          </w:rPr>
          <m:t>=0.995</m:t>
        </m:r>
      </m:oMath>
      <w:r w:rsidRPr="00AC13E7">
        <w:t xml:space="preserve">, to cover the typical corner case of melanomas, i.e. high </w:t>
      </w:r>
      <w:r w:rsidRPr="00AC13E7">
        <w:rPr>
          <w:i/>
        </w:rPr>
        <w:t>N</w:t>
      </w:r>
      <w:r w:rsidRPr="00AC13E7">
        <w:rPr>
          <w:i/>
          <w:vertAlign w:val="subscript"/>
        </w:rPr>
        <w:t>SNV</w:t>
      </w:r>
      <w:r w:rsidRPr="00AC13E7">
        <w:t xml:space="preserve"> and high </w:t>
      </w:r>
      <w:r w:rsidRPr="00AC13E7">
        <w:rPr>
          <w:i/>
        </w:rPr>
        <w:t>f</w:t>
      </w:r>
      <w:r w:rsidRPr="00AC13E7">
        <w:rPr>
          <w:i/>
          <w:vertAlign w:val="subscript"/>
        </w:rPr>
        <w:t>clonal</w:t>
      </w:r>
      <w:r w:rsidRPr="00AC13E7">
        <w:t xml:space="preserve">. Finally, four clusters of number of subclones were selected, corresponding to </w:t>
      </w:r>
      <m:oMath>
        <m:sSub>
          <m:sSubPr>
            <m:ctrlPr>
              <w:rPr>
                <w:rFonts w:ascii="Cambria Math" w:hAnsi="Cambria Math"/>
                <w:i/>
              </w:rPr>
            </m:ctrlPr>
          </m:sSubPr>
          <m:e>
            <m:r>
              <w:rPr>
                <w:rFonts w:ascii="Cambria Math" w:hAnsi="Cambria Math"/>
              </w:rPr>
              <m:t>N</m:t>
            </m:r>
          </m:e>
          <m:sub>
            <m:r>
              <w:rPr>
                <w:rFonts w:ascii="Cambria Math" w:hAnsi="Cambria Math"/>
              </w:rPr>
              <m:t>subclones</m:t>
            </m:r>
          </m:sub>
        </m:sSub>
        <m:r>
          <w:rPr>
            <w:rFonts w:ascii="Cambria Math" w:hAnsi="Cambria Math"/>
          </w:rPr>
          <m:t>=</m:t>
        </m:r>
        <m:d>
          <m:dPr>
            <m:begChr m:val="{"/>
            <m:endChr m:val="}"/>
            <m:ctrlPr>
              <w:rPr>
                <w:rFonts w:ascii="Cambria Math" w:hAnsi="Cambria Math"/>
                <w:i/>
              </w:rPr>
            </m:ctrlPr>
          </m:dPr>
          <m:e>
            <m:r>
              <w:rPr>
                <w:rFonts w:ascii="Cambria Math" w:hAnsi="Cambria Math"/>
              </w:rPr>
              <m:t>0,1,2,</m:t>
            </m:r>
            <m:sSup>
              <m:sSupPr>
                <m:ctrlPr>
                  <w:rPr>
                    <w:rFonts w:ascii="Cambria Math" w:hAnsi="Cambria Math"/>
                    <w:i/>
                  </w:rPr>
                </m:ctrlPr>
              </m:sSupPr>
              <m:e>
                <m:r>
                  <w:rPr>
                    <w:rFonts w:ascii="Cambria Math" w:hAnsi="Cambria Math"/>
                  </w:rPr>
                  <m:t>3</m:t>
                </m:r>
              </m:e>
              <m:sup>
                <m:r>
                  <w:rPr>
                    <w:rFonts w:ascii="Cambria Math" w:hAnsi="Cambria Math"/>
                  </w:rPr>
                  <m:t>+</m:t>
                </m:r>
              </m:sup>
            </m:sSup>
          </m:e>
        </m:d>
      </m:oMath>
      <w:r w:rsidRPr="00AC13E7">
        <w:t xml:space="preserve">, where </w:t>
      </w:r>
      <w:r w:rsidR="00985DCD" w:rsidRPr="00AC13E7">
        <w:t xml:space="preserve">the number of subclones in the </w:t>
      </w:r>
      <w:r w:rsidRPr="00AC13E7">
        <w:t>3</w:t>
      </w:r>
      <w:r w:rsidRPr="00AC13E7">
        <w:rPr>
          <w:vertAlign w:val="superscript"/>
        </w:rPr>
        <w:t>+</w:t>
      </w:r>
      <w:r w:rsidRPr="00AC13E7">
        <w:t xml:space="preserve"> </w:t>
      </w:r>
      <w:r w:rsidR="00985DCD" w:rsidRPr="00AC13E7">
        <w:t>categories was drawn</w:t>
      </w:r>
      <w:r w:rsidRPr="00AC13E7">
        <w:t xml:space="preserve"> </w:t>
      </w:r>
      <w:r w:rsidR="009313A4" w:rsidRPr="00AC13E7">
        <w:t xml:space="preserve">uniformly </w:t>
      </w:r>
      <w:r w:rsidR="00985DCD" w:rsidRPr="00AC13E7">
        <w:t>from</w:t>
      </w:r>
      <w:r w:rsidRPr="00AC13E7">
        <w:t xml:space="preserve"> </w:t>
      </w:r>
      <w:r w:rsidR="00266EDA" w:rsidRPr="00AC13E7">
        <w:t xml:space="preserve">{3,4,5,6,7}. </w:t>
      </w:r>
    </w:p>
    <w:p w14:paraId="3ACC25C2" w14:textId="77777777" w:rsidR="00752152" w:rsidRPr="00AC13E7" w:rsidRDefault="00752152" w:rsidP="00752152">
      <w:pPr>
        <w:jc w:val="both"/>
      </w:pPr>
    </w:p>
    <w:p w14:paraId="44D163C2" w14:textId="77777777" w:rsidR="00752152" w:rsidRPr="00AC13E7" w:rsidRDefault="00752152" w:rsidP="00752152">
      <w:pPr>
        <w:jc w:val="both"/>
      </w:pPr>
    </w:p>
    <w:p w14:paraId="1AB6B9D2" w14:textId="51FD5930" w:rsidR="00F05DA6" w:rsidRPr="00AC13E7" w:rsidRDefault="00592651" w:rsidP="00F05DA6">
      <w:pPr>
        <w:keepNext/>
        <w:jc w:val="both"/>
      </w:pPr>
      <w:r w:rsidRPr="00AC13E7">
        <w:rPr>
          <w:noProof/>
          <w:lang w:eastAsia="en-GB"/>
        </w:rPr>
        <w:drawing>
          <wp:inline distT="0" distB="0" distL="0" distR="0" wp14:anchorId="7F535F86" wp14:editId="3C8496C2">
            <wp:extent cx="5264785" cy="3349625"/>
            <wp:effectExtent l="0" t="0" r="0" b="3175"/>
            <wp:docPr id="12" name="Picture 12" descr="../Google%20Drive/sd11/PhD/Main%20project/Thesis/texstudio/chapter_validation/Figs/simclone1000_simulations_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ogle%20Drive/sd11/PhD/Main%20project/Thesis/texstudio/chapter_validation/Figs/simclone1000_simulations_gri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4785" cy="3349625"/>
                    </a:xfrm>
                    <a:prstGeom prst="rect">
                      <a:avLst/>
                    </a:prstGeom>
                    <a:noFill/>
                    <a:ln>
                      <a:noFill/>
                    </a:ln>
                  </pic:spPr>
                </pic:pic>
              </a:graphicData>
            </a:graphic>
          </wp:inline>
        </w:drawing>
      </w:r>
    </w:p>
    <w:p w14:paraId="30323112" w14:textId="48E0F4ED" w:rsidR="00752152" w:rsidRPr="00AC13E7" w:rsidRDefault="00F05DA6" w:rsidP="004916C9">
      <w:pPr>
        <w:pStyle w:val="Caption"/>
        <w:rPr>
          <w:color w:val="auto"/>
        </w:rPr>
      </w:pPr>
      <w:bookmarkStart w:id="212" w:name="_Ref379536748"/>
      <w:bookmarkStart w:id="213" w:name="_Toc384459606"/>
      <w:r w:rsidRPr="00AC13E7">
        <w:t xml:space="preserve">Fig. </w:t>
      </w:r>
      <w:r w:rsidR="001003E9">
        <w:fldChar w:fldCharType="begin"/>
      </w:r>
      <w:r w:rsidR="001003E9">
        <w:instrText xml:space="preserve"> SEQ Fig. \* ARABIC </w:instrText>
      </w:r>
      <w:r w:rsidR="001003E9">
        <w:fldChar w:fldCharType="separate"/>
      </w:r>
      <w:r w:rsidR="00673FBD">
        <w:rPr>
          <w:noProof/>
        </w:rPr>
        <w:t>35</w:t>
      </w:r>
      <w:r w:rsidR="001003E9">
        <w:rPr>
          <w:noProof/>
        </w:rPr>
        <w:fldChar w:fldCharType="end"/>
      </w:r>
      <w:bookmarkEnd w:id="212"/>
      <w:r w:rsidR="00752152" w:rsidRPr="00AC13E7">
        <w:rPr>
          <w:color w:val="auto"/>
        </w:rPr>
        <w:t xml:space="preserve"> </w:t>
      </w:r>
      <w:r w:rsidR="00592651" w:rsidRPr="00AC13E7">
        <w:t xml:space="preserve">The simulated data set was created as a grid with four axis. Each axis represents a type of measurement that can be obtained from real data. This </w:t>
      </w:r>
      <w:r w:rsidR="0084039E" w:rsidRPr="00AC13E7">
        <w:t>fi</w:t>
      </w:r>
      <w:r w:rsidR="00592651" w:rsidRPr="00AC13E7">
        <w:t>gure shows the histogram of these four measurements from the PCAWG data and the colours represent bins along each grid axis. A simulated tumour falls somewhere on the grid, which amounts to a combination of 4 bins (one on each axis). The parameters for this sample are then generated by sampling a single value from each of the 4 bins.</w:t>
      </w:r>
      <w:bookmarkEnd w:id="213"/>
    </w:p>
    <w:p w14:paraId="30756E90" w14:textId="47EBDDCE" w:rsidR="00752152" w:rsidRPr="00AC13E7" w:rsidRDefault="00752152" w:rsidP="00752152">
      <w:r w:rsidRPr="00AC13E7">
        <w:t xml:space="preserve">This led to </w:t>
      </w:r>
      <m:oMath>
        <m:r>
          <w:rPr>
            <w:rFonts w:ascii="Cambria Math" w:hAnsi="Cambria Math"/>
          </w:rPr>
          <m:t>N=6×5×5×4=600</m:t>
        </m:r>
      </m:oMath>
      <w:r w:rsidRPr="00AC13E7">
        <w:t xml:space="preserve"> combinations of grid parameter values.</w:t>
      </w:r>
    </w:p>
    <w:p w14:paraId="3EA9013A" w14:textId="77777777" w:rsidR="00AC36B1" w:rsidRPr="00AC13E7" w:rsidRDefault="00AC36B1" w:rsidP="00752152">
      <w:pPr>
        <w:rPr>
          <w:rFonts w:ascii="Times" w:hAnsi="Times"/>
          <w:b/>
          <w:bCs/>
          <w:sz w:val="36"/>
          <w:szCs w:val="36"/>
        </w:rPr>
      </w:pPr>
    </w:p>
    <w:p w14:paraId="241F4EF3" w14:textId="77777777" w:rsidR="00752152" w:rsidRPr="00AC13E7" w:rsidRDefault="00752152" w:rsidP="00752152">
      <w:pPr>
        <w:rPr>
          <w:b/>
        </w:rPr>
      </w:pPr>
      <w:r w:rsidRPr="00AC13E7">
        <w:rPr>
          <w:b/>
        </w:rPr>
        <w:t xml:space="preserve">Limit overfitting of the grid - adding noise </w:t>
      </w:r>
    </w:p>
    <w:p w14:paraId="5921515C" w14:textId="77777777" w:rsidR="00C858BA" w:rsidRPr="00AC13E7" w:rsidRDefault="00C858BA" w:rsidP="00752152">
      <w:pPr>
        <w:rPr>
          <w:b/>
        </w:rPr>
      </w:pPr>
    </w:p>
    <w:p w14:paraId="60248270" w14:textId="77777777" w:rsidR="00752152" w:rsidRPr="00AC13E7" w:rsidRDefault="00752152" w:rsidP="00752152">
      <w:pPr>
        <w:jc w:val="both"/>
      </w:pPr>
      <w:r w:rsidRPr="00AC13E7">
        <w:t>To limit the ability for individual methods to infer the grid design and thus tune their output to better (over-)fit the grid, we added noise in the input simulations at multiple levels:</w:t>
      </w:r>
    </w:p>
    <w:p w14:paraId="73ACEB6F" w14:textId="77777777" w:rsidR="00752152" w:rsidRPr="00AC13E7" w:rsidRDefault="00752152" w:rsidP="00752152">
      <w:pPr>
        <w:pStyle w:val="ListParagraph"/>
        <w:numPr>
          <w:ilvl w:val="0"/>
          <w:numId w:val="24"/>
        </w:numPr>
        <w:jc w:val="both"/>
        <w:rPr>
          <w:b/>
          <w:lang w:val="en-GB"/>
        </w:rPr>
      </w:pPr>
      <w:r w:rsidRPr="00AC13E7">
        <w:rPr>
          <w:b/>
          <w:lang w:val="en-GB"/>
        </w:rPr>
        <w:t>grid coverage</w:t>
      </w:r>
    </w:p>
    <w:p w14:paraId="4BD0FEFB" w14:textId="20D97F4E" w:rsidR="00752152" w:rsidRPr="00AC13E7" w:rsidRDefault="00752152" w:rsidP="00752152">
      <w:pPr>
        <w:jc w:val="both"/>
      </w:pPr>
      <w:r w:rsidRPr="00AC13E7">
        <w:t xml:space="preserve">From 600 combinations of parameters for the grid, i.e. the </w:t>
      </w:r>
      <w:r w:rsidRPr="00AC13E7">
        <w:rPr>
          <w:i/>
        </w:rPr>
        <w:t>wholebatch</w:t>
      </w:r>
      <w:r w:rsidRPr="00AC13E7">
        <w:t xml:space="preserve">, we randomly selected 700 combinations with replacement in two passes: a first selection of 600 combinations with replacement from </w:t>
      </w:r>
      <w:r w:rsidRPr="00AC13E7">
        <w:rPr>
          <w:i/>
        </w:rPr>
        <w:t>wholebatch</w:t>
      </w:r>
      <w:r w:rsidRPr="00AC13E7">
        <w:t xml:space="preserve"> yielded </w:t>
      </w:r>
      <w:r w:rsidRPr="00AC13E7">
        <w:rPr>
          <w:i/>
        </w:rPr>
        <w:t>batch1</w:t>
      </w:r>
      <w:r w:rsidRPr="00AC13E7">
        <w:t xml:space="preserve">; a second selection of 100 combinations with replacement from </w:t>
      </w:r>
      <m:oMath>
        <m:d>
          <m:dPr>
            <m:begChr m:val="{"/>
            <m:endChr m:val="}"/>
            <m:ctrlPr>
              <w:rPr>
                <w:rFonts w:ascii="Cambria Math" w:hAnsi="Cambria Math"/>
                <w:i/>
              </w:rPr>
            </m:ctrlPr>
          </m:dPr>
          <m:e>
            <m:r>
              <w:rPr>
                <w:rFonts w:ascii="Cambria Math" w:hAnsi="Cambria Math"/>
              </w:rPr>
              <m:t>subbatch | subbatch∈wholebatch, subbatch ∉batch1</m:t>
            </m:r>
          </m:e>
        </m:d>
      </m:oMath>
      <w:r w:rsidRPr="00AC13E7">
        <w:t xml:space="preserve"> yielded </w:t>
      </w:r>
      <w:r w:rsidRPr="00AC13E7">
        <w:rPr>
          <w:i/>
        </w:rPr>
        <w:t>batch2</w:t>
      </w:r>
      <w:r w:rsidRPr="00AC13E7">
        <w:t xml:space="preserve">. The final batch was the union of </w:t>
      </w:r>
      <w:r w:rsidRPr="00AC13E7">
        <w:rPr>
          <w:i/>
        </w:rPr>
        <w:t>batch1</w:t>
      </w:r>
      <w:r w:rsidRPr="00AC13E7">
        <w:t xml:space="preserve"> and </w:t>
      </w:r>
      <w:r w:rsidRPr="00AC13E7">
        <w:rPr>
          <w:i/>
        </w:rPr>
        <w:t>batch2</w:t>
      </w:r>
      <w:r w:rsidRPr="00AC13E7">
        <w:t>. This two-pass strategy was selected as to maximise the coverage of the grid values (</w:t>
      </w:r>
      <w:r w:rsidR="00D03C34" w:rsidRPr="00AC13E7">
        <w:fldChar w:fldCharType="begin"/>
      </w:r>
      <w:r w:rsidR="00D03C34" w:rsidRPr="00AC13E7">
        <w:instrText xml:space="preserve"> REF _Ref379536763 \h </w:instrText>
      </w:r>
      <w:r w:rsidR="00D03C34" w:rsidRPr="00AC13E7">
        <w:fldChar w:fldCharType="separate"/>
      </w:r>
      <w:r w:rsidR="00673FBD" w:rsidRPr="00AC13E7">
        <w:t xml:space="preserve">Fig. </w:t>
      </w:r>
      <w:r w:rsidR="00673FBD">
        <w:rPr>
          <w:noProof/>
        </w:rPr>
        <w:t>36</w:t>
      </w:r>
      <w:r w:rsidR="00D03C34" w:rsidRPr="00AC13E7">
        <w:fldChar w:fldCharType="end"/>
      </w:r>
      <w:r w:rsidRPr="00AC13E7">
        <w:t xml:space="preserve">). </w:t>
      </w:r>
    </w:p>
    <w:p w14:paraId="0C2190F2" w14:textId="77777777" w:rsidR="00F05DA6" w:rsidRPr="00AC13E7" w:rsidRDefault="00752152" w:rsidP="00F05DA6">
      <w:pPr>
        <w:pStyle w:val="ListParagraph"/>
        <w:keepNext/>
        <w:ind w:left="1080"/>
        <w:jc w:val="center"/>
        <w:rPr>
          <w:lang w:val="en-GB"/>
        </w:rPr>
      </w:pPr>
      <w:r w:rsidRPr="00AC13E7">
        <w:rPr>
          <w:noProof/>
          <w:lang w:val="en-GB" w:eastAsia="en-GB"/>
        </w:rPr>
        <w:lastRenderedPageBreak/>
        <w:drawing>
          <wp:inline distT="0" distB="0" distL="0" distR="0" wp14:anchorId="43B8AA6B" wp14:editId="68D38F0F">
            <wp:extent cx="2343150" cy="2343150"/>
            <wp:effectExtent l="0" t="0" r="0" b="0"/>
            <wp:docPr id="11" name="Picture 11" descr="Macintosh HD:Users:tarabim:Desktop:CICC:CC_PAPER:grid_cover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arabim:Desktop:CICC:CC_PAPER:grid_coverage.pd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43150" cy="2343150"/>
                    </a:xfrm>
                    <a:prstGeom prst="rect">
                      <a:avLst/>
                    </a:prstGeom>
                    <a:noFill/>
                    <a:ln>
                      <a:noFill/>
                    </a:ln>
                  </pic:spPr>
                </pic:pic>
              </a:graphicData>
            </a:graphic>
          </wp:inline>
        </w:drawing>
      </w:r>
    </w:p>
    <w:p w14:paraId="04E30D4F" w14:textId="77777777" w:rsidR="00CE2C0F" w:rsidRPr="00AC13E7" w:rsidRDefault="00CE2C0F" w:rsidP="00F05DA6">
      <w:pPr>
        <w:pStyle w:val="ListParagraph"/>
        <w:keepNext/>
        <w:ind w:left="1080"/>
        <w:jc w:val="center"/>
        <w:rPr>
          <w:lang w:val="en-GB"/>
        </w:rPr>
      </w:pPr>
    </w:p>
    <w:p w14:paraId="4C713A75" w14:textId="6E3E2B0B" w:rsidR="00752152" w:rsidRPr="00AC13E7" w:rsidRDefault="00F05DA6" w:rsidP="004916C9">
      <w:pPr>
        <w:pStyle w:val="Caption"/>
      </w:pPr>
      <w:bookmarkStart w:id="214" w:name="_Ref379536763"/>
      <w:bookmarkStart w:id="215" w:name="_Toc384459607"/>
      <w:r w:rsidRPr="00AC13E7">
        <w:t xml:space="preserve">Fig. </w:t>
      </w:r>
      <w:r w:rsidR="001003E9">
        <w:fldChar w:fldCharType="begin"/>
      </w:r>
      <w:r w:rsidR="001003E9">
        <w:instrText xml:space="preserve"> SEQ Fig. \* ARABIC </w:instrText>
      </w:r>
      <w:r w:rsidR="001003E9">
        <w:fldChar w:fldCharType="separate"/>
      </w:r>
      <w:r w:rsidR="00673FBD">
        <w:rPr>
          <w:noProof/>
        </w:rPr>
        <w:t>36</w:t>
      </w:r>
      <w:r w:rsidR="001003E9">
        <w:rPr>
          <w:noProof/>
        </w:rPr>
        <w:fldChar w:fldCharType="end"/>
      </w:r>
      <w:bookmarkEnd w:id="214"/>
      <w:r w:rsidR="00D03C34" w:rsidRPr="00AC13E7">
        <w:t xml:space="preserve"> N</w:t>
      </w:r>
      <w:r w:rsidR="00752152" w:rsidRPr="00AC13E7">
        <w:t>umber of samples N1 out of the 600 samples to select from with replacement in the first batch batch1. The second batch batch2 of 700-N1 samples is selected with replacement from the {wholebatch-batch1} to get to a total of 700 simulations. Y- axis: proportion of grid coverage.</w:t>
      </w:r>
      <w:bookmarkEnd w:id="215"/>
    </w:p>
    <w:p w14:paraId="2EDC7E3C" w14:textId="77777777" w:rsidR="00752152" w:rsidRPr="00AC13E7" w:rsidRDefault="00752152" w:rsidP="00752152">
      <w:pPr>
        <w:jc w:val="both"/>
      </w:pPr>
      <w:r w:rsidRPr="00AC13E7">
        <w:t>Using this two-pass strategy, we randomly selected 700 combinations, covering 462 out of the 600 combinations, i.e. 77% of the grid.</w:t>
      </w:r>
    </w:p>
    <w:p w14:paraId="5BE39491" w14:textId="77777777" w:rsidR="00752152" w:rsidRPr="00AC13E7" w:rsidRDefault="00752152" w:rsidP="00752152">
      <w:pPr>
        <w:pStyle w:val="ListParagraph"/>
        <w:ind w:left="1080"/>
        <w:jc w:val="both"/>
        <w:rPr>
          <w:lang w:val="en-GB"/>
        </w:rPr>
      </w:pPr>
    </w:p>
    <w:p w14:paraId="44C77789" w14:textId="77777777" w:rsidR="00752152" w:rsidRPr="00AC13E7" w:rsidRDefault="00752152" w:rsidP="00752152">
      <w:pPr>
        <w:pStyle w:val="ListParagraph"/>
        <w:numPr>
          <w:ilvl w:val="0"/>
          <w:numId w:val="24"/>
        </w:numPr>
        <w:jc w:val="both"/>
        <w:rPr>
          <w:b/>
          <w:lang w:val="en-GB"/>
        </w:rPr>
      </w:pPr>
      <w:r w:rsidRPr="00AC13E7">
        <w:rPr>
          <w:b/>
          <w:lang w:val="en-GB"/>
        </w:rPr>
        <w:t>input values</w:t>
      </w:r>
    </w:p>
    <w:p w14:paraId="33419C16" w14:textId="77777777" w:rsidR="00752152" w:rsidRPr="00AC13E7" w:rsidRDefault="00752152" w:rsidP="00752152">
      <w:pPr>
        <w:jc w:val="both"/>
      </w:pPr>
      <w:r w:rsidRPr="00AC13E7">
        <w:t xml:space="preserve">Input values were randomly selected from the clusters of PCAWG values defined by the </w:t>
      </w:r>
      <w:r w:rsidRPr="00AC13E7">
        <w:rPr>
          <w:i/>
        </w:rPr>
        <w:t xml:space="preserve">kmeans </w:t>
      </w:r>
      <w:r w:rsidRPr="00AC13E7">
        <w:t xml:space="preserve">clustering for purity, fraction clonal and number of clonal mutations. </w:t>
      </w:r>
    </w:p>
    <w:p w14:paraId="770DBF3F" w14:textId="77777777" w:rsidR="00752152" w:rsidRPr="00AC13E7" w:rsidRDefault="00752152" w:rsidP="00752152">
      <w:pPr>
        <w:pStyle w:val="ListParagraph"/>
        <w:numPr>
          <w:ilvl w:val="0"/>
          <w:numId w:val="24"/>
        </w:numPr>
        <w:jc w:val="both"/>
        <w:rPr>
          <w:b/>
          <w:lang w:val="en-GB"/>
        </w:rPr>
      </w:pPr>
      <w:r w:rsidRPr="00AC13E7">
        <w:rPr>
          <w:b/>
          <w:lang w:val="en-GB"/>
        </w:rPr>
        <w:t>purity input values</w:t>
      </w:r>
    </w:p>
    <w:p w14:paraId="75EDE338" w14:textId="77777777" w:rsidR="00F150B7" w:rsidRPr="00AC13E7" w:rsidRDefault="00752152" w:rsidP="00752152">
      <w:pPr>
        <w:jc w:val="both"/>
      </w:pPr>
      <w:r w:rsidRPr="00AC13E7">
        <w:t xml:space="preserve">The selected purity values </w:t>
      </w:r>
      <w:r w:rsidRPr="00AC13E7">
        <w:rPr>
          <w:i/>
        </w:rPr>
        <w:t>purity</w:t>
      </w:r>
      <w:r w:rsidRPr="00AC13E7">
        <w:rPr>
          <w:i/>
          <w:vertAlign w:val="subscript"/>
        </w:rPr>
        <w:t>in</w:t>
      </w:r>
      <w:r w:rsidRPr="00AC13E7">
        <w:t xml:space="preserve"> were used to generate the simulations. However, the purity values given to the </w:t>
      </w:r>
      <w:r w:rsidR="00F150B7" w:rsidRPr="00AC13E7">
        <w:t xml:space="preserve">individual </w:t>
      </w:r>
      <w:r w:rsidRPr="00AC13E7">
        <w:t xml:space="preserve">methods </w:t>
      </w:r>
      <w:r w:rsidR="00F150B7" w:rsidRPr="00AC13E7">
        <w:t xml:space="preserve">as input </w:t>
      </w:r>
      <w:r w:rsidRPr="00AC13E7">
        <w:t>were defined as</w:t>
      </w:r>
    </w:p>
    <w:p w14:paraId="3CA50545" w14:textId="34A195A8" w:rsidR="00F150B7" w:rsidRPr="00AC13E7" w:rsidRDefault="0036299C" w:rsidP="00752152">
      <w:pPr>
        <w:jc w:val="both"/>
      </w:pPr>
      <m:oMathPara>
        <m:oMath>
          <m:sSub>
            <m:sSubPr>
              <m:ctrlPr>
                <w:rPr>
                  <w:rFonts w:ascii="Cambria Math" w:hAnsi="Cambria Math"/>
                  <w:i/>
                </w:rPr>
              </m:ctrlPr>
            </m:sSubPr>
            <m:e>
              <m:r>
                <w:rPr>
                  <w:rFonts w:ascii="Cambria Math" w:hAnsi="Cambria Math"/>
                </w:rPr>
                <m:t>purity</m:t>
              </m:r>
            </m:e>
            <m:sub>
              <m: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purity</m:t>
              </m:r>
            </m:e>
            <m:sub>
              <m: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purity</m:t>
              </m:r>
            </m:e>
            <m:sub>
              <m:r>
                <w:rPr>
                  <w:rFonts w:ascii="Cambria Math" w:hAnsi="Cambria Math"/>
                </w:rPr>
                <m:t>error</m:t>
              </m:r>
            </m:sub>
          </m:sSub>
        </m:oMath>
      </m:oMathPara>
    </w:p>
    <w:p w14:paraId="656ECA1F" w14:textId="21C7EDE7" w:rsidR="00752152" w:rsidRPr="00AC13E7" w:rsidRDefault="00752152" w:rsidP="00752152">
      <w:pPr>
        <w:jc w:val="both"/>
      </w:pPr>
      <w:r w:rsidRPr="00AC13E7">
        <w:t xml:space="preserve">where </w:t>
      </w:r>
      <m:oMath>
        <m:sSub>
          <m:sSubPr>
            <m:ctrlPr>
              <w:rPr>
                <w:rFonts w:ascii="Cambria Math" w:hAnsi="Cambria Math"/>
                <w:i/>
              </w:rPr>
            </m:ctrlPr>
          </m:sSubPr>
          <m:e>
            <m:r>
              <w:rPr>
                <w:rFonts w:ascii="Cambria Math" w:hAnsi="Cambria Math"/>
              </w:rPr>
              <m:t>purity</m:t>
            </m:r>
          </m:e>
          <m:sub>
            <m:r>
              <w:rPr>
                <w:rFonts w:ascii="Cambria Math" w:hAnsi="Cambria Math"/>
              </w:rPr>
              <m:t>error</m:t>
            </m:r>
          </m:sub>
        </m:sSub>
        <m:r>
          <w:rPr>
            <w:rFonts w:ascii="Cambria Math" w:hAnsi="Cambria Math"/>
          </w:rPr>
          <m:t>∼U</m:t>
        </m:r>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mad</m:t>
                </m:r>
              </m:e>
              <m:sub>
                <m:r>
                  <w:rPr>
                    <w:rFonts w:ascii="Cambria Math" w:hAnsi="Cambria Math"/>
                  </w:rPr>
                  <m:t>purity</m:t>
                </m:r>
              </m:sub>
            </m:sSub>
            <m:r>
              <w:rPr>
                <w:rFonts w:ascii="Cambria Math" w:hAnsi="Cambria Math"/>
              </w:rPr>
              <m:t>,</m:t>
            </m:r>
            <m:sSub>
              <m:sSubPr>
                <m:ctrlPr>
                  <w:rPr>
                    <w:rFonts w:ascii="Cambria Math" w:hAnsi="Cambria Math"/>
                    <w:i/>
                  </w:rPr>
                </m:ctrlPr>
              </m:sSubPr>
              <m:e>
                <m:r>
                  <w:rPr>
                    <w:rFonts w:ascii="Cambria Math" w:hAnsi="Cambria Math"/>
                  </w:rPr>
                  <m:t>mad</m:t>
                </m:r>
              </m:e>
              <m:sub>
                <m:r>
                  <w:rPr>
                    <w:rFonts w:ascii="Cambria Math" w:hAnsi="Cambria Math"/>
                  </w:rPr>
                  <m:t>purity</m:t>
                </m:r>
              </m:sub>
            </m:sSub>
          </m:e>
        </m:d>
      </m:oMath>
      <w:r w:rsidRPr="00AC13E7">
        <w:t>. The median absolute deviations (mad) on the purity values were taken from the consensus purity values in PCAWG. This explains why some of the purity values were slightly greater than 1. However, we verified that no purity values were negative.</w:t>
      </w:r>
    </w:p>
    <w:p w14:paraId="2997BE5F" w14:textId="77777777" w:rsidR="00752152" w:rsidRPr="00AC13E7" w:rsidRDefault="00752152" w:rsidP="00752152">
      <w:pPr>
        <w:rPr>
          <w:b/>
        </w:rPr>
      </w:pPr>
    </w:p>
    <w:p w14:paraId="664CF960" w14:textId="77777777" w:rsidR="00752152" w:rsidRPr="00AC13E7" w:rsidRDefault="00752152" w:rsidP="00752152">
      <w:pPr>
        <w:rPr>
          <w:b/>
        </w:rPr>
      </w:pPr>
      <w:r w:rsidRPr="00AC13E7">
        <w:rPr>
          <w:b/>
        </w:rPr>
        <w:t>Copy number profiles</w:t>
      </w:r>
    </w:p>
    <w:p w14:paraId="6E3B0E9C" w14:textId="77777777" w:rsidR="00C858BA" w:rsidRPr="00AC13E7" w:rsidRDefault="00C858BA" w:rsidP="00752152">
      <w:pPr>
        <w:rPr>
          <w:b/>
        </w:rPr>
      </w:pPr>
    </w:p>
    <w:p w14:paraId="3207CA37" w14:textId="77777777" w:rsidR="00752152" w:rsidRPr="00AC13E7" w:rsidRDefault="00752152" w:rsidP="00752152">
      <w:pPr>
        <w:jc w:val="both"/>
      </w:pPr>
      <w:r w:rsidRPr="00AC13E7">
        <w:t xml:space="preserve">The copy number profiles were the consensus copy number profiles taken from the PCAWG sample from which the purity value was used. We only selected samples for which the fraction of genome aberrated </w:t>
      </w:r>
      <m:oMath>
        <m:sSub>
          <m:sSubPr>
            <m:ctrlPr>
              <w:rPr>
                <w:rFonts w:ascii="Cambria Math" w:hAnsi="Cambria Math"/>
                <w:i/>
              </w:rPr>
            </m:ctrlPr>
          </m:sSubPr>
          <m:e>
            <m:r>
              <w:rPr>
                <w:rFonts w:ascii="Cambria Math" w:hAnsi="Cambria Math"/>
              </w:rPr>
              <m:t>f</m:t>
            </m:r>
          </m:e>
          <m:sub>
            <m:r>
              <w:rPr>
                <w:rFonts w:ascii="Cambria Math" w:hAnsi="Cambria Math"/>
              </w:rPr>
              <m:t>aberrated</m:t>
            </m:r>
          </m:sub>
        </m:sSub>
        <m:r>
          <w:rPr>
            <w:rFonts w:ascii="Cambria Math" w:hAnsi="Cambria Math"/>
          </w:rPr>
          <m:t>&gt;0.1</m:t>
        </m:r>
      </m:oMath>
      <w:r w:rsidRPr="00AC13E7">
        <w:t xml:space="preserve">, as measured from the consensus copy number profiles. </w:t>
      </w:r>
    </w:p>
    <w:p w14:paraId="04044919" w14:textId="77777777" w:rsidR="006A74D5" w:rsidRDefault="00752152" w:rsidP="00752152">
      <w:pPr>
        <w:jc w:val="both"/>
      </w:pPr>
      <w:r w:rsidRPr="00AC13E7">
        <w:t xml:space="preserve">To assess the impact of copy number on the reconstructions, a random set of 300 samples from the 700 were simulated with fully diploid genomes, leading to a total of 1,000 simulations. Their purity was adapted to maintain the same average nrpcc, i.e. </w:t>
      </w:r>
    </w:p>
    <w:p w14:paraId="6FE580DC" w14:textId="3C79FB48" w:rsidR="00752152" w:rsidRPr="00AC13E7" w:rsidRDefault="0036299C" w:rsidP="00966AB6">
      <w:pPr>
        <w:jc w:val="center"/>
      </w:pPr>
      <m:oMathPara>
        <m:oMath>
          <m:sSub>
            <m:sSubPr>
              <m:ctrlPr>
                <w:rPr>
                  <w:rFonts w:ascii="Cambria Math" w:hAnsi="Cambria Math"/>
                  <w:i/>
                </w:rPr>
              </m:ctrlPr>
            </m:sSubPr>
            <m:e>
              <m:r>
                <w:rPr>
                  <w:rFonts w:ascii="Cambria Math" w:hAnsi="Cambria Math"/>
                </w:rPr>
                <m:t>purity</m:t>
              </m:r>
            </m:e>
            <m:sub>
              <m:r>
                <w:rPr>
                  <w:rFonts w:ascii="Cambria Math" w:hAnsi="Cambria Math"/>
                </w:rPr>
                <m:t>diploid</m:t>
              </m:r>
            </m:sub>
          </m:sSub>
          <m:r>
            <w:rPr>
              <w:rFonts w:ascii="Cambria Math" w:hAnsi="Cambria Math"/>
            </w:rPr>
            <m:t>=</m:t>
          </m:r>
          <m:f>
            <m:fPr>
              <m:ctrlPr>
                <w:rPr>
                  <w:rFonts w:ascii="Cambria Math" w:hAnsi="Cambria Math"/>
                  <w:i/>
                </w:rPr>
              </m:ctrlPr>
            </m:fPr>
            <m:num>
              <m:r>
                <w:rPr>
                  <w:rFonts w:ascii="Cambria Math" w:hAnsi="Cambria Math"/>
                </w:rPr>
                <m:t>2</m:t>
              </m:r>
            </m:num>
            <m:den>
              <m:sSub>
                <m:sSubPr>
                  <m:ctrlPr>
                    <w:rPr>
                      <w:rFonts w:ascii="Cambria Math" w:hAnsi="Cambria Math"/>
                      <w:i/>
                    </w:rPr>
                  </m:ctrlPr>
                </m:sSubPr>
                <m:e>
                  <m:r>
                    <w:rPr>
                      <w:rFonts w:ascii="Cambria Math" w:hAnsi="Cambria Math"/>
                    </w:rPr>
                    <m:t>ploidy</m:t>
                  </m:r>
                </m:e>
                <m:sub>
                  <m:r>
                    <w:rPr>
                      <w:rFonts w:ascii="Cambria Math" w:hAnsi="Cambria Math"/>
                    </w:rPr>
                    <m:t>non-diploid</m:t>
                  </m:r>
                </m:sub>
              </m:sSub>
            </m:den>
          </m:f>
          <m:sSub>
            <m:sSubPr>
              <m:ctrlPr>
                <w:rPr>
                  <w:rFonts w:ascii="Cambria Math" w:hAnsi="Cambria Math"/>
                  <w:i/>
                </w:rPr>
              </m:ctrlPr>
            </m:sSubPr>
            <m:e>
              <m:r>
                <w:rPr>
                  <w:rFonts w:ascii="Cambria Math" w:hAnsi="Cambria Math"/>
                </w:rPr>
                <m:t>purity</m:t>
              </m:r>
            </m:e>
            <m:sub>
              <m:r>
                <w:rPr>
                  <w:rFonts w:ascii="Cambria Math" w:hAnsi="Cambria Math"/>
                </w:rPr>
                <m:t>non-diploid</m:t>
              </m:r>
            </m:sub>
          </m:sSub>
        </m:oMath>
      </m:oMathPara>
    </w:p>
    <w:p w14:paraId="5EA700BE" w14:textId="77777777" w:rsidR="00610E8C" w:rsidRPr="00AC13E7" w:rsidRDefault="00610E8C" w:rsidP="00752152">
      <w:pPr>
        <w:jc w:val="both"/>
      </w:pPr>
    </w:p>
    <w:p w14:paraId="528D72CE" w14:textId="77777777" w:rsidR="00752152" w:rsidRPr="00AC13E7" w:rsidRDefault="00752152" w:rsidP="00752152">
      <w:pPr>
        <w:rPr>
          <w:b/>
        </w:rPr>
      </w:pPr>
      <w:r w:rsidRPr="00AC13E7">
        <w:rPr>
          <w:b/>
        </w:rPr>
        <w:t>Defining the cluster sizes and locations</w:t>
      </w:r>
    </w:p>
    <w:p w14:paraId="6AAC6EDB" w14:textId="77777777" w:rsidR="00C858BA" w:rsidRPr="00AC13E7" w:rsidRDefault="00C858BA" w:rsidP="00752152">
      <w:pPr>
        <w:rPr>
          <w:b/>
        </w:rPr>
      </w:pPr>
    </w:p>
    <w:p w14:paraId="177A1E7B" w14:textId="7D967B71" w:rsidR="00752152" w:rsidRPr="00AC13E7" w:rsidRDefault="00752152" w:rsidP="00752152">
      <w:pPr>
        <w:jc w:val="both"/>
      </w:pPr>
      <w:r w:rsidRPr="00AC13E7">
        <w:t xml:space="preserve">The CCFs of the subclones were drawn from a uniform distribution </w:t>
      </w:r>
      <m:oMath>
        <m:sSub>
          <m:sSubPr>
            <m:ctrlPr>
              <w:rPr>
                <w:rFonts w:ascii="Cambria Math" w:hAnsi="Cambria Math"/>
                <w:i/>
              </w:rPr>
            </m:ctrlPr>
          </m:sSubPr>
          <m:e>
            <m:r>
              <w:rPr>
                <w:rFonts w:ascii="Cambria Math" w:hAnsi="Cambria Math"/>
              </w:rPr>
              <m:t>CCF</m:t>
            </m:r>
          </m:e>
          <m:sub>
            <m:r>
              <w:rPr>
                <w:rFonts w:ascii="Cambria Math" w:hAnsi="Cambria Math"/>
              </w:rPr>
              <m:t>subclone</m:t>
            </m:r>
          </m:sub>
        </m:sSub>
        <m:r>
          <w:rPr>
            <w:rFonts w:ascii="Cambria Math" w:hAnsi="Cambria Math"/>
          </w:rPr>
          <m:t>~U</m:t>
        </m:r>
        <m:d>
          <m:dPr>
            <m:ctrlPr>
              <w:rPr>
                <w:rFonts w:ascii="Cambria Math" w:hAnsi="Cambria Math"/>
                <w:i/>
              </w:rPr>
            </m:ctrlPr>
          </m:dPr>
          <m:e>
            <m:r>
              <w:rPr>
                <w:rFonts w:ascii="Cambria Math" w:hAnsi="Cambria Math"/>
              </w:rPr>
              <m:t>0.1,0.9</m:t>
            </m:r>
          </m:e>
        </m:d>
      </m:oMath>
      <w:r w:rsidRPr="00AC13E7">
        <w:t xml:space="preserve">. The sizes of the clusters were defined using a stick-breaking </w:t>
      </w:r>
      <w:r w:rsidRPr="00AC13E7">
        <w:lastRenderedPageBreak/>
        <w:t xml:space="preserve">procedure. Starting with a number of subclonal mutations </w:t>
      </w:r>
      <m:oMath>
        <m:sSub>
          <m:sSubPr>
            <m:ctrlPr>
              <w:rPr>
                <w:rFonts w:ascii="Cambria Math" w:hAnsi="Cambria Math"/>
                <w:i/>
              </w:rPr>
            </m:ctrlPr>
          </m:sSubPr>
          <m:e>
            <m:r>
              <w:rPr>
                <w:rFonts w:ascii="Cambria Math" w:hAnsi="Cambria Math"/>
              </w:rPr>
              <m:t>N</m:t>
            </m:r>
          </m:e>
          <m:sub>
            <m:r>
              <w:rPr>
                <w:rFonts w:ascii="Cambria Math" w:hAnsi="Cambria Math"/>
              </w:rPr>
              <m:t>subclonal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clonal</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clonal</m:t>
                </m:r>
              </m:sub>
            </m:sSub>
            <m:sSub>
              <m:sSubPr>
                <m:ctrlPr>
                  <w:rPr>
                    <w:rFonts w:ascii="Cambria Math" w:hAnsi="Cambria Math"/>
                    <w:i/>
                  </w:rPr>
                </m:ctrlPr>
              </m:sSubPr>
              <m:e>
                <m:r>
                  <w:rPr>
                    <w:rFonts w:ascii="Cambria Math" w:hAnsi="Cambria Math"/>
                  </w:rPr>
                  <m:t>N</m:t>
                </m:r>
              </m:e>
              <m:sub>
                <m:r>
                  <w:rPr>
                    <w:rFonts w:ascii="Cambria Math" w:hAnsi="Cambria Math"/>
                  </w:rPr>
                  <m:t>clonal</m:t>
                </m:r>
              </m:sub>
            </m:sSub>
          </m:num>
          <m:den>
            <m:sSub>
              <m:sSubPr>
                <m:ctrlPr>
                  <w:rPr>
                    <w:rFonts w:ascii="Cambria Math" w:hAnsi="Cambria Math"/>
                    <w:i/>
                  </w:rPr>
                </m:ctrlPr>
              </m:sSubPr>
              <m:e>
                <m:r>
                  <w:rPr>
                    <w:rFonts w:ascii="Cambria Math" w:hAnsi="Cambria Math"/>
                  </w:rPr>
                  <m:t>f</m:t>
                </m:r>
              </m:e>
              <m:sub>
                <m:r>
                  <w:rPr>
                    <w:rFonts w:ascii="Cambria Math" w:hAnsi="Cambria Math"/>
                  </w:rPr>
                  <m:t>clonal</m:t>
                </m:r>
              </m:sub>
            </m:sSub>
          </m:den>
        </m:f>
      </m:oMath>
      <w:r w:rsidRPr="00AC13E7">
        <w:t xml:space="preserve">, we iteratively selected a proportion </w:t>
      </w:r>
      <m:oMath>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N</m:t>
                </m:r>
              </m:e>
              <m:sub>
                <m:r>
                  <w:rPr>
                    <w:rFonts w:ascii="Cambria Math" w:hAnsi="Cambria Math"/>
                  </w:rPr>
                  <m:t>clonal</m:t>
                </m:r>
              </m:sub>
            </m:sSub>
          </m:sub>
        </m:sSub>
        <m:r>
          <w:rPr>
            <w:rFonts w:ascii="Cambria Math" w:hAnsi="Cambria Math"/>
          </w:rPr>
          <m:t>~U</m:t>
        </m:r>
        <m:d>
          <m:dPr>
            <m:ctrlPr>
              <w:rPr>
                <w:rFonts w:ascii="Cambria Math" w:hAnsi="Cambria Math"/>
                <w:i/>
              </w:rPr>
            </m:ctrlPr>
          </m:dPr>
          <m:e>
            <m:r>
              <w:rPr>
                <w:rFonts w:ascii="Cambria Math" w:hAnsi="Cambria Math"/>
              </w:rPr>
              <m:t>0.1,0.9</m:t>
            </m:r>
          </m:e>
        </m:d>
      </m:oMath>
      <w:r w:rsidRPr="00AC13E7">
        <w:t xml:space="preserve"> of the remaining SNVs and randomly assigned the obtained numbers of SNVs to the subclones.</w:t>
      </w:r>
    </w:p>
    <w:p w14:paraId="507975BF" w14:textId="77777777" w:rsidR="00610E8C" w:rsidRPr="00AC13E7" w:rsidRDefault="00610E8C" w:rsidP="00752152">
      <w:pPr>
        <w:jc w:val="both"/>
      </w:pPr>
    </w:p>
    <w:p w14:paraId="42F01FC3" w14:textId="77777777" w:rsidR="00752152" w:rsidRPr="00AC13E7" w:rsidRDefault="00752152" w:rsidP="00752152">
      <w:pPr>
        <w:rPr>
          <w:b/>
        </w:rPr>
      </w:pPr>
      <w:r w:rsidRPr="00AC13E7">
        <w:rPr>
          <w:b/>
        </w:rPr>
        <w:t>Winner’s curse correction</w:t>
      </w:r>
    </w:p>
    <w:p w14:paraId="7425AEE2" w14:textId="77777777" w:rsidR="00C858BA" w:rsidRPr="00AC13E7" w:rsidRDefault="00C858BA" w:rsidP="00752152">
      <w:pPr>
        <w:rPr>
          <w:b/>
        </w:rPr>
      </w:pPr>
    </w:p>
    <w:p w14:paraId="10FF55D5" w14:textId="7F72D659" w:rsidR="00752152" w:rsidRPr="00AC13E7" w:rsidRDefault="00752152" w:rsidP="00752152">
      <w:pPr>
        <w:jc w:val="both"/>
      </w:pPr>
      <w:r w:rsidRPr="00AC13E7">
        <w:t xml:space="preserve">The simulator removes mutations for which </w:t>
      </w:r>
      <m:oMath>
        <m:sSub>
          <m:sSubPr>
            <m:ctrlPr>
              <w:rPr>
                <w:rFonts w:ascii="Cambria Math" w:hAnsi="Cambria Math"/>
                <w:i/>
              </w:rPr>
            </m:ctrlPr>
          </m:sSubPr>
          <m:e>
            <m:r>
              <w:rPr>
                <w:rFonts w:ascii="Cambria Math" w:hAnsi="Cambria Math"/>
              </w:rPr>
              <m:t>alt</m:t>
            </m:r>
          </m:e>
          <m:sub>
            <m:r>
              <w:rPr>
                <w:rFonts w:ascii="Cambria Math" w:hAnsi="Cambria Math"/>
              </w:rPr>
              <m:t>count</m:t>
            </m:r>
          </m:sub>
        </m:sSub>
        <m:r>
          <w:rPr>
            <w:rFonts w:ascii="Cambria Math" w:hAnsi="Cambria Math"/>
          </w:rPr>
          <m:t>&lt;</m:t>
        </m:r>
        <m:sSub>
          <m:sSubPr>
            <m:ctrlPr>
              <w:rPr>
                <w:rFonts w:ascii="Cambria Math" w:hAnsi="Cambria Math"/>
                <w:i/>
              </w:rPr>
            </m:ctrlPr>
          </m:sSubPr>
          <m:e>
            <m:r>
              <w:rPr>
                <w:rFonts w:ascii="Cambria Math" w:hAnsi="Cambria Math"/>
              </w:rPr>
              <m:t>min</m:t>
            </m:r>
          </m:e>
          <m:sub>
            <m:r>
              <w:rPr>
                <w:rFonts w:ascii="Cambria Math" w:hAnsi="Cambria Math"/>
              </w:rPr>
              <m:t>count</m:t>
            </m:r>
          </m:sub>
        </m:sSub>
      </m:oMath>
      <w:r w:rsidRPr="00AC13E7">
        <w:t xml:space="preserve">, with </w:t>
      </w:r>
      <w:r w:rsidRPr="00AC13E7">
        <w:rPr>
          <w:i/>
        </w:rPr>
        <w:t>min</w:t>
      </w:r>
      <w:r w:rsidRPr="00AC13E7">
        <w:rPr>
          <w:i/>
          <w:vertAlign w:val="subscript"/>
        </w:rPr>
        <w:t>count</w:t>
      </w:r>
      <w:r w:rsidRPr="00AC13E7">
        <w:t xml:space="preserve">=3, which is at the origin of </w:t>
      </w:r>
      <w:r w:rsidR="00741462" w:rsidRPr="00AC13E7">
        <w:t>a</w:t>
      </w:r>
      <w:r w:rsidRPr="00AC13E7">
        <w:t xml:space="preserve"> </w:t>
      </w:r>
      <w:r w:rsidRPr="00801EF3">
        <w:rPr>
          <w:i/>
        </w:rPr>
        <w:t>Winner’s curse</w:t>
      </w:r>
      <w:r w:rsidRPr="00AC13E7">
        <w:t xml:space="preserve"> effect. </w:t>
      </w:r>
    </w:p>
    <w:p w14:paraId="2E8C85A0" w14:textId="77777777" w:rsidR="00752152" w:rsidRPr="00AC13E7" w:rsidRDefault="00752152" w:rsidP="00752152">
      <w:pPr>
        <w:jc w:val="both"/>
      </w:pPr>
      <w:r w:rsidRPr="00AC13E7">
        <w:t xml:space="preserve">To approach the target </w:t>
      </w:r>
      <m:oMath>
        <m:sSub>
          <m:sSubPr>
            <m:ctrlPr>
              <w:rPr>
                <w:rFonts w:ascii="Cambria Math" w:hAnsi="Cambria Math"/>
                <w:i/>
              </w:rPr>
            </m:ctrlPr>
          </m:sSubPr>
          <m:e>
            <m:r>
              <w:rPr>
                <w:rFonts w:ascii="Cambria Math" w:hAnsi="Cambria Math"/>
              </w:rPr>
              <m:t>N</m:t>
            </m:r>
          </m:e>
          <m:sub>
            <m:r>
              <w:rPr>
                <w:rFonts w:ascii="Cambria Math" w:hAnsi="Cambria Math"/>
              </w:rPr>
              <m:t>SNV</m:t>
            </m:r>
          </m:sub>
        </m:sSub>
      </m:oMath>
      <w:r w:rsidRPr="00AC13E7">
        <w:t xml:space="preserve"> output by the simulator after this filtering, we compute </w:t>
      </w:r>
      <m:oMath>
        <m:sSub>
          <m:sSubPr>
            <m:ctrlPr>
              <w:rPr>
                <w:rFonts w:ascii="Cambria Math" w:hAnsi="Cambria Math"/>
                <w:i/>
              </w:rPr>
            </m:ctrlPr>
          </m:sSubPr>
          <m:e>
            <m:r>
              <w:rPr>
                <w:rFonts w:ascii="Cambria Math" w:hAnsi="Cambria Math"/>
              </w:rPr>
              <m:t>N</m:t>
            </m:r>
          </m:e>
          <m:sub>
            <m:r>
              <w:rPr>
                <w:rFonts w:ascii="Cambria Math" w:hAnsi="Cambria Math"/>
              </w:rPr>
              <m:t>input</m:t>
            </m:r>
          </m:sub>
        </m:sSub>
      </m:oMath>
      <w:r w:rsidRPr="00AC13E7">
        <w:t xml:space="preserve">, such that over 10 simulations the average </w:t>
      </w:r>
      <m:oMath>
        <m:sSub>
          <m:sSubPr>
            <m:ctrlPr>
              <w:rPr>
                <w:rFonts w:ascii="Cambria Math" w:hAnsi="Cambria Math"/>
                <w:i/>
              </w:rPr>
            </m:ctrlPr>
          </m:sSubPr>
          <m:e>
            <m:r>
              <w:rPr>
                <w:rFonts w:ascii="Cambria Math" w:hAnsi="Cambria Math"/>
              </w:rPr>
              <m:t>N</m:t>
            </m:r>
          </m:e>
          <m:sub>
            <m:r>
              <w:rPr>
                <w:rFonts w:ascii="Cambria Math" w:hAnsi="Cambria Math"/>
              </w:rPr>
              <m:t>output</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SNV</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SNV</m:t>
                    </m:r>
                  </m:sub>
                </m:sSub>
              </m:num>
              <m:den>
                <m:r>
                  <w:rPr>
                    <w:rFonts w:ascii="Cambria Math" w:hAnsi="Cambria Math"/>
                  </w:rPr>
                  <m:t>20</m:t>
                </m:r>
              </m:den>
            </m:f>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SNV</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SNV</m:t>
                    </m:r>
                  </m:sub>
                </m:sSub>
              </m:num>
              <m:den>
                <m:r>
                  <w:rPr>
                    <w:rFonts w:ascii="Cambria Math" w:hAnsi="Cambria Math"/>
                  </w:rPr>
                  <m:t>20</m:t>
                </m:r>
              </m:den>
            </m:f>
          </m:e>
        </m:d>
      </m:oMath>
      <w:r w:rsidRPr="00AC13E7">
        <w:t xml:space="preserve">. We find </w:t>
      </w:r>
      <w:r w:rsidRPr="00AC13E7">
        <w:rPr>
          <w:i/>
        </w:rPr>
        <w:t>N</w:t>
      </w:r>
      <w:r w:rsidRPr="00AC13E7">
        <w:rPr>
          <w:i/>
          <w:vertAlign w:val="subscript"/>
        </w:rPr>
        <w:t>input</w:t>
      </w:r>
      <w:r w:rsidRPr="00AC13E7">
        <w:t xml:space="preserve"> using a dichotomic search.</w:t>
      </w:r>
    </w:p>
    <w:p w14:paraId="5FEF1C45" w14:textId="77777777" w:rsidR="00752152" w:rsidRPr="00AC13E7" w:rsidRDefault="00752152" w:rsidP="00752152"/>
    <w:p w14:paraId="731C7867" w14:textId="77777777" w:rsidR="00752152" w:rsidRPr="00AC13E7" w:rsidRDefault="00752152" w:rsidP="00752152">
      <w:pPr>
        <w:rPr>
          <w:b/>
        </w:rPr>
      </w:pPr>
      <w:r w:rsidRPr="00AC13E7">
        <w:rPr>
          <w:b/>
        </w:rPr>
        <w:t>Filtering step</w:t>
      </w:r>
    </w:p>
    <w:p w14:paraId="64B30072" w14:textId="77777777" w:rsidR="00C858BA" w:rsidRPr="00AC13E7" w:rsidRDefault="00C858BA" w:rsidP="00752152">
      <w:pPr>
        <w:rPr>
          <w:b/>
        </w:rPr>
      </w:pPr>
    </w:p>
    <w:p w14:paraId="2643F27E" w14:textId="77777777" w:rsidR="00752152" w:rsidRPr="00AC13E7" w:rsidRDefault="00752152" w:rsidP="00752152">
      <w:pPr>
        <w:jc w:val="both"/>
      </w:pPr>
      <w:r w:rsidRPr="00AC13E7">
        <w:t xml:space="preserve">We further removed simulations for which the total number of SNVs </w:t>
      </w:r>
      <m:oMath>
        <m:sSub>
          <m:sSubPr>
            <m:ctrlPr>
              <w:rPr>
                <w:rFonts w:ascii="Cambria Math" w:hAnsi="Cambria Math"/>
                <w:i/>
              </w:rPr>
            </m:ctrlPr>
          </m:sSubPr>
          <m:e>
            <m:r>
              <w:rPr>
                <w:rFonts w:ascii="Cambria Math" w:hAnsi="Cambria Math"/>
              </w:rPr>
              <m:t>N</m:t>
            </m:r>
          </m:e>
          <m:sub>
            <m:r>
              <w:rPr>
                <w:rFonts w:ascii="Cambria Math" w:hAnsi="Cambria Math"/>
              </w:rPr>
              <m:t>tot</m:t>
            </m:r>
          </m:sub>
        </m:sSub>
        <m:r>
          <w:rPr>
            <w:rFonts w:ascii="Cambria Math" w:hAnsi="Cambria Math"/>
          </w:rPr>
          <m:t>&lt;</m:t>
        </m:r>
        <m:sSub>
          <m:sSubPr>
            <m:ctrlPr>
              <w:rPr>
                <w:rFonts w:ascii="Cambria Math" w:hAnsi="Cambria Math"/>
                <w:i/>
              </w:rPr>
            </m:ctrlPr>
          </m:sSubPr>
          <m:e>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min</m:t>
                    </m:r>
                  </m:e>
                  <m:lim>
                    <m:r>
                      <w:rPr>
                        <w:rFonts w:ascii="Cambria Math" w:hAnsi="Cambria Math"/>
                      </w:rPr>
                      <m:t>i∈PCAWG</m:t>
                    </m:r>
                  </m:lim>
                </m:limLow>
              </m:fName>
              <m:e>
                <m:r>
                  <w:rPr>
                    <w:rFonts w:ascii="Cambria Math" w:hAnsi="Cambria Math"/>
                  </w:rPr>
                  <m:t>N</m:t>
                </m:r>
              </m:e>
            </m:func>
          </m:e>
          <m:sub>
            <m:r>
              <w:rPr>
                <w:rFonts w:ascii="Cambria Math" w:hAnsi="Cambria Math"/>
              </w:rPr>
              <m:t>i</m:t>
            </m:r>
          </m:sub>
        </m:sSub>
      </m:oMath>
      <w:r w:rsidRPr="00AC13E7">
        <w:t xml:space="preserve"> and for which the generation lasted longer than two days on our cluster nodes - due to the high number of SNVs. This led to a final set of 965 simulations.</w:t>
      </w:r>
    </w:p>
    <w:p w14:paraId="277F1C3A" w14:textId="77777777" w:rsidR="00752152" w:rsidRPr="00AC13E7" w:rsidRDefault="00752152" w:rsidP="006659E2">
      <w:pPr>
        <w:jc w:val="both"/>
      </w:pPr>
    </w:p>
    <w:p w14:paraId="6990309E" w14:textId="77777777" w:rsidR="00720570" w:rsidRPr="00AC13E7" w:rsidRDefault="00720570">
      <w:pPr>
        <w:rPr>
          <w:rFonts w:eastAsia="Times"/>
          <w:sz w:val="20"/>
          <w:szCs w:val="20"/>
        </w:rPr>
      </w:pPr>
    </w:p>
    <w:p w14:paraId="1E962C62" w14:textId="77777777" w:rsidR="008A1704" w:rsidRPr="00AC13E7" w:rsidRDefault="008A1704">
      <w:pPr>
        <w:rPr>
          <w:rFonts w:eastAsia="Times"/>
          <w:b/>
          <w:color w:val="000000"/>
          <w:sz w:val="48"/>
          <w:szCs w:val="48"/>
        </w:rPr>
      </w:pPr>
      <w:bookmarkStart w:id="216" w:name="_l9gjd13sczht" w:colFirst="0" w:colLast="0"/>
      <w:bookmarkEnd w:id="216"/>
      <w:r w:rsidRPr="00AC13E7">
        <w:br w:type="page"/>
      </w:r>
    </w:p>
    <w:p w14:paraId="5BA61907" w14:textId="48193587" w:rsidR="00720570" w:rsidRPr="00AC13E7" w:rsidRDefault="00FE3B88" w:rsidP="0018530F">
      <w:pPr>
        <w:pStyle w:val="Heading1"/>
        <w:spacing w:before="360" w:after="120"/>
        <w:jc w:val="both"/>
        <w:rPr>
          <w:rFonts w:ascii="Times New Roman" w:hAnsi="Times New Roman" w:cs="Times New Roman"/>
          <w:lang w:val="en-GB"/>
        </w:rPr>
      </w:pPr>
      <w:bookmarkStart w:id="217" w:name="_Toc499569288"/>
      <w:bookmarkStart w:id="218" w:name="_Toc499571757"/>
      <w:bookmarkStart w:id="219" w:name="_Toc391905038"/>
      <w:r w:rsidRPr="00AC13E7">
        <w:rPr>
          <w:rFonts w:ascii="Times New Roman" w:hAnsi="Times New Roman" w:cs="Times New Roman"/>
          <w:lang w:val="en-GB"/>
        </w:rPr>
        <w:lastRenderedPageBreak/>
        <w:t xml:space="preserve">3. Results of reconstructing </w:t>
      </w:r>
      <w:r w:rsidR="0030666E" w:rsidRPr="00AC13E7">
        <w:rPr>
          <w:rFonts w:ascii="Times New Roman" w:hAnsi="Times New Roman" w:cs="Times New Roman"/>
          <w:lang w:val="en-GB"/>
        </w:rPr>
        <w:t xml:space="preserve">the </w:t>
      </w:r>
      <w:r w:rsidRPr="00AC13E7">
        <w:rPr>
          <w:rFonts w:ascii="Times New Roman" w:hAnsi="Times New Roman" w:cs="Times New Roman"/>
          <w:lang w:val="en-GB"/>
        </w:rPr>
        <w:t>subclonal architecture of tumours</w:t>
      </w:r>
      <w:bookmarkEnd w:id="217"/>
      <w:bookmarkEnd w:id="218"/>
      <w:bookmarkEnd w:id="219"/>
    </w:p>
    <w:p w14:paraId="1CEE89BF" w14:textId="6A58A73B" w:rsidR="00281A95" w:rsidRPr="00966AB6" w:rsidRDefault="00FE3B88" w:rsidP="008C443D">
      <w:pPr>
        <w:pStyle w:val="Heading2"/>
        <w:spacing w:before="320" w:after="80"/>
        <w:rPr>
          <w:lang w:val="nl-NL"/>
        </w:rPr>
      </w:pPr>
      <w:bookmarkStart w:id="220" w:name="_62sfi2p8fpbz" w:colFirst="0" w:colLast="0"/>
      <w:bookmarkStart w:id="221" w:name="_Toc499569289"/>
      <w:bookmarkStart w:id="222" w:name="_Toc499571758"/>
      <w:bookmarkStart w:id="223" w:name="_Toc391905039"/>
      <w:bookmarkEnd w:id="220"/>
      <w:r w:rsidRPr="00966AB6">
        <w:rPr>
          <w:rFonts w:ascii="Times New Roman" w:hAnsi="Times New Roman" w:cs="Times New Roman"/>
          <w:lang w:val="nl-NL"/>
        </w:rPr>
        <w:t>3.1 Power analysis</w:t>
      </w:r>
      <w:bookmarkEnd w:id="221"/>
      <w:bookmarkEnd w:id="222"/>
      <w:bookmarkEnd w:id="223"/>
    </w:p>
    <w:p w14:paraId="026C7152" w14:textId="77777777" w:rsidR="003F217D" w:rsidRPr="00966AB6" w:rsidRDefault="003F217D" w:rsidP="003F217D">
      <w:pPr>
        <w:jc w:val="both"/>
        <w:rPr>
          <w:lang w:val="nl-NL"/>
        </w:rPr>
      </w:pPr>
      <w:r w:rsidRPr="00966AB6">
        <w:rPr>
          <w:lang w:val="nl-NL"/>
        </w:rPr>
        <w:t>Kerstin Haase, Peter Van Loo</w:t>
      </w:r>
    </w:p>
    <w:p w14:paraId="30868341" w14:textId="77777777" w:rsidR="002979A1" w:rsidRPr="00966AB6" w:rsidRDefault="002979A1" w:rsidP="008B6240">
      <w:pPr>
        <w:jc w:val="both"/>
        <w:rPr>
          <w:lang w:val="nl-NL"/>
        </w:rPr>
      </w:pPr>
    </w:p>
    <w:p w14:paraId="059586B9" w14:textId="005D1C7F" w:rsidR="00BC4B88" w:rsidRPr="00AC13E7" w:rsidRDefault="00916EE5" w:rsidP="008B6240">
      <w:pPr>
        <w:jc w:val="both"/>
      </w:pPr>
      <w:r w:rsidRPr="00AC13E7">
        <w:t xml:space="preserve">When determining the number of subclones in each sample, we </w:t>
      </w:r>
      <w:r w:rsidR="00BC4B88" w:rsidRPr="00AC13E7">
        <w:t xml:space="preserve">are limited by </w:t>
      </w:r>
      <w:r w:rsidR="007924C2" w:rsidRPr="00AC13E7">
        <w:t>multiple</w:t>
      </w:r>
      <w:r w:rsidRPr="00AC13E7">
        <w:t xml:space="preserve"> factors influencing the sensitivity of our su</w:t>
      </w:r>
      <w:r w:rsidR="00BC4B88" w:rsidRPr="00AC13E7">
        <w:t>bclonal reconstruction methods.</w:t>
      </w:r>
      <w:r w:rsidR="002F6932" w:rsidRPr="00AC13E7">
        <w:t xml:space="preserve"> </w:t>
      </w:r>
      <w:r w:rsidR="00BD6D15" w:rsidRPr="00AC13E7">
        <w:t xml:space="preserve">Given that the PCAWG </w:t>
      </w:r>
      <w:r w:rsidR="0084039E" w:rsidRPr="00AC13E7">
        <w:t>mutation-calling</w:t>
      </w:r>
      <w:r w:rsidR="00BD6D15" w:rsidRPr="00AC13E7">
        <w:t xml:space="preserve"> pipeline requires at least three variant reads to be able to </w:t>
      </w:r>
      <w:r w:rsidR="001A348F" w:rsidRPr="00AC13E7">
        <w:t>detect</w:t>
      </w:r>
      <w:r w:rsidR="00BD6D15" w:rsidRPr="00AC13E7">
        <w:t xml:space="preserve"> a mutation, ploidy and purity of a sample as well as sequencing coverage impact the probability of a mutation being identified.</w:t>
      </w:r>
    </w:p>
    <w:p w14:paraId="0D8FAB3D" w14:textId="1CEE9ED8" w:rsidR="00916EE5" w:rsidRPr="00AC13E7" w:rsidRDefault="00916EE5" w:rsidP="00640170">
      <w:pPr>
        <w:jc w:val="both"/>
      </w:pPr>
      <w:r w:rsidRPr="00AC13E7">
        <w:t xml:space="preserve">To account for </w:t>
      </w:r>
      <w:r w:rsidR="007C67E0" w:rsidRPr="00AC13E7">
        <w:t xml:space="preserve">varying </w:t>
      </w:r>
      <w:r w:rsidR="00A779AA" w:rsidRPr="00AC13E7">
        <w:t>purity, ploidy and sequencing depth</w:t>
      </w:r>
      <w:r w:rsidR="007924C2" w:rsidRPr="00AC13E7">
        <w:t xml:space="preserve"> in the analysed samples,</w:t>
      </w:r>
      <w:r w:rsidRPr="00AC13E7">
        <w:t xml:space="preserve"> we calculated the number of reads per </w:t>
      </w:r>
      <w:r w:rsidR="00640170" w:rsidRPr="00AC13E7">
        <w:t>clonal</w:t>
      </w:r>
      <w:r w:rsidRPr="00AC13E7">
        <w:t xml:space="preserve"> copy (nrpcc)</w:t>
      </w:r>
      <w:r w:rsidR="007C67E0" w:rsidRPr="00AC13E7">
        <w:t xml:space="preserve"> to </w:t>
      </w:r>
      <w:r w:rsidR="007B14AD" w:rsidRPr="00AC13E7">
        <w:t xml:space="preserve">uniformly quantify </w:t>
      </w:r>
      <w:r w:rsidR="00BB6DB1" w:rsidRPr="00AC13E7">
        <w:t>the power to detect subclonal mutation cluster</w:t>
      </w:r>
      <w:r w:rsidR="003249DD" w:rsidRPr="00AC13E7">
        <w:t>s</w:t>
      </w:r>
      <w:r w:rsidRPr="00AC13E7">
        <w:t xml:space="preserve">: </w:t>
      </w:r>
    </w:p>
    <w:p w14:paraId="0D4A8C39" w14:textId="77777777" w:rsidR="00BD6D15" w:rsidRPr="00AC13E7" w:rsidRDefault="00BD6D15" w:rsidP="008B6240">
      <w:pPr>
        <w:jc w:val="both"/>
      </w:pPr>
    </w:p>
    <w:p w14:paraId="5BA901B9" w14:textId="43C595AC" w:rsidR="00916EE5" w:rsidRPr="00AC13E7" w:rsidRDefault="006A74D5" w:rsidP="00BC7D1A">
      <w:pPr>
        <w:jc w:val="center"/>
      </w:pPr>
      <w:r>
        <w:rPr>
          <w:rFonts w:ascii="Cambria Math" w:hAnsi="Cambria Math"/>
        </w:rPr>
        <w:t>nrpcc</w:t>
      </w:r>
      <w:r w:rsidRPr="00AC13E7">
        <w:rPr>
          <w:rFonts w:ascii="Cambria Math" w:hAnsi="Cambria Math"/>
        </w:rPr>
        <w:t xml:space="preserve"> </w:t>
      </w:r>
      <w:r w:rsidR="002D5287" w:rsidRPr="00AC13E7">
        <w:rPr>
          <w:rFonts w:ascii="Cambria Math" w:hAnsi="Cambria Math"/>
        </w:rPr>
        <w:t xml:space="preserve">= </w:t>
      </w:r>
      <m:oMath>
        <m:f>
          <m:fPr>
            <m:ctrlPr>
              <w:rPr>
                <w:rFonts w:ascii="Cambria Math" w:hAnsi="Cambria Math"/>
                <w:i/>
              </w:rPr>
            </m:ctrlPr>
          </m:fPr>
          <m:num>
            <m:r>
              <m:rPr>
                <m:sty m:val="p"/>
              </m:rPr>
              <w:rPr>
                <w:rFonts w:ascii="Cambria Math" w:hAnsi="Cambria Math"/>
              </w:rPr>
              <m:t>ρ ⋅ cov</m:t>
            </m:r>
          </m:num>
          <m:den>
            <m:r>
              <m:rPr>
                <m:sty m:val="p"/>
              </m:rPr>
              <w:rPr>
                <w:rFonts w:ascii="Cambria Math" w:hAnsi="Cambria Math"/>
              </w:rPr>
              <m:t>ρ</m:t>
            </m:r>
            <m:sSub>
              <m:sSubPr>
                <m:ctrlPr>
                  <w:rPr>
                    <w:rFonts w:ascii="Cambria Math" w:hAnsi="Cambria Math"/>
                    <w:i/>
                  </w:rPr>
                </m:ctrlPr>
              </m:sSubPr>
              <m:e>
                <m:r>
                  <m:rPr>
                    <m:sty m:val="p"/>
                  </m:rPr>
                  <w:rPr>
                    <w:rFonts w:ascii="Cambria Math" w:hAnsi="Cambria Math"/>
                  </w:rPr>
                  <m:t>ψ</m:t>
                </m:r>
              </m:e>
              <m:sub>
                <m:r>
                  <m:rPr>
                    <m:sty m:val="p"/>
                  </m:rPr>
                  <w:rPr>
                    <w:rFonts w:ascii="Cambria Math" w:hAnsi="Cambria Math"/>
                  </w:rPr>
                  <m:t>t</m:t>
                </m:r>
              </m:sub>
            </m:sSub>
            <m:r>
              <m:rPr>
                <m:sty m:val="p"/>
              </m:rPr>
              <w:rPr>
                <w:rFonts w:ascii="Cambria Math" w:hAnsi="Cambria Math"/>
              </w:rPr>
              <m:t xml:space="preserve">+ </m:t>
            </m:r>
            <m:d>
              <m:dPr>
                <m:ctrlPr>
                  <w:rPr>
                    <w:rFonts w:ascii="Cambria Math" w:hAnsi="Cambria Math"/>
                    <w:i/>
                  </w:rPr>
                </m:ctrlPr>
              </m:dPr>
              <m:e>
                <m:r>
                  <m:rPr>
                    <m:sty m:val="p"/>
                  </m:rPr>
                  <w:rPr>
                    <w:rFonts w:ascii="Cambria Math" w:hAnsi="Cambria Math"/>
                  </w:rPr>
                  <m:t>1 – ρ</m:t>
                </m:r>
              </m:e>
            </m:d>
            <m:sSub>
              <m:sSubPr>
                <m:ctrlPr>
                  <w:rPr>
                    <w:rFonts w:ascii="Cambria Math" w:hAnsi="Cambria Math"/>
                    <w:i/>
                  </w:rPr>
                </m:ctrlPr>
              </m:sSubPr>
              <m:e>
                <m:r>
                  <m:rPr>
                    <m:sty m:val="p"/>
                  </m:rPr>
                  <w:rPr>
                    <w:rFonts w:ascii="Cambria Math" w:hAnsi="Cambria Math"/>
                  </w:rPr>
                  <m:t>ψ</m:t>
                </m:r>
              </m:e>
              <m:sub>
                <m:r>
                  <m:rPr>
                    <m:sty m:val="p"/>
                  </m:rPr>
                  <w:rPr>
                    <w:rFonts w:ascii="Cambria Math" w:hAnsi="Cambria Math"/>
                  </w:rPr>
                  <m:t>n</m:t>
                </m:r>
              </m:sub>
            </m:sSub>
          </m:den>
        </m:f>
      </m:oMath>
    </w:p>
    <w:p w14:paraId="7DB409BE" w14:textId="77777777" w:rsidR="00916EE5" w:rsidRPr="00AC13E7" w:rsidRDefault="00916EE5" w:rsidP="008B6240">
      <w:pPr>
        <w:jc w:val="both"/>
      </w:pPr>
    </w:p>
    <w:p w14:paraId="7EE6C1AB" w14:textId="6C2EF482" w:rsidR="00916EE5" w:rsidRPr="00AC13E7" w:rsidRDefault="00916EE5" w:rsidP="008B6240">
      <w:pPr>
        <w:jc w:val="both"/>
      </w:pPr>
      <w:r w:rsidRPr="00AC13E7">
        <w:t xml:space="preserve">where </w:t>
      </w:r>
      <w:r w:rsidRPr="00AC13E7">
        <w:rPr>
          <w:i/>
        </w:rPr>
        <w:t>ρ</w:t>
      </w:r>
      <w:r w:rsidRPr="00AC13E7">
        <w:t xml:space="preserve"> is the determined purity of the sample and </w:t>
      </w:r>
      <w:r w:rsidRPr="00AC13E7">
        <w:rPr>
          <w:i/>
        </w:rPr>
        <w:t>ψ</w:t>
      </w:r>
      <w:r w:rsidRPr="00AC13E7">
        <w:rPr>
          <w:i/>
          <w:vertAlign w:val="subscript"/>
        </w:rPr>
        <w:t>t</w:t>
      </w:r>
      <w:r w:rsidRPr="00AC13E7">
        <w:t xml:space="preserve"> and </w:t>
      </w:r>
      <w:r w:rsidRPr="00AC13E7">
        <w:rPr>
          <w:i/>
        </w:rPr>
        <w:t>ψ</w:t>
      </w:r>
      <w:r w:rsidRPr="00AC13E7">
        <w:rPr>
          <w:i/>
          <w:vertAlign w:val="subscript"/>
        </w:rPr>
        <w:t>n</w:t>
      </w:r>
      <w:r w:rsidRPr="00AC13E7">
        <w:t xml:space="preserve"> denote the ploidy of the matching tumo</w:t>
      </w:r>
      <w:r w:rsidR="00666697" w:rsidRPr="00AC13E7">
        <w:t>ur and normal sample</w:t>
      </w:r>
      <w:r w:rsidRPr="00AC13E7">
        <w:t xml:space="preserve">, respectively. As we assume all germline samples to be diploid, </w:t>
      </w:r>
      <w:r w:rsidRPr="00AC13E7">
        <w:rPr>
          <w:i/>
        </w:rPr>
        <w:t>ψ</w:t>
      </w:r>
      <w:r w:rsidRPr="00AC13E7">
        <w:rPr>
          <w:i/>
          <w:vertAlign w:val="subscript"/>
        </w:rPr>
        <w:t>n</w:t>
      </w:r>
      <w:r w:rsidRPr="00AC13E7">
        <w:t xml:space="preserve"> is set to two by default.</w:t>
      </w:r>
      <w:r w:rsidR="001B57B1" w:rsidRPr="00AC13E7">
        <w:t xml:space="preserve"> We verified that the nrpcc is a strong factor influencing the number of identified subclones in a sample, whereas </w:t>
      </w:r>
      <w:r w:rsidR="00E933D3" w:rsidRPr="00AC13E7">
        <w:t xml:space="preserve">the total </w:t>
      </w:r>
      <w:r w:rsidR="001B57B1" w:rsidRPr="00AC13E7">
        <w:t xml:space="preserve">number of mutations </w:t>
      </w:r>
      <w:r w:rsidR="00E933D3" w:rsidRPr="00AC13E7">
        <w:t xml:space="preserve">identified </w:t>
      </w:r>
      <w:r w:rsidR="001B57B1" w:rsidRPr="00AC13E7">
        <w:t>does not impact the reconstruction (</w:t>
      </w:r>
      <w:r w:rsidR="001B57B1" w:rsidRPr="00AC13E7">
        <w:rPr>
          <w:b/>
        </w:rPr>
        <w:t xml:space="preserve">Supp. Fig. </w:t>
      </w:r>
      <w:r w:rsidR="001A348F" w:rsidRPr="00AC13E7">
        <w:rPr>
          <w:b/>
        </w:rPr>
        <w:t>2</w:t>
      </w:r>
      <w:r w:rsidR="001B57B1" w:rsidRPr="00AC13E7">
        <w:rPr>
          <w:b/>
        </w:rPr>
        <w:t>a</w:t>
      </w:r>
      <w:r w:rsidR="001B57B1" w:rsidRPr="00AC13E7">
        <w:t xml:space="preserve">).  </w:t>
      </w:r>
    </w:p>
    <w:p w14:paraId="1D2FF4BD" w14:textId="77777777" w:rsidR="001B57B1" w:rsidRPr="00AC13E7" w:rsidRDefault="001B57B1" w:rsidP="008B6240">
      <w:pPr>
        <w:jc w:val="both"/>
      </w:pPr>
    </w:p>
    <w:p w14:paraId="65794397" w14:textId="68B17575" w:rsidR="001B57B1" w:rsidRPr="00AC13E7" w:rsidRDefault="004D452F" w:rsidP="00181405">
      <w:pPr>
        <w:jc w:val="both"/>
      </w:pPr>
      <w:r w:rsidRPr="00AC13E7">
        <w:t>Given that</w:t>
      </w:r>
      <w:r w:rsidR="00916EE5" w:rsidRPr="00AC13E7">
        <w:t xml:space="preserve"> a mutation can be detected when </w:t>
      </w:r>
      <w:r w:rsidR="00372855" w:rsidRPr="00AC13E7">
        <w:t xml:space="preserve">it is supported by at least </w:t>
      </w:r>
      <w:r w:rsidR="00916EE5" w:rsidRPr="00AC13E7">
        <w:t>three variant</w:t>
      </w:r>
      <w:r w:rsidR="0007124E" w:rsidRPr="00AC13E7">
        <w:t xml:space="preserve"> reads, </w:t>
      </w:r>
      <w:r w:rsidR="00F837DE" w:rsidRPr="00AC13E7">
        <w:t>we are theoretically able, in a sample with nrpcc of at least 10</w:t>
      </w:r>
      <w:r w:rsidR="00C63E01" w:rsidRPr="00AC13E7">
        <w:t>,</w:t>
      </w:r>
      <w:r w:rsidR="00916EE5" w:rsidRPr="00AC13E7">
        <w:t xml:space="preserve"> to detect mutations </w:t>
      </w:r>
      <w:r w:rsidR="001B57B1" w:rsidRPr="00AC13E7">
        <w:t>in 30% of tumour cells or more.</w:t>
      </w:r>
      <w:r w:rsidR="00527CA6" w:rsidRPr="00AC13E7">
        <w:t xml:space="preserve"> This consideration is supported by the reconstructions (</w:t>
      </w:r>
      <w:r w:rsidR="00527CA6" w:rsidRPr="00AC13E7">
        <w:rPr>
          <w:b/>
        </w:rPr>
        <w:t xml:space="preserve">Supp. Fig. </w:t>
      </w:r>
      <w:r w:rsidR="001A348F" w:rsidRPr="00AC13E7">
        <w:rPr>
          <w:b/>
        </w:rPr>
        <w:t>2</w:t>
      </w:r>
      <w:r w:rsidR="00527CA6" w:rsidRPr="00AC13E7">
        <w:rPr>
          <w:b/>
        </w:rPr>
        <w:t>b</w:t>
      </w:r>
      <w:r w:rsidR="00527CA6" w:rsidRPr="00AC13E7">
        <w:t>).</w:t>
      </w:r>
      <w:r w:rsidR="001D4D65" w:rsidRPr="00AC13E7">
        <w:t xml:space="preserve"> As a result</w:t>
      </w:r>
      <w:r w:rsidR="006B49EF" w:rsidRPr="00AC13E7">
        <w:t>, we decided to limit the downstream anal</w:t>
      </w:r>
      <w:r w:rsidR="005D1A89" w:rsidRPr="00AC13E7">
        <w:t>yse</w:t>
      </w:r>
      <w:r w:rsidR="006B49EF" w:rsidRPr="00AC13E7">
        <w:t xml:space="preserve">s to samples with </w:t>
      </w:r>
      <w:r w:rsidR="00527CA6" w:rsidRPr="00AC13E7">
        <w:t xml:space="preserve">a minimum nrpcc of 10 to </w:t>
      </w:r>
      <w:r w:rsidR="005D1A89" w:rsidRPr="00AC13E7">
        <w:t xml:space="preserve">exclude tumours that would appear completely clonal </w:t>
      </w:r>
      <w:r w:rsidR="00181405" w:rsidRPr="00AC13E7">
        <w:t xml:space="preserve">simply because of a lack of power </w:t>
      </w:r>
      <w:r w:rsidR="005D1A89" w:rsidRPr="00AC13E7">
        <w:t>to detect subclonal mutations.</w:t>
      </w:r>
    </w:p>
    <w:p w14:paraId="0582AE52" w14:textId="77777777" w:rsidR="001351C8" w:rsidRPr="00AC13E7" w:rsidRDefault="001351C8" w:rsidP="008B6240">
      <w:pPr>
        <w:jc w:val="both"/>
      </w:pPr>
    </w:p>
    <w:p w14:paraId="52E6D699" w14:textId="77777777" w:rsidR="00A73673" w:rsidRPr="00AC13E7" w:rsidRDefault="00A73673" w:rsidP="00A73673">
      <w:pPr>
        <w:rPr>
          <w:rFonts w:eastAsia="Arial"/>
          <w:sz w:val="22"/>
          <w:szCs w:val="22"/>
        </w:rPr>
      </w:pPr>
      <w:bookmarkStart w:id="224" w:name="_nkxeb7cc0gvv" w:colFirst="0" w:colLast="0"/>
      <w:bookmarkEnd w:id="224"/>
    </w:p>
    <w:p w14:paraId="5C2942DD" w14:textId="7908B63B" w:rsidR="00720570" w:rsidRPr="00AC13E7" w:rsidRDefault="00FE3B88" w:rsidP="002E3119">
      <w:pPr>
        <w:outlineLvl w:val="1"/>
        <w:rPr>
          <w:b/>
          <w:sz w:val="36"/>
          <w:szCs w:val="36"/>
        </w:rPr>
      </w:pPr>
      <w:bookmarkStart w:id="225" w:name="_gjdgxs" w:colFirst="0" w:colLast="0"/>
      <w:bookmarkStart w:id="226" w:name="_Toc499571759"/>
      <w:bookmarkEnd w:id="225"/>
      <w:r w:rsidRPr="00AC13E7">
        <w:rPr>
          <w:b/>
          <w:sz w:val="36"/>
          <w:szCs w:val="36"/>
        </w:rPr>
        <w:t>3.2 Results by individual methods are consistent with consensus results</w:t>
      </w:r>
      <w:bookmarkEnd w:id="226"/>
    </w:p>
    <w:p w14:paraId="10BF4200" w14:textId="67BC8849" w:rsidR="00115BE2" w:rsidRPr="00966AB6" w:rsidRDefault="00A0285B" w:rsidP="00A73673">
      <w:pPr>
        <w:rPr>
          <w:bCs/>
          <w:lang w:val="nl-NL"/>
        </w:rPr>
      </w:pPr>
      <w:r w:rsidRPr="00966AB6">
        <w:rPr>
          <w:bCs/>
          <w:lang w:val="nl-NL"/>
        </w:rPr>
        <w:t>Kerstin Haase, David Wedge, Peter Van Loo</w:t>
      </w:r>
    </w:p>
    <w:p w14:paraId="46C5538D" w14:textId="77777777" w:rsidR="00A0285B" w:rsidRPr="00966AB6" w:rsidRDefault="00A0285B" w:rsidP="00A73673">
      <w:pPr>
        <w:rPr>
          <w:b/>
          <w:sz w:val="36"/>
          <w:szCs w:val="36"/>
          <w:lang w:val="nl-NL"/>
        </w:rPr>
      </w:pPr>
    </w:p>
    <w:p w14:paraId="2280486E" w14:textId="730AD946" w:rsidR="008F5B8C" w:rsidRPr="00AC13E7" w:rsidRDefault="008F5B8C" w:rsidP="008C0829">
      <w:pPr>
        <w:jc w:val="both"/>
        <w:rPr>
          <w:bCs/>
        </w:rPr>
      </w:pPr>
      <w:r w:rsidRPr="00AC13E7">
        <w:rPr>
          <w:bCs/>
        </w:rPr>
        <w:t xml:space="preserve">After the </w:t>
      </w:r>
      <w:r w:rsidR="003B7E5E" w:rsidRPr="00AC13E7">
        <w:rPr>
          <w:bCs/>
        </w:rPr>
        <w:t>results</w:t>
      </w:r>
      <w:r w:rsidR="00E60F65" w:rsidRPr="00AC13E7">
        <w:rPr>
          <w:bCs/>
        </w:rPr>
        <w:t xml:space="preserve"> of the 11</w:t>
      </w:r>
      <w:r w:rsidR="003B7E5E" w:rsidRPr="00AC13E7">
        <w:rPr>
          <w:bCs/>
        </w:rPr>
        <w:t xml:space="preserve"> </w:t>
      </w:r>
      <w:r w:rsidRPr="00AC13E7">
        <w:rPr>
          <w:bCs/>
        </w:rPr>
        <w:t xml:space="preserve">subclonal reconstruction methods were combined by the consensus approach (section 2.2), we </w:t>
      </w:r>
      <w:r w:rsidR="00E60F65" w:rsidRPr="00AC13E7">
        <w:rPr>
          <w:bCs/>
        </w:rPr>
        <w:t xml:space="preserve">wanted to confirm </w:t>
      </w:r>
      <w:r w:rsidRPr="00AC13E7">
        <w:rPr>
          <w:bCs/>
        </w:rPr>
        <w:t xml:space="preserve">that the </w:t>
      </w:r>
      <w:r w:rsidR="00E60F65" w:rsidRPr="00AC13E7">
        <w:rPr>
          <w:bCs/>
        </w:rPr>
        <w:t xml:space="preserve">final </w:t>
      </w:r>
      <w:r w:rsidRPr="00AC13E7">
        <w:rPr>
          <w:bCs/>
        </w:rPr>
        <w:t xml:space="preserve">subclonal architecture does </w:t>
      </w:r>
      <w:r w:rsidR="00392683" w:rsidRPr="00AC13E7">
        <w:rPr>
          <w:bCs/>
        </w:rPr>
        <w:t xml:space="preserve">indeed </w:t>
      </w:r>
      <w:r w:rsidRPr="00AC13E7">
        <w:rPr>
          <w:bCs/>
        </w:rPr>
        <w:t xml:space="preserve">reflect </w:t>
      </w:r>
      <w:r w:rsidR="00D53493" w:rsidRPr="00AC13E7">
        <w:rPr>
          <w:bCs/>
        </w:rPr>
        <w:t xml:space="preserve">the individual solutions. </w:t>
      </w:r>
      <w:r w:rsidR="00BE5CC4" w:rsidRPr="00AC13E7">
        <w:rPr>
          <w:bCs/>
        </w:rPr>
        <w:t xml:space="preserve">For this purpose, we compared the fraction of </w:t>
      </w:r>
      <w:r w:rsidR="00B93A8F" w:rsidRPr="00AC13E7">
        <w:rPr>
          <w:bCs/>
        </w:rPr>
        <w:t>sub</w:t>
      </w:r>
      <w:r w:rsidR="00BE5CC4" w:rsidRPr="00AC13E7">
        <w:rPr>
          <w:bCs/>
        </w:rPr>
        <w:t xml:space="preserve">clonal mutations </w:t>
      </w:r>
      <w:r w:rsidR="00DD3237" w:rsidRPr="00AC13E7">
        <w:rPr>
          <w:bCs/>
        </w:rPr>
        <w:t xml:space="preserve">per cancer type </w:t>
      </w:r>
      <w:r w:rsidR="00BE5CC4" w:rsidRPr="00AC13E7">
        <w:rPr>
          <w:bCs/>
        </w:rPr>
        <w:t xml:space="preserve">between the </w:t>
      </w:r>
      <w:r w:rsidR="00F73C03" w:rsidRPr="00AC13E7">
        <w:rPr>
          <w:bCs/>
        </w:rPr>
        <w:t xml:space="preserve">11 </w:t>
      </w:r>
      <w:r w:rsidR="00BE5CC4" w:rsidRPr="00AC13E7">
        <w:rPr>
          <w:bCs/>
        </w:rPr>
        <w:t xml:space="preserve">input methods and the consensus reconstruction. </w:t>
      </w:r>
      <w:r w:rsidR="00DD3237" w:rsidRPr="00AC13E7">
        <w:rPr>
          <w:bCs/>
        </w:rPr>
        <w:t xml:space="preserve">Overall, the distributions </w:t>
      </w:r>
      <w:r w:rsidR="00425139" w:rsidRPr="00AC13E7">
        <w:rPr>
          <w:bCs/>
        </w:rPr>
        <w:t xml:space="preserve">were </w:t>
      </w:r>
      <w:r w:rsidR="00DD3237" w:rsidRPr="00AC13E7">
        <w:rPr>
          <w:bCs/>
        </w:rPr>
        <w:t xml:space="preserve">very similar, </w:t>
      </w:r>
      <w:r w:rsidR="008C0829" w:rsidRPr="00AC13E7">
        <w:rPr>
          <w:bCs/>
        </w:rPr>
        <w:t xml:space="preserve">and the </w:t>
      </w:r>
      <w:r w:rsidR="00DD3237" w:rsidRPr="00AC13E7">
        <w:rPr>
          <w:bCs/>
        </w:rPr>
        <w:t>ranking of cancer types by me</w:t>
      </w:r>
      <w:r w:rsidR="006074C3" w:rsidRPr="00AC13E7">
        <w:rPr>
          <w:bCs/>
        </w:rPr>
        <w:t>di</w:t>
      </w:r>
      <w:r w:rsidR="00DD3237" w:rsidRPr="00AC13E7">
        <w:rPr>
          <w:bCs/>
        </w:rPr>
        <w:t xml:space="preserve">an fraction of clonal mutations </w:t>
      </w:r>
      <w:r w:rsidR="004A133F" w:rsidRPr="00AC13E7">
        <w:rPr>
          <w:bCs/>
        </w:rPr>
        <w:t xml:space="preserve">was mostly conserved </w:t>
      </w:r>
      <w:r w:rsidR="00DD3237" w:rsidRPr="00AC13E7">
        <w:rPr>
          <w:bCs/>
        </w:rPr>
        <w:t>(</w:t>
      </w:r>
      <w:r w:rsidR="00072153" w:rsidRPr="00AC13E7">
        <w:rPr>
          <w:bCs/>
        </w:rPr>
        <w:fldChar w:fldCharType="begin"/>
      </w:r>
      <w:r w:rsidR="00072153" w:rsidRPr="00AC13E7">
        <w:rPr>
          <w:bCs/>
        </w:rPr>
        <w:instrText xml:space="preserve"> REF _Ref379537260 \h </w:instrText>
      </w:r>
      <w:r w:rsidR="00072153" w:rsidRPr="00AC13E7">
        <w:rPr>
          <w:bCs/>
        </w:rPr>
      </w:r>
      <w:r w:rsidR="00072153" w:rsidRPr="00AC13E7">
        <w:rPr>
          <w:bCs/>
        </w:rPr>
        <w:fldChar w:fldCharType="separate"/>
      </w:r>
      <w:r w:rsidR="00673FBD" w:rsidRPr="00AC13E7">
        <w:t xml:space="preserve">Fig. </w:t>
      </w:r>
      <w:r w:rsidR="00673FBD">
        <w:rPr>
          <w:noProof/>
        </w:rPr>
        <w:t>37</w:t>
      </w:r>
      <w:r w:rsidR="00072153" w:rsidRPr="00AC13E7">
        <w:rPr>
          <w:bCs/>
        </w:rPr>
        <w:fldChar w:fldCharType="end"/>
      </w:r>
      <w:r w:rsidR="00DD3237" w:rsidRPr="00AC13E7">
        <w:rPr>
          <w:bCs/>
        </w:rPr>
        <w:t>).</w:t>
      </w:r>
    </w:p>
    <w:p w14:paraId="3AA6BBF0" w14:textId="77777777" w:rsidR="00DC325B" w:rsidRPr="00AC13E7" w:rsidRDefault="00DC325B" w:rsidP="008B6240">
      <w:pPr>
        <w:jc w:val="both"/>
        <w:rPr>
          <w:bCs/>
        </w:rPr>
      </w:pPr>
    </w:p>
    <w:p w14:paraId="4793A966" w14:textId="4F08EA66" w:rsidR="00F05DA6" w:rsidRPr="00AC13E7" w:rsidRDefault="007D4E88" w:rsidP="00F05DA6">
      <w:pPr>
        <w:keepNext/>
        <w:jc w:val="both"/>
      </w:pPr>
      <w:r>
        <w:rPr>
          <w:noProof/>
          <w:lang w:eastAsia="en-GB"/>
        </w:rPr>
        <w:lastRenderedPageBreak/>
        <w:drawing>
          <wp:inline distT="0" distB="0" distL="0" distR="0" wp14:anchorId="5665C955" wp14:editId="25856675">
            <wp:extent cx="5266055" cy="7021195"/>
            <wp:effectExtent l="0" t="0" r="0" b="0"/>
            <wp:docPr id="36" name="Picture 36" descr="../figures/supp.violinPane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supp.violinPanel.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6055" cy="7021195"/>
                    </a:xfrm>
                    <a:prstGeom prst="rect">
                      <a:avLst/>
                    </a:prstGeom>
                    <a:noFill/>
                    <a:ln>
                      <a:noFill/>
                    </a:ln>
                  </pic:spPr>
                </pic:pic>
              </a:graphicData>
            </a:graphic>
          </wp:inline>
        </w:drawing>
      </w:r>
    </w:p>
    <w:p w14:paraId="6CCD14A6" w14:textId="39E70068" w:rsidR="00DC325B" w:rsidRPr="00AC13E7" w:rsidRDefault="00F05DA6" w:rsidP="007D7E69">
      <w:pPr>
        <w:pStyle w:val="Caption"/>
      </w:pPr>
      <w:bookmarkStart w:id="227" w:name="_Ref379537260"/>
      <w:bookmarkStart w:id="228" w:name="_Toc384459608"/>
      <w:r w:rsidRPr="00AC13E7">
        <w:t xml:space="preserve">Fig. </w:t>
      </w:r>
      <w:r w:rsidR="001003E9">
        <w:fldChar w:fldCharType="begin"/>
      </w:r>
      <w:r w:rsidR="001003E9">
        <w:instrText xml:space="preserve"> SEQ Fig. \* ARABIC </w:instrText>
      </w:r>
      <w:r w:rsidR="001003E9">
        <w:fldChar w:fldCharType="separate"/>
      </w:r>
      <w:r w:rsidR="00673FBD">
        <w:rPr>
          <w:noProof/>
        </w:rPr>
        <w:t>37</w:t>
      </w:r>
      <w:r w:rsidR="001003E9">
        <w:rPr>
          <w:noProof/>
        </w:rPr>
        <w:fldChar w:fldCharType="end"/>
      </w:r>
      <w:bookmarkEnd w:id="227"/>
      <w:r w:rsidRPr="00AC13E7">
        <w:rPr>
          <w:rFonts w:eastAsia="Cambria" w:cs="Times New Roman"/>
          <w:b/>
          <w:color w:val="auto"/>
        </w:rPr>
        <w:t xml:space="preserve"> </w:t>
      </w:r>
      <w:r w:rsidR="00557E77" w:rsidRPr="00AC13E7">
        <w:t>Fraction of subclonal mutations for all eleven subclonal reconstruction methods and the consensus. Shown are 1,</w:t>
      </w:r>
      <w:r w:rsidR="007569D5">
        <w:t>710</w:t>
      </w:r>
      <w:r w:rsidR="00557E77" w:rsidRPr="00AC13E7">
        <w:t xml:space="preserve"> out of 2,778 samples which are high-powered (nrpcc</w:t>
      </w:r>
      <w:r w:rsidR="008A22E3" w:rsidRPr="00AC13E7">
        <w:t xml:space="preserve"> </w:t>
      </w:r>
      <w:r w:rsidR="008A22E3" w:rsidRPr="00AC13E7">
        <w:sym w:font="Symbol" w:char="F0B3"/>
      </w:r>
      <w:r w:rsidR="00BA7500" w:rsidRPr="00AC13E7">
        <w:t xml:space="preserve"> </w:t>
      </w:r>
      <w:r w:rsidR="00557E77" w:rsidRPr="00AC13E7">
        <w:t>10), primaries, and representative samples from multi-sample cases.</w:t>
      </w:r>
      <w:r w:rsidR="007D7E69" w:rsidRPr="007D7E69">
        <w:t xml:space="preserve"> </w:t>
      </w:r>
      <w:r w:rsidR="007D7E69">
        <w:t>Samples have been limited to those with less than 2% tumour contamination in the matched normal sample.</w:t>
      </w:r>
      <w:r w:rsidR="00557E77" w:rsidRPr="00AC13E7">
        <w:t xml:space="preserve"> Additionally, </w:t>
      </w:r>
      <w:r w:rsidR="000C2EB6" w:rsidRPr="00AC13E7">
        <w:t>67 melanoma metastase</w:t>
      </w:r>
      <w:r w:rsidR="00557E77" w:rsidRPr="00AC13E7">
        <w:t>s for which mostly no primaries were available are shown. Cancer types are ordered by me</w:t>
      </w:r>
      <w:r w:rsidR="00261B7A" w:rsidRPr="00AC13E7">
        <w:t>di</w:t>
      </w:r>
      <w:r w:rsidR="00557E77" w:rsidRPr="00AC13E7">
        <w:t xml:space="preserve">an fraction of subclonal mutations in the </w:t>
      </w:r>
      <w:r w:rsidR="003D264A" w:rsidRPr="00AC13E7">
        <w:t>consensus reconstruction</w:t>
      </w:r>
      <w:r w:rsidR="00557E77" w:rsidRPr="00AC13E7">
        <w:t>.</w:t>
      </w:r>
      <w:r w:rsidR="00261B7A" w:rsidRPr="00AC13E7">
        <w:t xml:space="preserve"> </w:t>
      </w:r>
      <w:r w:rsidR="00716729" w:rsidRPr="00AC13E7">
        <w:t xml:space="preserve">The distributions of the fraction </w:t>
      </w:r>
      <w:r w:rsidR="00261B7A" w:rsidRPr="00AC13E7">
        <w:t>of subclonal mutations per cancer type</w:t>
      </w:r>
      <w:r w:rsidR="00C608D2" w:rsidRPr="00AC13E7">
        <w:t>, as determined by the individual methods,</w:t>
      </w:r>
      <w:r w:rsidR="00261B7A" w:rsidRPr="00AC13E7">
        <w:t xml:space="preserve"> are very similar to the reported consensus architecture.</w:t>
      </w:r>
      <w:bookmarkEnd w:id="228"/>
    </w:p>
    <w:p w14:paraId="64716218" w14:textId="77777777" w:rsidR="00DC325B" w:rsidRPr="00AC13E7" w:rsidRDefault="00DC325B" w:rsidP="008B6240">
      <w:pPr>
        <w:jc w:val="both"/>
        <w:rPr>
          <w:bCs/>
        </w:rPr>
      </w:pPr>
    </w:p>
    <w:p w14:paraId="389D37C5" w14:textId="254C928A" w:rsidR="002A47FB" w:rsidRPr="00AC13E7" w:rsidRDefault="002A47FB" w:rsidP="00137602">
      <w:pPr>
        <w:pStyle w:val="Heading2"/>
        <w:spacing w:before="320" w:after="80" w:line="276" w:lineRule="auto"/>
        <w:rPr>
          <w:rFonts w:ascii="Times New Roman" w:hAnsi="Times New Roman" w:cs="Times New Roman"/>
          <w:lang w:val="en-GB"/>
        </w:rPr>
      </w:pPr>
      <w:bookmarkStart w:id="229" w:name="_5gwl29twyce1" w:colFirst="0" w:colLast="0"/>
      <w:bookmarkStart w:id="230" w:name="_Toc391905040"/>
      <w:bookmarkEnd w:id="229"/>
      <w:r w:rsidRPr="00AC13E7">
        <w:rPr>
          <w:rFonts w:ascii="Times New Roman" w:hAnsi="Times New Roman" w:cs="Times New Roman"/>
          <w:lang w:val="en-GB"/>
        </w:rPr>
        <w:lastRenderedPageBreak/>
        <w:t>3.3</w:t>
      </w:r>
      <w:r w:rsidR="00137602" w:rsidRPr="00AC13E7">
        <w:rPr>
          <w:rFonts w:ascii="Times New Roman" w:hAnsi="Times New Roman" w:cs="Times New Roman"/>
          <w:lang w:val="en-GB"/>
        </w:rPr>
        <w:t xml:space="preserve"> Correlation between fraction of </w:t>
      </w:r>
      <w:r w:rsidR="00E274FF" w:rsidRPr="00AC13E7">
        <w:rPr>
          <w:rFonts w:ascii="Times New Roman" w:hAnsi="Times New Roman" w:cs="Times New Roman"/>
          <w:lang w:val="en-GB"/>
        </w:rPr>
        <w:t>sub</w:t>
      </w:r>
      <w:r w:rsidR="00137602" w:rsidRPr="00AC13E7">
        <w:rPr>
          <w:rFonts w:ascii="Times New Roman" w:hAnsi="Times New Roman" w:cs="Times New Roman"/>
          <w:lang w:val="en-GB"/>
        </w:rPr>
        <w:t>clonal mutations and mutation burden</w:t>
      </w:r>
      <w:bookmarkEnd w:id="230"/>
    </w:p>
    <w:p w14:paraId="4FEE4D3D" w14:textId="2FEC3372" w:rsidR="002A47FB" w:rsidRPr="00AC13E7" w:rsidRDefault="00170632" w:rsidP="002A47FB">
      <w:pPr>
        <w:rPr>
          <w:rFonts w:eastAsia="Times New Roman"/>
        </w:rPr>
      </w:pPr>
      <w:r w:rsidRPr="00AC13E7">
        <w:rPr>
          <w:rFonts w:eastAsia="Times New Roman"/>
        </w:rPr>
        <w:t>Kerstin Haase, Maxime Tarabichi, Peter Van Loo</w:t>
      </w:r>
    </w:p>
    <w:p w14:paraId="7244B582" w14:textId="77777777" w:rsidR="00170632" w:rsidRPr="00AC13E7" w:rsidRDefault="00170632" w:rsidP="002A47FB"/>
    <w:p w14:paraId="04160744" w14:textId="559C764B" w:rsidR="002A47FB" w:rsidRPr="00AC13E7" w:rsidRDefault="00AD1CCE" w:rsidP="00D86E26">
      <w:pPr>
        <w:jc w:val="both"/>
        <w:rPr>
          <w:rFonts w:eastAsia="Times New Roman"/>
        </w:rPr>
      </w:pPr>
      <w:r w:rsidRPr="00AC13E7">
        <w:rPr>
          <w:rFonts w:eastAsia="Times New Roman"/>
        </w:rPr>
        <w:t xml:space="preserve">As </w:t>
      </w:r>
      <w:r w:rsidRPr="00AC13E7">
        <w:rPr>
          <w:rFonts w:eastAsia="Times New Roman"/>
          <w:b/>
          <w:bCs/>
        </w:rPr>
        <w:t xml:space="preserve">Fig. 2 </w:t>
      </w:r>
      <w:r w:rsidRPr="00AC13E7">
        <w:rPr>
          <w:rFonts w:eastAsia="Times New Roman"/>
        </w:rPr>
        <w:t>seemed</w:t>
      </w:r>
      <w:r w:rsidRPr="00AC13E7">
        <w:rPr>
          <w:rFonts w:eastAsia="Times New Roman"/>
          <w:b/>
          <w:bCs/>
        </w:rPr>
        <w:t xml:space="preserve"> </w:t>
      </w:r>
      <w:r w:rsidRPr="00AC13E7">
        <w:rPr>
          <w:rFonts w:eastAsia="Times New Roman"/>
        </w:rPr>
        <w:t>to</w:t>
      </w:r>
      <w:r w:rsidRPr="00AC13E7">
        <w:rPr>
          <w:rFonts w:eastAsia="Times New Roman"/>
          <w:b/>
          <w:bCs/>
        </w:rPr>
        <w:t xml:space="preserve"> </w:t>
      </w:r>
      <w:r w:rsidRPr="00AC13E7">
        <w:rPr>
          <w:rFonts w:eastAsia="Times New Roman"/>
        </w:rPr>
        <w:t xml:space="preserve">show a negative correlation between overall mutation burden and the fraction of subclonal mutations over </w:t>
      </w:r>
      <w:r w:rsidR="00A0148F" w:rsidRPr="00AC13E7">
        <w:rPr>
          <w:rFonts w:eastAsia="Times New Roman"/>
        </w:rPr>
        <w:t>the whole cohort, we investigated the Pearson’s correlation within each cancer type. After correction for multiple testing using Benjamini-Hochberg</w:t>
      </w:r>
      <w:r w:rsidR="00B321C3" w:rsidRPr="00AC13E7">
        <w:rPr>
          <w:rFonts w:eastAsia="Times New Roman"/>
        </w:rPr>
        <w:fldChar w:fldCharType="begin"/>
      </w:r>
      <w:r w:rsidR="00D86E26">
        <w:rPr>
          <w:rFonts w:eastAsia="Times New Roman"/>
        </w:rPr>
        <w:instrText xml:space="preserve"> ADDIN EN.CITE &lt;EndNote&gt;&lt;Cite&gt;&lt;Author&gt;Benjamini&lt;/Author&gt;&lt;Year&gt;1995&lt;/Year&gt;&lt;RecNum&gt;72&lt;/RecNum&gt;&lt;DisplayText&gt;&lt;style face="superscript"&gt;46&lt;/style&gt;&lt;/DisplayText&gt;&lt;record&gt;&lt;rec-number&gt;72&lt;/rec-number&gt;&lt;foreign-keys&gt;&lt;key app="EN" db-id="xtaw29xt0drav5efdsppfrerarrd9tf9dfxd" timestamp="1522228023"&gt;72&lt;/key&gt;&lt;/foreign-keys&gt;&lt;ref-type name="Journal Article"&gt;17&lt;/ref-type&gt;&lt;contributors&gt;&lt;authors&gt;&lt;author&gt;Benjamini, Yoav&lt;/author&gt;&lt;author&gt;Hochberg, Yosef&lt;/author&gt;&lt;/authors&gt;&lt;/contributors&gt;&lt;titles&gt;&lt;title&gt;Controlling the False Discovery Rate: A Practical and Powerful Approach to Multiple Testing&lt;/title&gt;&lt;secondary-title&gt;Journal of the Royal Statistical Society. Series B (Methodological)&lt;/secondary-title&gt;&lt;/titles&gt;&lt;periodical&gt;&lt;full-title&gt;Journal of the Royal Statistical Society. Series B (Methodological)&lt;/full-title&gt;&lt;/periodical&gt;&lt;pages&gt;289-300&lt;/pages&gt;&lt;volume&gt;57&lt;/volume&gt;&lt;number&gt;1&lt;/number&gt;&lt;keywords&gt;&lt;keyword&gt;multiple-testing&lt;/keyword&gt;&lt;keyword&gt;significance&lt;/keyword&gt;&lt;/keywords&gt;&lt;dates&gt;&lt;year&gt;1995&lt;/year&gt;&lt;pub-dates&gt;&lt;date&gt;//&lt;/date&gt;&lt;/pub-dates&gt;&lt;/dates&gt;&lt;publisher&gt;Blackwell Publishing for the Royal Statistical Society&lt;/publisher&gt;&lt;isbn&gt;00359246&lt;/isbn&gt;&lt;urls&gt;&lt;related-urls&gt;&lt;url&gt;http://dx.doi.org/10.2307/2346101&lt;/url&gt;&lt;/related-urls&gt;&lt;/urls&gt;&lt;electronic-resource-num&gt;citeulike-article-id:1042553&amp;#xD;doi: 10.2307/2346101&lt;/electronic-resource-num&gt;&lt;/record&gt;&lt;/Cite&gt;&lt;/EndNote&gt;</w:instrText>
      </w:r>
      <w:r w:rsidR="00B321C3" w:rsidRPr="00AC13E7">
        <w:rPr>
          <w:rFonts w:eastAsia="Times New Roman"/>
        </w:rPr>
        <w:fldChar w:fldCharType="separate"/>
      </w:r>
      <w:r w:rsidR="00D86E26" w:rsidRPr="00D86E26">
        <w:rPr>
          <w:rFonts w:eastAsia="Times New Roman"/>
          <w:noProof/>
          <w:vertAlign w:val="superscript"/>
        </w:rPr>
        <w:t>46</w:t>
      </w:r>
      <w:r w:rsidR="00B321C3" w:rsidRPr="00AC13E7">
        <w:rPr>
          <w:rFonts w:eastAsia="Times New Roman"/>
        </w:rPr>
        <w:fldChar w:fldCharType="end"/>
      </w:r>
      <w:r w:rsidR="0088266F" w:rsidRPr="00AC13E7">
        <w:rPr>
          <w:rFonts w:eastAsia="Times New Roman"/>
        </w:rPr>
        <w:t xml:space="preserve"> only colorectal </w:t>
      </w:r>
      <w:r w:rsidR="004010BD">
        <w:rPr>
          <w:rFonts w:eastAsia="Times New Roman"/>
        </w:rPr>
        <w:t xml:space="preserve">and prostate </w:t>
      </w:r>
      <w:r w:rsidR="0088266F" w:rsidRPr="00AC13E7">
        <w:rPr>
          <w:rFonts w:eastAsia="Times New Roman"/>
        </w:rPr>
        <w:t>adenocarcinoma show a significant correlation</w:t>
      </w:r>
      <w:r w:rsidR="00BF57FF" w:rsidRPr="00AC13E7">
        <w:rPr>
          <w:rFonts w:eastAsia="Times New Roman"/>
        </w:rPr>
        <w:t xml:space="preserve"> </w:t>
      </w:r>
      <w:r w:rsidR="002A47FB" w:rsidRPr="00AC13E7">
        <w:rPr>
          <w:rFonts w:eastAsia="Times New Roman"/>
        </w:rPr>
        <w:t>(</w:t>
      </w:r>
      <w:r w:rsidR="00450BB5" w:rsidRPr="00AC13E7">
        <w:rPr>
          <w:rFonts w:eastAsia="Times New Roman"/>
        </w:rPr>
        <w:t xml:space="preserve">FDR&lt;0.05; </w:t>
      </w:r>
      <w:r w:rsidR="002A47FB" w:rsidRPr="00AC13E7">
        <w:rPr>
          <w:rFonts w:eastAsia="Times New Roman"/>
        </w:rPr>
        <w:fldChar w:fldCharType="begin"/>
      </w:r>
      <w:r w:rsidR="002A47FB" w:rsidRPr="00AC13E7">
        <w:rPr>
          <w:rFonts w:eastAsia="Times New Roman"/>
        </w:rPr>
        <w:instrText xml:space="preserve"> REF _Ref383073053 \h </w:instrText>
      </w:r>
      <w:r w:rsidR="002A47FB" w:rsidRPr="00AC13E7">
        <w:rPr>
          <w:rFonts w:eastAsia="Times New Roman"/>
        </w:rPr>
      </w:r>
      <w:r w:rsidR="002A47FB" w:rsidRPr="00AC13E7">
        <w:rPr>
          <w:rFonts w:eastAsia="Times New Roman"/>
        </w:rPr>
        <w:fldChar w:fldCharType="separate"/>
      </w:r>
      <w:r w:rsidR="00673FBD" w:rsidRPr="00AC13E7">
        <w:t>Table 2</w:t>
      </w:r>
      <w:r w:rsidR="002A47FB" w:rsidRPr="00AC13E7">
        <w:rPr>
          <w:rFonts w:eastAsia="Times New Roman"/>
        </w:rPr>
        <w:fldChar w:fldCharType="end"/>
      </w:r>
      <w:r w:rsidR="002A47FB" w:rsidRPr="00AC13E7">
        <w:rPr>
          <w:rFonts w:eastAsia="Times New Roman"/>
        </w:rPr>
        <w:t>)</w:t>
      </w:r>
      <w:r w:rsidR="00161B2E" w:rsidRPr="00AC13E7">
        <w:rPr>
          <w:rFonts w:eastAsia="Times New Roman"/>
        </w:rPr>
        <w:t xml:space="preserve">, </w:t>
      </w:r>
      <w:r w:rsidR="00450BB5" w:rsidRPr="00AC13E7">
        <w:rPr>
          <w:rFonts w:eastAsia="Times New Roman"/>
        </w:rPr>
        <w:t>demonstrating</w:t>
      </w:r>
      <w:r w:rsidR="005B666D" w:rsidRPr="00AC13E7">
        <w:rPr>
          <w:rFonts w:eastAsia="Times New Roman"/>
        </w:rPr>
        <w:t xml:space="preserve"> that there </w:t>
      </w:r>
      <w:r w:rsidR="00450BB5" w:rsidRPr="00AC13E7">
        <w:rPr>
          <w:rFonts w:eastAsia="Times New Roman"/>
        </w:rPr>
        <w:t>is</w:t>
      </w:r>
      <w:r w:rsidR="005B666D" w:rsidRPr="00AC13E7">
        <w:rPr>
          <w:rFonts w:eastAsia="Times New Roman"/>
        </w:rPr>
        <w:t xml:space="preserve"> no </w:t>
      </w:r>
      <w:r w:rsidR="00450BB5" w:rsidRPr="00AC13E7">
        <w:rPr>
          <w:rFonts w:eastAsia="Times New Roman"/>
        </w:rPr>
        <w:t xml:space="preserve">systematic </w:t>
      </w:r>
      <w:r w:rsidR="005B666D" w:rsidRPr="00AC13E7">
        <w:rPr>
          <w:rFonts w:eastAsia="Times New Roman"/>
        </w:rPr>
        <w:t>technical bias</w:t>
      </w:r>
      <w:r w:rsidR="00690969" w:rsidRPr="00AC13E7">
        <w:rPr>
          <w:rFonts w:eastAsia="Times New Roman"/>
        </w:rPr>
        <w:t xml:space="preserve"> causing the amount of subclonal mutations to be dependent on mutation burden</w:t>
      </w:r>
      <w:r w:rsidR="002A47FB" w:rsidRPr="00AC13E7">
        <w:rPr>
          <w:rFonts w:eastAsia="Times New Roman"/>
        </w:rPr>
        <w:t>.</w:t>
      </w:r>
    </w:p>
    <w:p w14:paraId="4F0C2F9A" w14:textId="10103621" w:rsidR="003F62D3" w:rsidRPr="00AC13E7" w:rsidRDefault="003F62D3" w:rsidP="00906836"/>
    <w:p w14:paraId="06464EC2" w14:textId="44CF9197" w:rsidR="002F0653" w:rsidRPr="00AC13E7" w:rsidRDefault="002F0653" w:rsidP="00D86E26">
      <w:pPr>
        <w:pStyle w:val="Caption"/>
      </w:pPr>
      <w:bookmarkStart w:id="231" w:name="_Toc384459609"/>
      <w:r w:rsidRPr="00AC13E7">
        <w:t xml:space="preserve">Table 1 Table </w:t>
      </w:r>
      <w:r w:rsidR="00DA6B63" w:rsidRPr="00AC13E7">
        <w:t xml:space="preserve">showing the Pearson’s correlation p-values of fraction of subclonal mutations and </w:t>
      </w:r>
      <w:r w:rsidR="00773849" w:rsidRPr="00AC13E7">
        <w:t>mutation burden</w:t>
      </w:r>
      <w:r w:rsidR="00AF434E" w:rsidRPr="00AC13E7">
        <w:t xml:space="preserve"> per cancer type</w:t>
      </w:r>
      <w:r w:rsidR="00773849" w:rsidRPr="00AC13E7">
        <w:t>. Adjustment was performed according to Benjamini and Hochberg</w:t>
      </w:r>
      <w:r w:rsidR="00B321C3" w:rsidRPr="00AC13E7">
        <w:fldChar w:fldCharType="begin"/>
      </w:r>
      <w:r w:rsidR="00D86E26">
        <w:instrText xml:space="preserve"> ADDIN EN.CITE &lt;EndNote&gt;&lt;Cite&gt;&lt;Author&gt;Benjamini&lt;/Author&gt;&lt;Year&gt;1995&lt;/Year&gt;&lt;RecNum&gt;72&lt;/RecNum&gt;&lt;DisplayText&gt;&lt;style face="superscript"&gt;46&lt;/style&gt;&lt;/DisplayText&gt;&lt;record&gt;&lt;rec-number&gt;72&lt;/rec-number&gt;&lt;foreign-keys&gt;&lt;key app="EN" db-id="xtaw29xt0drav5efdsppfrerarrd9tf9dfxd" timestamp="1522228023"&gt;72&lt;/key&gt;&lt;/foreign-keys&gt;&lt;ref-type name="Journal Article"&gt;17&lt;/ref-type&gt;&lt;contributors&gt;&lt;authors&gt;&lt;author&gt;Benjamini, Yoav&lt;/author&gt;&lt;author&gt;Hochberg, Yosef&lt;/author&gt;&lt;/authors&gt;&lt;/contributors&gt;&lt;titles&gt;&lt;title&gt;Controlling the False Discovery Rate: A Practical and Powerful Approach to Multiple Testing&lt;/title&gt;&lt;secondary-title&gt;Journal of the Royal Statistical Society. Series B (Methodological)&lt;/secondary-title&gt;&lt;/titles&gt;&lt;periodical&gt;&lt;full-title&gt;Journal of the Royal Statistical Society. Series B (Methodological)&lt;/full-title&gt;&lt;/periodical&gt;&lt;pages&gt;289-300&lt;/pages&gt;&lt;volume&gt;57&lt;/volume&gt;&lt;number&gt;1&lt;/number&gt;&lt;keywords&gt;&lt;keyword&gt;multiple-testing&lt;/keyword&gt;&lt;keyword&gt;significance&lt;/keyword&gt;&lt;/keywords&gt;&lt;dates&gt;&lt;year&gt;1995&lt;/year&gt;&lt;pub-dates&gt;&lt;date&gt;//&lt;/date&gt;&lt;/pub-dates&gt;&lt;/dates&gt;&lt;publisher&gt;Blackwell Publishing for the Royal Statistical Society&lt;/publisher&gt;&lt;isbn&gt;00359246&lt;/isbn&gt;&lt;urls&gt;&lt;related-urls&gt;&lt;url&gt;http://dx.doi.org/10.2307/2346101&lt;/url&gt;&lt;/related-urls&gt;&lt;/urls&gt;&lt;electronic-resource-num&gt;citeulike-article-id:1042553&amp;#xD;doi: 10.2307/2346101&lt;/electronic-resource-num&gt;&lt;/record&gt;&lt;/Cite&gt;&lt;/EndNote&gt;</w:instrText>
      </w:r>
      <w:r w:rsidR="00B321C3" w:rsidRPr="00AC13E7">
        <w:fldChar w:fldCharType="separate"/>
      </w:r>
      <w:r w:rsidR="00D86E26" w:rsidRPr="00D86E26">
        <w:rPr>
          <w:noProof/>
          <w:vertAlign w:val="superscript"/>
        </w:rPr>
        <w:t>46</w:t>
      </w:r>
      <w:r w:rsidR="00B321C3" w:rsidRPr="00AC13E7">
        <w:fldChar w:fldCharType="end"/>
      </w:r>
      <w:r w:rsidR="00773849" w:rsidRPr="00AC13E7">
        <w:t>.</w:t>
      </w:r>
      <w:bookmarkEnd w:id="231"/>
    </w:p>
    <w:p w14:paraId="7F0C17BB" w14:textId="51D079BD" w:rsidR="007A0440" w:rsidRPr="00AC13E7" w:rsidRDefault="00272E7D" w:rsidP="00906836">
      <w:pPr>
        <w:pStyle w:val="Heading1"/>
        <w:spacing w:before="360" w:after="120"/>
        <w:jc w:val="center"/>
        <w:rPr>
          <w:rFonts w:ascii="Times New Roman" w:hAnsi="Times New Roman" w:cs="Times New Roman"/>
          <w:lang w:val="en-GB"/>
        </w:rPr>
      </w:pPr>
      <w:r w:rsidRPr="000B6635">
        <w:rPr>
          <w:rFonts w:ascii="Times New Roman" w:hAnsi="Times New Roman" w:cs="Times New Roman"/>
          <w:noProof/>
          <w:lang w:val="en-GB" w:eastAsia="en-GB"/>
        </w:rPr>
        <w:drawing>
          <wp:inline distT="0" distB="0" distL="0" distR="0" wp14:anchorId="4F917E57" wp14:editId="6D1E0F78">
            <wp:extent cx="3298190" cy="5217160"/>
            <wp:effectExtent l="0" t="0" r="3810" b="0"/>
            <wp:docPr id="37" name="Picture 37" descr="p-value.tab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value.table.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98190" cy="5217160"/>
                    </a:xfrm>
                    <a:prstGeom prst="rect">
                      <a:avLst/>
                    </a:prstGeom>
                    <a:noFill/>
                    <a:ln>
                      <a:noFill/>
                    </a:ln>
                  </pic:spPr>
                </pic:pic>
              </a:graphicData>
            </a:graphic>
          </wp:inline>
        </w:drawing>
      </w:r>
    </w:p>
    <w:p w14:paraId="59B10E20" w14:textId="77777777" w:rsidR="00755CDB" w:rsidRPr="00AC13E7" w:rsidRDefault="00755CDB">
      <w:pPr>
        <w:rPr>
          <w:rFonts w:eastAsia="Times"/>
          <w:b/>
          <w:color w:val="000000"/>
          <w:sz w:val="48"/>
          <w:szCs w:val="48"/>
        </w:rPr>
      </w:pPr>
      <w:r w:rsidRPr="00AC13E7">
        <w:br w:type="page"/>
      </w:r>
    </w:p>
    <w:p w14:paraId="35F6ECBB" w14:textId="0458B1FE" w:rsidR="00720570" w:rsidRPr="00AC13E7" w:rsidRDefault="00FE3B88">
      <w:pPr>
        <w:pStyle w:val="Heading1"/>
        <w:spacing w:before="360" w:after="120"/>
        <w:rPr>
          <w:rFonts w:ascii="Times New Roman" w:hAnsi="Times New Roman" w:cs="Times New Roman"/>
          <w:lang w:val="en-GB"/>
        </w:rPr>
      </w:pPr>
      <w:bookmarkStart w:id="232" w:name="_Toc391905041"/>
      <w:r w:rsidRPr="00AC13E7">
        <w:rPr>
          <w:rFonts w:ascii="Times New Roman" w:hAnsi="Times New Roman" w:cs="Times New Roman"/>
          <w:lang w:val="en-GB"/>
        </w:rPr>
        <w:lastRenderedPageBreak/>
        <w:t xml:space="preserve">4. </w:t>
      </w:r>
      <w:bookmarkStart w:id="233" w:name="_Toc499569290"/>
      <w:bookmarkStart w:id="234" w:name="_Toc499571760"/>
      <w:r w:rsidRPr="00AC13E7">
        <w:rPr>
          <w:rFonts w:ascii="Times New Roman" w:hAnsi="Times New Roman" w:cs="Times New Roman"/>
          <w:lang w:val="en-GB"/>
        </w:rPr>
        <w:t>Selection and driver genes</w:t>
      </w:r>
      <w:bookmarkEnd w:id="232"/>
      <w:bookmarkEnd w:id="233"/>
      <w:bookmarkEnd w:id="234"/>
    </w:p>
    <w:p w14:paraId="5CE4909B" w14:textId="51D26D66" w:rsidR="00720570" w:rsidRPr="00AC13E7" w:rsidRDefault="00FE3B88" w:rsidP="00E62029">
      <w:pPr>
        <w:pStyle w:val="Heading2"/>
        <w:spacing w:before="320" w:after="80" w:line="276" w:lineRule="auto"/>
        <w:rPr>
          <w:rFonts w:ascii="Times New Roman" w:hAnsi="Times New Roman" w:cs="Times New Roman"/>
          <w:lang w:val="en-GB"/>
        </w:rPr>
      </w:pPr>
      <w:bookmarkStart w:id="235" w:name="_k0l9l4w6k6x4" w:colFirst="0" w:colLast="0"/>
      <w:bookmarkStart w:id="236" w:name="_Toc499569291"/>
      <w:bookmarkStart w:id="237" w:name="_Toc499571761"/>
      <w:bookmarkStart w:id="238" w:name="_Toc391905042"/>
      <w:bookmarkEnd w:id="235"/>
      <w:r w:rsidRPr="00AC13E7">
        <w:rPr>
          <w:rFonts w:ascii="Times New Roman" w:hAnsi="Times New Roman" w:cs="Times New Roman"/>
          <w:lang w:val="en-GB"/>
        </w:rPr>
        <w:t>4.1 Selection and dN/dS</w:t>
      </w:r>
      <w:bookmarkEnd w:id="236"/>
      <w:bookmarkEnd w:id="237"/>
      <w:bookmarkEnd w:id="238"/>
    </w:p>
    <w:p w14:paraId="47E0617E" w14:textId="0608E728" w:rsidR="00F02D29" w:rsidRPr="00966AB6" w:rsidRDefault="00F02D29" w:rsidP="00F02D29">
      <w:pPr>
        <w:rPr>
          <w:lang w:val="it-IT"/>
        </w:rPr>
      </w:pPr>
      <w:r w:rsidRPr="00966AB6">
        <w:rPr>
          <w:lang w:val="it-IT"/>
        </w:rPr>
        <w:t>Maxime Tarabichi, Iñigo Martincorena, Peter Van Loo</w:t>
      </w:r>
    </w:p>
    <w:p w14:paraId="5AEAE21E" w14:textId="77777777" w:rsidR="00C62618" w:rsidRPr="00966AB6" w:rsidRDefault="00C62618" w:rsidP="002E3119">
      <w:pPr>
        <w:jc w:val="both"/>
        <w:rPr>
          <w:lang w:val="it-IT"/>
        </w:rPr>
      </w:pPr>
      <w:bookmarkStart w:id="239" w:name="_Toc499569292"/>
      <w:bookmarkStart w:id="240" w:name="_Toc499571762"/>
    </w:p>
    <w:p w14:paraId="0C6CA6A0" w14:textId="10991B16" w:rsidR="002A3ED2" w:rsidRPr="00AC13E7" w:rsidRDefault="002A3ED2" w:rsidP="00D86E26">
      <w:pPr>
        <w:jc w:val="both"/>
      </w:pPr>
      <w:r w:rsidRPr="00AC13E7">
        <w:t>dN/dS is the ratio between the rates of nonsynonymous and synonymous substitutions. This metric has been extensively used for the detection of selection acting on protein-coding genes since its conception in the 1980s and has a long history in the field of molecular evolution. More recently, dN/dS has also been used to study selection in cancer genomes. In this study, we use a Poisson implementation of</w:t>
      </w:r>
      <w:r w:rsidR="0019399C" w:rsidRPr="00AC13E7">
        <w:t xml:space="preserve"> dN/dS, initially developed in Greenman </w:t>
      </w:r>
      <w:r w:rsidR="0019399C" w:rsidRPr="00AC13E7">
        <w:rPr>
          <w:i/>
        </w:rPr>
        <w:t>et al</w:t>
      </w:r>
      <w:r w:rsidR="00FD3F42" w:rsidRPr="00AC13E7">
        <w:t>.</w:t>
      </w:r>
      <w:r w:rsidR="0019399C" w:rsidRPr="00AC13E7">
        <w:fldChar w:fldCharType="begin"/>
      </w:r>
      <w:r w:rsidR="00D86E26">
        <w:instrText xml:space="preserve"> ADDIN EN.CITE &lt;EndNote&gt;&lt;Cite&gt;&lt;Author&gt;Greenman&lt;/Author&gt;&lt;Year&gt;2006&lt;/Year&gt;&lt;RecNum&gt;31&lt;/RecNum&gt;&lt;DisplayText&gt;&lt;style face="superscript"&gt;47&lt;/style&gt;&lt;/DisplayText&gt;&lt;record&gt;&lt;rec-number&gt;31&lt;/rec-number&gt;&lt;foreign-keys&gt;&lt;key app="EN" db-id="swsz0f55g50w9yex0aqvtfdxarrpzt5z00pd" timestamp="1499174696"&gt;31&lt;/key&gt;&lt;/foreign-keys&gt;&lt;ref-type name="Journal Article"&gt;17&lt;/ref-type&gt;&lt;contributors&gt;&lt;authors&gt;&lt;author&gt;Greenman, C.&lt;/author&gt;&lt;author&gt;Wooster, R.&lt;/author&gt;&lt;author&gt;Futreal, P. A.&lt;/author&gt;&lt;author&gt;Stratton, M. R.&lt;/author&gt;&lt;author&gt;Easton, D. F.&lt;/author&gt;&lt;/authors&gt;&lt;/contributors&gt;&lt;auth-address&gt;Cancer Genome Project, Wellcome Trust Sanger Institute, Cambridge, United Kingdom. cdg@sanger.ac.uk&lt;/auth-address&gt;&lt;titles&gt;&lt;title&gt;Statistical analysis of pathogenicity of somatic mutations in cancer&lt;/title&gt;&lt;secondary-title&gt;Genetics&lt;/secondary-title&gt;&lt;/titles&gt;&lt;periodical&gt;&lt;full-title&gt;Genetics&lt;/full-title&gt;&lt;/periodical&gt;&lt;pages&gt;2187-98&lt;/pages&gt;&lt;volume&gt;173&lt;/volume&gt;&lt;number&gt;4&lt;/number&gt;&lt;keywords&gt;&lt;keyword&gt;Amino Acid Sequence/*genetics&lt;/keyword&gt;&lt;keyword&gt;DNA Mutational Analysis/methods&lt;/keyword&gt;&lt;keyword&gt;Databases, Genetic&lt;/keyword&gt;&lt;keyword&gt;Female&lt;/keyword&gt;&lt;keyword&gt;Humans&lt;/keyword&gt;&lt;keyword&gt;Male&lt;/keyword&gt;&lt;keyword&gt;Neoplasms/*genetics/pathology&lt;/keyword&gt;&lt;keyword&gt;*Sequence Deletion&lt;/keyword&gt;&lt;keyword&gt;Tumor Suppressor Protein p53/*genetics&lt;/keyword&gt;&lt;/keywords&gt;&lt;dates&gt;&lt;year&gt;2006&lt;/year&gt;&lt;pub-dates&gt;&lt;date&gt;Aug&lt;/date&gt;&lt;/pub-dates&gt;&lt;/dates&gt;&lt;isbn&gt;0016-6731 (Print)&amp;#xD;0016-6731 (Linking)&lt;/isbn&gt;&lt;accession-num&gt;16783027&lt;/accession-num&gt;&lt;urls&gt;&lt;related-urls&gt;&lt;url&gt;https://www.ncbi.nlm.nih.gov/pubmed/16783027&lt;/url&gt;&lt;/related-urls&gt;&lt;/urls&gt;&lt;custom2&gt;PMC1569711&lt;/custom2&gt;&lt;electronic-resource-num&gt;10.1534/genetics.105.044677&lt;/electronic-resource-num&gt;&lt;/record&gt;&lt;/Cite&gt;&lt;/EndNote&gt;</w:instrText>
      </w:r>
      <w:r w:rsidR="0019399C" w:rsidRPr="00AC13E7">
        <w:fldChar w:fldCharType="separate"/>
      </w:r>
      <w:r w:rsidR="00D86E26" w:rsidRPr="00D86E26">
        <w:rPr>
          <w:noProof/>
          <w:vertAlign w:val="superscript"/>
        </w:rPr>
        <w:t>47</w:t>
      </w:r>
      <w:r w:rsidR="0019399C" w:rsidRPr="00AC13E7">
        <w:fldChar w:fldCharType="end"/>
      </w:r>
      <w:r w:rsidR="0084039E" w:rsidRPr="00AC13E7">
        <w:t>,</w:t>
      </w:r>
      <w:r w:rsidR="0019399C" w:rsidRPr="00AC13E7">
        <w:t xml:space="preserve"> </w:t>
      </w:r>
      <w:r w:rsidRPr="00AC13E7">
        <w:t>and further de</w:t>
      </w:r>
      <w:r w:rsidR="0019399C" w:rsidRPr="00AC13E7">
        <w:t xml:space="preserve">veloped in Martincorena </w:t>
      </w:r>
      <w:r w:rsidR="0019399C" w:rsidRPr="00AC13E7">
        <w:rPr>
          <w:i/>
        </w:rPr>
        <w:t>et al</w:t>
      </w:r>
      <w:r w:rsidR="00FD3F42" w:rsidRPr="00AC13E7">
        <w:t>.</w:t>
      </w:r>
      <w:r w:rsidR="0019399C" w:rsidRPr="00AC13E7">
        <w:fldChar w:fldCharType="begin">
          <w:fldData xml:space="preserve">PEVuZE5vdGU+PENpdGU+PEF1dGhvcj5NYXJ0aW5jb3JlbmE8L0F1dGhvcj48WWVhcj4yMDE1PC9Z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</w:fldData>
        </w:fldChar>
      </w:r>
      <w:r w:rsidR="00D86E26">
        <w:instrText xml:space="preserve"> ADDIN EN.CITE </w:instrText>
      </w:r>
      <w:r w:rsidR="00D86E26">
        <w:fldChar w:fldCharType="begin">
          <w:fldData xml:space="preserve">PEVuZE5vdGU+PENpdGU+PEF1dGhvcj5NYXJ0aW5jb3JlbmE8L0F1dGhvcj48WWVhcj4yMDE1PC9Z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</w:fldData>
        </w:fldChar>
      </w:r>
      <w:r w:rsidR="00D86E26">
        <w:instrText xml:space="preserve"> ADDIN EN.CITE.DATA </w:instrText>
      </w:r>
      <w:r w:rsidR="00D86E26">
        <w:fldChar w:fldCharType="end"/>
      </w:r>
      <w:r w:rsidR="0019399C" w:rsidRPr="00AC13E7">
        <w:fldChar w:fldCharType="separate"/>
      </w:r>
      <w:r w:rsidR="00D86E26" w:rsidRPr="00D86E26">
        <w:rPr>
          <w:noProof/>
          <w:vertAlign w:val="superscript"/>
        </w:rPr>
        <w:t>48</w:t>
      </w:r>
      <w:r w:rsidR="0019399C" w:rsidRPr="00AC13E7">
        <w:fldChar w:fldCharType="end"/>
      </w:r>
      <w:r w:rsidR="0019399C" w:rsidRPr="00AC13E7">
        <w:t>.</w:t>
      </w:r>
      <w:bookmarkEnd w:id="239"/>
      <w:bookmarkEnd w:id="240"/>
    </w:p>
    <w:p w14:paraId="3E11DCD0" w14:textId="5FB60A74" w:rsidR="002A3ED2" w:rsidRPr="00AC13E7" w:rsidRDefault="002A3ED2" w:rsidP="00D86E26">
      <w:pPr>
        <w:jc w:val="both"/>
      </w:pPr>
      <w:bookmarkStart w:id="241" w:name="_Toc499569293"/>
      <w:bookmarkStart w:id="242" w:name="_Toc499571763"/>
      <w:r w:rsidRPr="00AC13E7">
        <w:t>This implementation is feasible in the context of cancer genomics owing to the very low density of mutations per genome (typically &lt;</w:t>
      </w:r>
      <w:r w:rsidR="00AC30FE" w:rsidRPr="00AC13E7">
        <w:t xml:space="preserve"> </w:t>
      </w:r>
      <w:r w:rsidRPr="00AC13E7">
        <w:t>1</w:t>
      </w:r>
      <w:r w:rsidR="00AC30FE" w:rsidRPr="00AC13E7">
        <w:t>x10</w:t>
      </w:r>
      <w:r w:rsidR="00AC30FE" w:rsidRPr="00AC13E7">
        <w:rPr>
          <w:vertAlign w:val="superscript"/>
        </w:rPr>
        <w:t xml:space="preserve">-5 </w:t>
      </w:r>
      <w:r w:rsidRPr="00AC13E7">
        <w:t>mutations/bp), and it allows the use of complex trinucleotide substitution models that avoid biases due to context-dependent mutational processes</w:t>
      </w:r>
      <w:r w:rsidR="00747293" w:rsidRPr="00AC13E7">
        <w:fldChar w:fldCharType="begin">
          <w:fldData xml:space="preserve">PEVuZE5vdGU+PENpdGU+PEF1dGhvcj5NYXJ0aW5jb3JlbmE8L0F1dGhvcj48WWVhcj4yMDE3PC9Z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</w:fldData>
        </w:fldChar>
      </w:r>
      <w:r w:rsidR="00D86E26">
        <w:instrText xml:space="preserve"> ADDIN EN.CITE </w:instrText>
      </w:r>
      <w:r w:rsidR="00D86E26">
        <w:fldChar w:fldCharType="begin">
          <w:fldData xml:space="preserve">PEVuZE5vdGU+PENpdGU+PEF1dGhvcj5NYXJ0aW5jb3JlbmE8L0F1dGhvcj48WWVhcj4yMDE3PC9Z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</w:fldData>
        </w:fldChar>
      </w:r>
      <w:r w:rsidR="00D86E26">
        <w:instrText xml:space="preserve"> ADDIN EN.CITE.DATA </w:instrText>
      </w:r>
      <w:r w:rsidR="00D86E26">
        <w:fldChar w:fldCharType="end"/>
      </w:r>
      <w:r w:rsidR="00747293" w:rsidRPr="00AC13E7">
        <w:fldChar w:fldCharType="separate"/>
      </w:r>
      <w:r w:rsidR="00D86E26" w:rsidRPr="00D86E26">
        <w:rPr>
          <w:noProof/>
          <w:vertAlign w:val="superscript"/>
        </w:rPr>
        <w:t>49</w:t>
      </w:r>
      <w:r w:rsidR="00747293" w:rsidRPr="00AC13E7">
        <w:fldChar w:fldCharType="end"/>
      </w:r>
      <w:r w:rsidRPr="00AC13E7">
        <w:t>. Point substitutions are classified according to two criteria: (1) the 192</w:t>
      </w:r>
      <w:r w:rsidR="00002006" w:rsidRPr="00AC13E7">
        <w:t xml:space="preserve"> </w:t>
      </w:r>
      <w:r w:rsidRPr="00AC13E7">
        <w:t xml:space="preserve">possible strand-specific trinucleotide changes </w:t>
      </w:r>
      <w:r w:rsidRPr="00AC13E7">
        <w:rPr>
          <w:i/>
          <w:iCs/>
        </w:rPr>
        <w:t>i</w:t>
      </w:r>
      <w:r w:rsidRPr="00AC13E7">
        <w:t xml:space="preserve"> considering one base up- and downstream of the mutant base, and (2) their functional impact (as synonymous </w:t>
      </w:r>
      <w:r w:rsidRPr="00AC13E7">
        <w:rPr>
          <w:i/>
          <w:iCs/>
        </w:rPr>
        <w:t>s</w:t>
      </w:r>
      <w:r w:rsidRPr="00AC13E7">
        <w:t xml:space="preserve">, missense </w:t>
      </w:r>
      <w:r w:rsidRPr="00AC13E7">
        <w:rPr>
          <w:i/>
          <w:iCs/>
        </w:rPr>
        <w:t>m</w:t>
      </w:r>
      <w:r w:rsidRPr="00AC13E7">
        <w:t xml:space="preserve">, nonsense </w:t>
      </w:r>
      <w:r w:rsidRPr="00AC13E7">
        <w:rPr>
          <w:i/>
          <w:iCs/>
        </w:rPr>
        <w:t>n</w:t>
      </w:r>
      <w:r w:rsidRPr="00AC13E7">
        <w:t xml:space="preserve"> and essential splice site </w:t>
      </w:r>
      <w:r w:rsidRPr="00AC13E7">
        <w:rPr>
          <w:i/>
          <w:iCs/>
        </w:rPr>
        <w:t>e</w:t>
      </w:r>
      <w:r w:rsidRPr="00AC13E7">
        <w:t xml:space="preserve"> substitutions). For example, the number of C&gt;T missense mutations in an A[C]G context observed in a cohort of samples can be modelled as:</w:t>
      </w:r>
      <w:bookmarkEnd w:id="241"/>
      <w:bookmarkEnd w:id="242"/>
    </w:p>
    <w:bookmarkStart w:id="243" w:name="_Toc499569294"/>
    <w:bookmarkStart w:id="244" w:name="_Toc499571764"/>
    <w:p w14:paraId="128BEB1E" w14:textId="0C2215DD" w:rsidR="002A3ED2" w:rsidRPr="00AC13E7" w:rsidRDefault="0036299C" w:rsidP="002E3119">
      <w:pPr>
        <w:jc w:val="both"/>
      </w:pPr>
      <m:oMathPara>
        <m:oMath>
          <m:sSub>
            <m:sSubPr>
              <m:ctrlPr>
                <w:rPr>
                  <w:rFonts w:ascii="Cambria Math" w:hAnsi="Cambria Math"/>
                  <w:i/>
                </w:rPr>
              </m:ctrlPr>
            </m:sSubPr>
            <m:e>
              <m:r>
                <w:rPr>
                  <w:rFonts w:ascii="Cambria Math" w:hAnsi="Cambria Math"/>
                </w:rPr>
                <m:t>n</m:t>
              </m:r>
            </m:e>
            <m:sub>
              <m:r>
                <w:rPr>
                  <w:rFonts w:ascii="Cambria Math" w:hAnsi="Cambria Math"/>
                </w:rPr>
                <m:t>ACG&gt;ATG,m</m:t>
              </m:r>
            </m:sub>
          </m:sSub>
          <m:r>
            <w:rPr>
              <w:rFonts w:ascii="Cambria Math" w:hAnsi="Cambria Math"/>
            </w:rPr>
            <m:t>~Poisson</m:t>
          </m:r>
          <m:d>
            <m:dPr>
              <m:ctrlPr>
                <w:rPr>
                  <w:rFonts w:ascii="Cambria Math" w:hAnsi="Cambria Math"/>
                  <w:i/>
                </w:rPr>
              </m:ctrlPr>
            </m:dPr>
            <m:e>
              <m:r>
                <w:rPr>
                  <w:rFonts w:ascii="Cambria Math" w:hAnsi="Cambria Math"/>
                </w:rPr>
                <m:t>λ=</m:t>
              </m:r>
              <m:sSub>
                <m:sSubPr>
                  <m:ctrlPr>
                    <w:rPr>
                      <w:rFonts w:ascii="Cambria Math" w:hAnsi="Cambria Math"/>
                      <w:i/>
                    </w:rPr>
                  </m:ctrlPr>
                </m:sSubPr>
                <m:e>
                  <m:r>
                    <w:rPr>
                      <w:rFonts w:ascii="Cambria Math" w:hAnsi="Cambria Math"/>
                    </w:rPr>
                    <m:t>r</m:t>
                  </m:r>
                </m:e>
                <m:sub>
                  <m:r>
                    <w:rPr>
                      <w:rFonts w:ascii="Cambria Math" w:hAnsi="Cambria Math"/>
                    </w:rPr>
                    <m:t>ACG&gt;ATG</m:t>
                  </m:r>
                </m:sub>
              </m:sSub>
              <m:sSub>
                <m:sSubPr>
                  <m:ctrlPr>
                    <w:rPr>
                      <w:rFonts w:ascii="Cambria Math" w:hAnsi="Cambria Math"/>
                      <w:i/>
                    </w:rPr>
                  </m:ctrlPr>
                </m:sSubPr>
                <m:e>
                  <m:r>
                    <w:rPr>
                      <w:rFonts w:ascii="Cambria Math" w:hAnsi="Cambria Math"/>
                    </w:rPr>
                    <m:t>L</m:t>
                  </m:r>
                </m:e>
                <m:sub>
                  <m:r>
                    <w:rPr>
                      <w:rFonts w:ascii="Cambria Math" w:hAnsi="Cambria Math"/>
                    </w:rPr>
                    <m:t>ACG&gt;ATG,m</m:t>
                  </m:r>
                </m:sub>
              </m:sSub>
              <m:sSub>
                <m:sSubPr>
                  <m:ctrlPr>
                    <w:rPr>
                      <w:rFonts w:ascii="Cambria Math" w:hAnsi="Cambria Math"/>
                      <w:i/>
                    </w:rPr>
                  </m:ctrlPr>
                </m:sSubPr>
                <m:e>
                  <m:r>
                    <w:rPr>
                      <w:rFonts w:ascii="Cambria Math" w:hAnsi="Cambria Math"/>
                    </w:rPr>
                    <m:t>ω</m:t>
                  </m:r>
                </m:e>
                <m:sub>
                  <m:r>
                    <w:rPr>
                      <w:rFonts w:ascii="Cambria Math" w:hAnsi="Cambria Math"/>
                    </w:rPr>
                    <m:t>m</m:t>
                  </m:r>
                </m:sub>
              </m:sSub>
            </m:e>
          </m:d>
        </m:oMath>
      </m:oMathPara>
      <w:bookmarkEnd w:id="243"/>
      <w:bookmarkEnd w:id="244"/>
    </w:p>
    <w:p w14:paraId="321A9F47" w14:textId="5BB4A9C9" w:rsidR="002A3ED2" w:rsidRPr="00AC13E7" w:rsidRDefault="002A3ED2" w:rsidP="002E3119">
      <w:pPr>
        <w:jc w:val="both"/>
      </w:pPr>
      <w:bookmarkStart w:id="245" w:name="_Toc499569295"/>
      <w:bookmarkStart w:id="246" w:name="_Toc499571765"/>
      <w:r w:rsidRPr="00AC13E7">
        <w:t xml:space="preserve">Where, </w:t>
      </w:r>
      <w:r w:rsidRPr="00AC13E7">
        <w:rPr>
          <w:i/>
        </w:rPr>
        <w:t>r</w:t>
      </w:r>
      <w:r w:rsidRPr="00AC13E7">
        <w:rPr>
          <w:vertAlign w:val="subscript"/>
        </w:rPr>
        <w:t>ACG&gt;ATG</w:t>
      </w:r>
      <w:r w:rsidRPr="00AC13E7">
        <w:t xml:space="preserve"> is the rate of ACG&gt;ATG mutations per ACG site, </w:t>
      </w:r>
      <w:r w:rsidRPr="00AC13E7">
        <w:rPr>
          <w:i/>
        </w:rPr>
        <w:t>L</w:t>
      </w:r>
      <w:r w:rsidRPr="00AC13E7">
        <w:rPr>
          <w:vertAlign w:val="subscript"/>
        </w:rPr>
        <w:t>ACG&gt;ATG,m</w:t>
      </w:r>
      <w:r w:rsidRPr="00AC13E7">
        <w:t xml:space="preserve"> is the number of ACG trinucleotides in the sequences analysed whose change for an ATG would lead to a missense amino</w:t>
      </w:r>
      <w:r w:rsidR="00E23A04" w:rsidRPr="00AC13E7">
        <w:t xml:space="preserve"> </w:t>
      </w:r>
      <w:r w:rsidRPr="00AC13E7">
        <w:t xml:space="preserve">acid change, and </w:t>
      </w:r>
      <w:r w:rsidRPr="00AC13E7">
        <w:rPr>
          <w:i/>
        </w:rPr>
        <w:sym w:font="Symbol" w:char="F077"/>
      </w:r>
      <w:r w:rsidRPr="00AC13E7">
        <w:rPr>
          <w:vertAlign w:val="subscript"/>
        </w:rPr>
        <w:t>m</w:t>
      </w:r>
      <w:r w:rsidRPr="00AC13E7">
        <w:t xml:space="preserve"> is the dN/dS ratio for missense mutations. Given that there are 192 by 4 possible nucleotide changes based on this classification, there are 768 equations like the one above. Maximum-likelihood estimates for all parameters as well as confidence intervals, including for all 192 parameters and the 3 possible </w:t>
      </w:r>
      <w:r w:rsidRPr="00AC13E7">
        <w:sym w:font="Symbol" w:char="F077"/>
      </w:r>
      <w:r w:rsidRPr="00AC13E7">
        <w:t xml:space="preserve"> (</w:t>
      </w:r>
      <w:r w:rsidRPr="00AC13E7">
        <w:rPr>
          <w:i/>
        </w:rPr>
        <w:t>i.e.</w:t>
      </w:r>
      <w:r w:rsidRPr="00AC13E7">
        <w:t xml:space="preserve"> dN/dS) parameters are estimated using Poisson regression.</w:t>
      </w:r>
      <w:bookmarkEnd w:id="245"/>
      <w:bookmarkEnd w:id="246"/>
    </w:p>
    <w:p w14:paraId="561FA61C" w14:textId="7D21B0B5" w:rsidR="00906836" w:rsidRPr="00AC13E7" w:rsidRDefault="002A3ED2" w:rsidP="00D86E26">
      <w:pPr>
        <w:jc w:val="both"/>
      </w:pPr>
      <w:bookmarkStart w:id="247" w:name="_Toc499569296"/>
      <w:bookmarkStart w:id="248" w:name="_Toc499571766"/>
      <w:r w:rsidRPr="00AC13E7">
        <w:t>Using this framework, dN/dS ratios can be calculated for different groups of mutations, such as clonal and subclonal mutations in known cancer genes, which yields insights about the density of driver mutations in each group of mutations.</w:t>
      </w:r>
      <w:bookmarkEnd w:id="247"/>
      <w:bookmarkEnd w:id="248"/>
      <w:r w:rsidR="00906836" w:rsidRPr="00AC13E7">
        <w:t xml:space="preserve">  With the dndscv</w:t>
      </w:r>
      <w:r w:rsidR="00906836" w:rsidRPr="00AC13E7">
        <w:fldChar w:fldCharType="begin">
          <w:fldData xml:space="preserve">PEVuZE5vdGU+PENpdGU+PEF1dGhvcj5NYXJ0aW5jb3JlbmE8L0F1dGhvcj48WWVhcj4yMDE1PC9Z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</w:fldData>
        </w:fldChar>
      </w:r>
      <w:r w:rsidR="00D86E26">
        <w:instrText xml:space="preserve"> ADDIN EN.CITE </w:instrText>
      </w:r>
      <w:r w:rsidR="00D86E26">
        <w:fldChar w:fldCharType="begin">
          <w:fldData xml:space="preserve">PEVuZE5vdGU+PENpdGU+PEF1dGhvcj5NYXJ0aW5jb3JlbmE8L0F1dGhvcj48WWVhcj4yMDE1PC9Z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</w:fldData>
        </w:fldChar>
      </w:r>
      <w:r w:rsidR="00D86E26">
        <w:instrText xml:space="preserve"> ADDIN EN.CITE.DATA </w:instrText>
      </w:r>
      <w:r w:rsidR="00D86E26">
        <w:fldChar w:fldCharType="end"/>
      </w:r>
      <w:r w:rsidR="00906836" w:rsidRPr="00AC13E7">
        <w:fldChar w:fldCharType="separate"/>
      </w:r>
      <w:r w:rsidR="00D86E26" w:rsidRPr="00D86E26">
        <w:rPr>
          <w:noProof/>
          <w:vertAlign w:val="superscript"/>
        </w:rPr>
        <w:t>48</w:t>
      </w:r>
      <w:r w:rsidR="00906836" w:rsidRPr="00AC13E7">
        <w:fldChar w:fldCharType="end"/>
      </w:r>
      <w:r w:rsidR="00906836" w:rsidRPr="00AC13E7">
        <w:t xml:space="preserve"> R package version 0.0.0.9 dN/dS analysis was run on the clonal and subclonal mutations as described above using the 566 cancer gene census from COSMIC v84 in</w:t>
      </w:r>
      <w:r w:rsidR="00906836" w:rsidRPr="00AC13E7">
        <w:rPr>
          <w:i/>
        </w:rPr>
        <w:t xml:space="preserve"> Tier1</w:t>
      </w:r>
      <w:r w:rsidR="00906836" w:rsidRPr="00AC13E7">
        <w:t xml:space="preserve"> (i.e. high confidence cancer genes) that were</w:t>
      </w:r>
      <w:r w:rsidR="00906836" w:rsidRPr="00AC13E7">
        <w:rPr>
          <w:i/>
        </w:rPr>
        <w:t xml:space="preserve"> </w:t>
      </w:r>
      <w:r w:rsidR="00906836" w:rsidRPr="00AC13E7">
        <w:t xml:space="preserve">included in the hg19 </w:t>
      </w:r>
      <w:r w:rsidR="00906836" w:rsidRPr="00AC13E7">
        <w:rPr>
          <w:i/>
        </w:rPr>
        <w:t>refCDS</w:t>
      </w:r>
      <w:r w:rsidR="00906836" w:rsidRPr="00AC13E7">
        <w:t xml:space="preserve"> gene list from dndscv. The maximum number of coding mutation per sample was set to 500. This revealed widespread positive selection in both clonal and subclonal mutations of both neutral and non-neutral tumour groups (main </w:t>
      </w:r>
      <w:r w:rsidR="00906836" w:rsidRPr="00AC13E7">
        <w:rPr>
          <w:b/>
        </w:rPr>
        <w:t>Fig. 3</w:t>
      </w:r>
      <w:r w:rsidR="00CA4FB4" w:rsidRPr="00AC13E7">
        <w:rPr>
          <w:b/>
        </w:rPr>
        <w:t>d</w:t>
      </w:r>
      <w:r w:rsidR="00906836" w:rsidRPr="00AC13E7">
        <w:t xml:space="preserve">). </w:t>
      </w:r>
    </w:p>
    <w:p w14:paraId="0BC51836" w14:textId="2DD7B220" w:rsidR="002A3ED2" w:rsidRPr="00AC13E7" w:rsidRDefault="002A3ED2" w:rsidP="002E3119">
      <w:pPr>
        <w:jc w:val="both"/>
      </w:pPr>
    </w:p>
    <w:p w14:paraId="478C7FDF" w14:textId="3C6B55A8" w:rsidR="00720570" w:rsidRPr="00AC13E7" w:rsidRDefault="00720570"/>
    <w:p w14:paraId="51AA1B38" w14:textId="77777777" w:rsidR="000668D6" w:rsidRPr="00AC13E7" w:rsidRDefault="000668D6">
      <w:pPr>
        <w:rPr>
          <w:rFonts w:eastAsia="Times"/>
          <w:b/>
          <w:color w:val="000000"/>
          <w:sz w:val="36"/>
          <w:szCs w:val="36"/>
        </w:rPr>
      </w:pPr>
      <w:bookmarkStart w:id="249" w:name="_ifcioir6us29" w:colFirst="0" w:colLast="0"/>
      <w:bookmarkStart w:id="250" w:name="_Toc499569297"/>
      <w:bookmarkStart w:id="251" w:name="_Toc499571767"/>
      <w:bookmarkEnd w:id="249"/>
      <w:r w:rsidRPr="00AC13E7">
        <w:br w:type="page"/>
      </w:r>
    </w:p>
    <w:p w14:paraId="741267A0" w14:textId="5DB5B179" w:rsidR="00720570" w:rsidRPr="00AC13E7" w:rsidRDefault="00FE3B88" w:rsidP="00E62029">
      <w:pPr>
        <w:pStyle w:val="Heading2"/>
        <w:spacing w:before="320" w:after="80" w:line="276" w:lineRule="auto"/>
        <w:rPr>
          <w:rFonts w:ascii="Times New Roman" w:hAnsi="Times New Roman" w:cs="Times New Roman"/>
          <w:lang w:val="en-GB"/>
        </w:rPr>
      </w:pPr>
      <w:bookmarkStart w:id="252" w:name="_Toc391905043"/>
      <w:r w:rsidRPr="00AC13E7">
        <w:rPr>
          <w:rFonts w:ascii="Times New Roman" w:hAnsi="Times New Roman" w:cs="Times New Roman"/>
          <w:lang w:val="en-GB"/>
        </w:rPr>
        <w:lastRenderedPageBreak/>
        <w:t xml:space="preserve">4.2 Neutral </w:t>
      </w:r>
      <w:r w:rsidR="009F1CFF">
        <w:rPr>
          <w:rFonts w:ascii="Times New Roman" w:hAnsi="Times New Roman" w:cs="Times New Roman"/>
          <w:lang w:val="en-GB"/>
        </w:rPr>
        <w:t>e</w:t>
      </w:r>
      <w:r w:rsidRPr="00AC13E7">
        <w:rPr>
          <w:rFonts w:ascii="Times New Roman" w:hAnsi="Times New Roman" w:cs="Times New Roman"/>
          <w:lang w:val="en-GB"/>
        </w:rPr>
        <w:t>volution analysis</w:t>
      </w:r>
      <w:bookmarkEnd w:id="250"/>
      <w:bookmarkEnd w:id="251"/>
      <w:bookmarkEnd w:id="252"/>
    </w:p>
    <w:p w14:paraId="1E98AED8" w14:textId="6278489E" w:rsidR="00F02D29" w:rsidRPr="00AC13E7" w:rsidRDefault="00F02D29" w:rsidP="00F02D29">
      <w:r w:rsidRPr="00AC13E7">
        <w:t>Maxime Tarabichi, Iñigo Martincorena, Peter Van Loo</w:t>
      </w:r>
    </w:p>
    <w:p w14:paraId="5AF15138" w14:textId="77777777" w:rsidR="00906836" w:rsidRPr="00AC13E7" w:rsidRDefault="00906836" w:rsidP="00450BB5">
      <w:pPr>
        <w:jc w:val="both"/>
      </w:pPr>
      <w:bookmarkStart w:id="253" w:name="_Toc499569298"/>
      <w:bookmarkStart w:id="254" w:name="_Toc499571768"/>
    </w:p>
    <w:p w14:paraId="2FDC5913" w14:textId="1351C12D" w:rsidR="00450BB5" w:rsidRPr="00AC13E7" w:rsidRDefault="00450BB5" w:rsidP="00D86E26">
      <w:pPr>
        <w:jc w:val="both"/>
      </w:pPr>
      <w:r w:rsidRPr="00AC13E7">
        <w:t>To categorise tumours into either neutral or non-neutral groups we applied the rationale from Williams </w:t>
      </w:r>
      <w:r w:rsidRPr="00AC13E7">
        <w:rPr>
          <w:i/>
        </w:rPr>
        <w:t>et al</w:t>
      </w:r>
      <w:r w:rsidRPr="00AC13E7">
        <w:t>.</w:t>
      </w:r>
      <w:r w:rsidRPr="00AC13E7">
        <w:fldChar w:fldCharType="begin">
          <w:fldData xml:space="preserve">PEVuZE5vdGU+PENpdGU+PEF1dGhvcj5XaWxsaWFtczwvQXV0aG9yPjxZZWFyPjIwMTY8L1llYXI+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==
</w:fldData>
        </w:fldChar>
      </w:r>
      <w:r w:rsidR="00D86E26">
        <w:instrText xml:space="preserve"> ADDIN EN.CITE </w:instrText>
      </w:r>
      <w:r w:rsidR="00D86E26">
        <w:fldChar w:fldCharType="begin">
          <w:fldData xml:space="preserve">PEVuZE5vdGU+PENpdGU+PEF1dGhvcj5XaWxsaWFtczwvQXV0aG9yPjxZZWFyPjIwMTY8L1llYXI+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==
</w:fldData>
        </w:fldChar>
      </w:r>
      <w:r w:rsidR="00D86E26">
        <w:instrText xml:space="preserve"> ADDIN EN.CITE.DATA </w:instrText>
      </w:r>
      <w:r w:rsidR="00D86E26">
        <w:fldChar w:fldCharType="end"/>
      </w:r>
      <w:r w:rsidRPr="00AC13E7">
        <w:fldChar w:fldCharType="separate"/>
      </w:r>
      <w:r w:rsidR="00D86E26" w:rsidRPr="00D86E26">
        <w:rPr>
          <w:noProof/>
          <w:vertAlign w:val="superscript"/>
        </w:rPr>
        <w:t>50</w:t>
      </w:r>
      <w:r w:rsidRPr="00AC13E7">
        <w:fldChar w:fldCharType="end"/>
      </w:r>
      <w:r w:rsidRPr="00AC13E7">
        <w:t>. Tumours with consensus purity greater than 0.7 and at least 12 SNVs with 0.12≤VAF≤0.24 were selected. We computed Pearson's correlation coefficients R</w:t>
      </w:r>
      <w:r w:rsidRPr="00AC13E7">
        <w:rPr>
          <w:vertAlign w:val="superscript"/>
        </w:rPr>
        <w:t>2</w:t>
      </w:r>
      <w:r w:rsidRPr="00AC13E7">
        <w:t xml:space="preserve"> between the cumulative number of mutations with </w:t>
      </w:r>
      <m:oMath>
        <m:f>
          <m:fPr>
            <m:ctrlPr>
              <w:rPr>
                <w:rFonts w:ascii="Cambria Math" w:hAnsi="Cambria Math"/>
                <w:i/>
              </w:rPr>
            </m:ctrlPr>
          </m:fPr>
          <m:num>
            <m:r>
              <w:rPr>
                <w:rFonts w:ascii="Cambria Math" w:hAnsi="Cambria Math"/>
              </w:rPr>
              <m:t>1</m:t>
            </m:r>
          </m:num>
          <m:den>
            <m:r>
              <w:rPr>
                <w:rFonts w:ascii="Cambria Math" w:hAnsi="Cambria Math"/>
              </w:rPr>
              <m:t>VAF</m:t>
            </m:r>
          </m:den>
        </m:f>
        <m:r>
          <w:rPr>
            <w:rFonts w:ascii="Cambria Math" w:hAnsi="Cambria Math"/>
          </w:rPr>
          <m:t>≥x</m:t>
        </m:r>
      </m:oMath>
      <w:r w:rsidRPr="00AC13E7">
        <w:t xml:space="preserve"> and </w:t>
      </w:r>
      <w:r w:rsidRPr="00AC13E7">
        <w:rPr>
          <w:i/>
        </w:rPr>
        <w:t>x</w:t>
      </w:r>
      <w:r w:rsidRPr="00AC13E7">
        <w:t xml:space="preserve">, where </w:t>
      </w:r>
      <m:oMath>
        <m:f>
          <m:fPr>
            <m:ctrlPr>
              <w:rPr>
                <w:rFonts w:ascii="Cambria Math" w:hAnsi="Cambria Math"/>
                <w:i/>
              </w:rPr>
            </m:ctrlPr>
          </m:fPr>
          <m:num>
            <m:r>
              <w:rPr>
                <w:rFonts w:ascii="Cambria Math" w:hAnsi="Cambria Math"/>
              </w:rPr>
              <m:t>1</m:t>
            </m:r>
          </m:num>
          <m:den>
            <m:r>
              <w:rPr>
                <w:rFonts w:ascii="Cambria Math" w:hAnsi="Cambria Math"/>
              </w:rPr>
              <m:t>0.24</m:t>
            </m:r>
          </m:den>
        </m:f>
        <m:r>
          <w:rPr>
            <w:rFonts w:ascii="Cambria Math" w:hAnsi="Cambria Math"/>
          </w:rPr>
          <m:t>≤x≤</m:t>
        </m:r>
        <m:f>
          <m:fPr>
            <m:ctrlPr>
              <w:rPr>
                <w:rFonts w:ascii="Cambria Math" w:hAnsi="Cambria Math"/>
                <w:i/>
              </w:rPr>
            </m:ctrlPr>
          </m:fPr>
          <m:num>
            <m:r>
              <w:rPr>
                <w:rFonts w:ascii="Cambria Math" w:hAnsi="Cambria Math"/>
              </w:rPr>
              <m:t>1</m:t>
            </m:r>
          </m:num>
          <m:den>
            <m:r>
              <w:rPr>
                <w:rFonts w:ascii="Cambria Math" w:hAnsi="Cambria Math"/>
              </w:rPr>
              <m:t>0.12</m:t>
            </m:r>
          </m:den>
        </m:f>
      </m:oMath>
      <w:r w:rsidRPr="00AC13E7">
        <w:t>. Tumours were classified as non-neutral if Pearson's correlation coefficients R</w:t>
      </w:r>
      <w:r w:rsidRPr="00AC13E7">
        <w:rPr>
          <w:vertAlign w:val="superscript"/>
        </w:rPr>
        <w:t xml:space="preserve">2 </w:t>
      </w:r>
      <w:r w:rsidRPr="00AC13E7">
        <w:t xml:space="preserve">&lt; 0.98, and neutral otherwise. </w:t>
      </w:r>
    </w:p>
    <w:p w14:paraId="0A9DD743" w14:textId="77777777" w:rsidR="00F02D29" w:rsidRPr="00AC13E7" w:rsidRDefault="00F02D29" w:rsidP="00B20210">
      <w:pPr>
        <w:jc w:val="both"/>
      </w:pPr>
      <w:bookmarkStart w:id="255" w:name="_5136aet57efe" w:colFirst="0" w:colLast="0"/>
      <w:bookmarkEnd w:id="253"/>
      <w:bookmarkEnd w:id="254"/>
      <w:bookmarkEnd w:id="255"/>
    </w:p>
    <w:p w14:paraId="67095DDA" w14:textId="2379F52F" w:rsidR="00F02D29" w:rsidRPr="00AC13E7" w:rsidRDefault="00F02D29" w:rsidP="00E62029">
      <w:pPr>
        <w:pStyle w:val="Heading2"/>
        <w:spacing w:before="320" w:after="80" w:line="276" w:lineRule="auto"/>
        <w:rPr>
          <w:rFonts w:ascii="Times New Roman" w:hAnsi="Times New Roman" w:cs="Times New Roman"/>
          <w:lang w:val="en-GB"/>
        </w:rPr>
      </w:pPr>
      <w:bookmarkStart w:id="256" w:name="_Toc391905044"/>
      <w:r w:rsidRPr="00AC13E7">
        <w:rPr>
          <w:rFonts w:ascii="Times New Roman" w:hAnsi="Times New Roman" w:cs="Times New Roman"/>
          <w:lang w:val="en-GB"/>
        </w:rPr>
        <w:t xml:space="preserve">4.3 Gene </w:t>
      </w:r>
      <w:r w:rsidR="00755CDB" w:rsidRPr="00AC13E7">
        <w:rPr>
          <w:rFonts w:ascii="Times New Roman" w:hAnsi="Times New Roman" w:cs="Times New Roman"/>
          <w:lang w:val="en-GB"/>
        </w:rPr>
        <w:t>s</w:t>
      </w:r>
      <w:r w:rsidRPr="00AC13E7">
        <w:rPr>
          <w:rFonts w:ascii="Times New Roman" w:hAnsi="Times New Roman" w:cs="Times New Roman"/>
          <w:lang w:val="en-GB"/>
        </w:rPr>
        <w:t xml:space="preserve">et </w:t>
      </w:r>
      <w:r w:rsidR="00755CDB" w:rsidRPr="00AC13E7">
        <w:rPr>
          <w:rFonts w:ascii="Times New Roman" w:hAnsi="Times New Roman" w:cs="Times New Roman"/>
          <w:lang w:val="en-GB"/>
        </w:rPr>
        <w:t>a</w:t>
      </w:r>
      <w:r w:rsidRPr="00AC13E7">
        <w:rPr>
          <w:rFonts w:ascii="Times New Roman" w:hAnsi="Times New Roman" w:cs="Times New Roman"/>
          <w:lang w:val="en-GB"/>
        </w:rPr>
        <w:t>nalysis of subclonally mutated genes</w:t>
      </w:r>
      <w:bookmarkEnd w:id="256"/>
    </w:p>
    <w:p w14:paraId="6D6258D2" w14:textId="77777777" w:rsidR="00F02D29" w:rsidRPr="00AC13E7" w:rsidRDefault="00F02D29" w:rsidP="00F02D29">
      <w:pPr>
        <w:jc w:val="both"/>
        <w:rPr>
          <w:rFonts w:eastAsia="Times New Roman"/>
        </w:rPr>
      </w:pPr>
      <w:r w:rsidRPr="00AC13E7">
        <w:rPr>
          <w:rFonts w:eastAsia="Times New Roman"/>
        </w:rPr>
        <w:t>Ignaty Leshchiner, Dimitri Livitz, Gad Getz</w:t>
      </w:r>
    </w:p>
    <w:p w14:paraId="70F66E51" w14:textId="77777777" w:rsidR="00F02D29" w:rsidRPr="00AC13E7" w:rsidRDefault="00F02D29" w:rsidP="00F02D29"/>
    <w:p w14:paraId="542F7C29" w14:textId="75AAC1F3" w:rsidR="00F02D29" w:rsidRPr="00AC13E7" w:rsidRDefault="00F02D29" w:rsidP="00D86E26">
      <w:pPr>
        <w:jc w:val="both"/>
        <w:rPr>
          <w:rFonts w:eastAsia="Times New Roman"/>
        </w:rPr>
      </w:pPr>
      <w:r w:rsidRPr="00AC13E7">
        <w:rPr>
          <w:rFonts w:eastAsia="Times New Roman"/>
        </w:rPr>
        <w:t xml:space="preserve">The top 30 subclonal driver genes were subjected to </w:t>
      </w:r>
      <w:r w:rsidR="00AD5CE1" w:rsidRPr="00AC13E7">
        <w:rPr>
          <w:rFonts w:eastAsia="Times New Roman"/>
        </w:rPr>
        <w:t>g</w:t>
      </w:r>
      <w:r w:rsidRPr="00AC13E7">
        <w:rPr>
          <w:rFonts w:eastAsia="Times New Roman"/>
        </w:rPr>
        <w:t xml:space="preserve">ene </w:t>
      </w:r>
      <w:r w:rsidR="00AD5CE1" w:rsidRPr="00AC13E7">
        <w:rPr>
          <w:rFonts w:eastAsia="Times New Roman"/>
        </w:rPr>
        <w:t>s</w:t>
      </w:r>
      <w:r w:rsidRPr="00AC13E7">
        <w:rPr>
          <w:rFonts w:eastAsia="Times New Roman"/>
        </w:rPr>
        <w:t xml:space="preserve">et </w:t>
      </w:r>
      <w:r w:rsidR="00AD5CE1" w:rsidRPr="00AC13E7">
        <w:rPr>
          <w:rFonts w:eastAsia="Times New Roman"/>
        </w:rPr>
        <w:t>a</w:t>
      </w:r>
      <w:r w:rsidRPr="00AC13E7">
        <w:rPr>
          <w:rFonts w:eastAsia="Times New Roman"/>
        </w:rPr>
        <w:t xml:space="preserve">nalysis </w:t>
      </w:r>
      <w:r w:rsidR="00AD5CE1" w:rsidRPr="00AC13E7">
        <w:rPr>
          <w:rFonts w:eastAsia="Times New Roman"/>
        </w:rPr>
        <w:t>using</w:t>
      </w:r>
      <w:r w:rsidRPr="00AC13E7">
        <w:rPr>
          <w:rFonts w:eastAsia="Times New Roman"/>
        </w:rPr>
        <w:t xml:space="preserve"> </w:t>
      </w:r>
      <w:r w:rsidRPr="00AC13E7">
        <w:rPr>
          <w:rFonts w:eastAsia="Times New Roman"/>
          <w:i/>
        </w:rPr>
        <w:t>GO_molecular_function</w:t>
      </w:r>
      <w:r w:rsidRPr="00AC13E7">
        <w:rPr>
          <w:rFonts w:eastAsia="Times New Roman"/>
        </w:rPr>
        <w:t xml:space="preserve"> gene sets</w:t>
      </w:r>
      <w:r w:rsidR="00AD5CE1" w:rsidRPr="00AC13E7">
        <w:rPr>
          <w:rFonts w:eastAsia="Times New Roman"/>
        </w:rPr>
        <w:t xml:space="preserve"> from MSigDB</w:t>
      </w:r>
      <w:r w:rsidR="002B6C34" w:rsidRPr="00AC13E7">
        <w:rPr>
          <w:rFonts w:eastAsia="Times New Roman"/>
        </w:rPr>
        <w:fldChar w:fldCharType="begin"/>
      </w:r>
      <w:r w:rsidR="00D86E26">
        <w:rPr>
          <w:rFonts w:eastAsia="Times New Roman"/>
        </w:rPr>
        <w:instrText xml:space="preserve"> ADDIN EN.CITE &lt;EndNote&gt;&lt;Cite&gt;&lt;Author&gt;Subramanian&lt;/Author&gt;&lt;Year&gt;2005&lt;/Year&gt;&lt;RecNum&gt;70&lt;/RecNum&gt;&lt;DisplayText&gt;&lt;style face="superscript"&gt;51&lt;/style&gt;&lt;/DisplayText&gt;&lt;record&gt;&lt;rec-number&gt;70&lt;/rec-number&gt;&lt;foreign-keys&gt;&lt;key app="EN" db-id="xtaw29xt0drav5efdsppfrerarrd9tf9dfxd" timestamp="1522227381"&gt;70&lt;/key&gt;&lt;/foreign-keys&gt;&lt;ref-type name="Journal Article"&gt;17&lt;/ref-type&gt;&lt;contributors&gt;&lt;authors&gt;&lt;author&gt;Subramanian, Aravind&lt;/author&gt;&lt;author&gt;Tamayo, Pablo&lt;/author&gt;&lt;author&gt;Mootha, Vamsi K.&lt;/author&gt;&lt;author&gt;Mukherjee, Sayan&lt;/author&gt;&lt;author&gt;Ebert, Benjamin L.&lt;/author&gt;&lt;author&gt;Gillette, Michael A.&lt;/author&gt;&lt;author&gt;Paulovich, Amanda&lt;/author&gt;&lt;author&gt;Pomeroy, Scott L.&lt;/author&gt;&lt;author&gt;Golub, Todd R.&lt;/author&gt;&lt;author&gt;Lander, Eric S.&lt;/author&gt;&lt;author&gt;Mesirov, Jill P.&lt;/author&gt;&lt;/authors&gt;&lt;/contributors&gt;&lt;titles&gt;&lt;title&gt;Gene set enrichment analysis: A knowledge-based approach for interpreting genome-wide expression profiles&lt;/title&gt;&lt;secondary-title&gt;Proceedings of the National Academy of Sciences&lt;/secondary-title&gt;&lt;/titles&gt;&lt;periodical&gt;&lt;full-title&gt;Proceedings of the National Academy of Sciences&lt;/full-title&gt;&lt;/periodical&gt;&lt;pages&gt;15545-15550&lt;/pages&gt;&lt;volume&gt;102&lt;/volume&gt;&lt;number&gt;43&lt;/number&gt;&lt;dates&gt;&lt;year&gt;2005&lt;/year&gt;&lt;/dates&gt;&lt;urls&gt;&lt;related-urls&gt;&lt;url&gt;http://www.pnas.org/content/pnas/102/43/15545.full.pdf&lt;/url&gt;&lt;/related-urls&gt;&lt;/urls&gt;&lt;electronic-resource-num&gt;10.1073/pnas.0506580102&lt;/electronic-resource-num&gt;&lt;/record&gt;&lt;/Cite&gt;&lt;/EndNote&gt;</w:instrText>
      </w:r>
      <w:r w:rsidR="002B6C34" w:rsidRPr="00AC13E7">
        <w:rPr>
          <w:rFonts w:eastAsia="Times New Roman"/>
        </w:rPr>
        <w:fldChar w:fldCharType="separate"/>
      </w:r>
      <w:r w:rsidR="00D86E26" w:rsidRPr="00D86E26">
        <w:rPr>
          <w:rFonts w:eastAsia="Times New Roman"/>
          <w:noProof/>
          <w:vertAlign w:val="superscript"/>
        </w:rPr>
        <w:t>51</w:t>
      </w:r>
      <w:r w:rsidR="002B6C34" w:rsidRPr="00AC13E7">
        <w:rPr>
          <w:rFonts w:eastAsia="Times New Roman"/>
        </w:rPr>
        <w:fldChar w:fldCharType="end"/>
      </w:r>
      <w:r w:rsidR="002B6C34" w:rsidRPr="00AC13E7">
        <w:rPr>
          <w:rFonts w:eastAsia="Times New Roman"/>
        </w:rPr>
        <w:t xml:space="preserve">. </w:t>
      </w:r>
      <w:r w:rsidR="00AD5CE1" w:rsidRPr="00AC13E7">
        <w:rPr>
          <w:rFonts w:eastAsia="Times New Roman"/>
        </w:rPr>
        <w:t>We derived p-</w:t>
      </w:r>
      <w:r w:rsidRPr="00AC13E7">
        <w:rPr>
          <w:rFonts w:eastAsia="Times New Roman"/>
        </w:rPr>
        <w:t>value</w:t>
      </w:r>
      <w:r w:rsidR="00AD5CE1" w:rsidRPr="00AC13E7">
        <w:rPr>
          <w:rFonts w:eastAsia="Times New Roman"/>
        </w:rPr>
        <w:t>s</w:t>
      </w:r>
      <w:r w:rsidRPr="00AC13E7">
        <w:rPr>
          <w:rFonts w:eastAsia="Times New Roman"/>
        </w:rPr>
        <w:t xml:space="preserve"> from the hypergeometric distribution for (k-1, K, N - K, n), where k is the number of genes in the intersection of the query set with a set from</w:t>
      </w:r>
      <w:r w:rsidR="00AD5CE1" w:rsidRPr="00AC13E7">
        <w:rPr>
          <w:rFonts w:eastAsia="Times New Roman"/>
        </w:rPr>
        <w:t xml:space="preserve"> MSigDB</w:t>
      </w:r>
      <w:r w:rsidRPr="00AC13E7">
        <w:rPr>
          <w:rFonts w:eastAsia="Times New Roman"/>
        </w:rPr>
        <w:t>; K is the number of genes in the set from</w:t>
      </w:r>
      <w:r w:rsidR="00AD5CE1" w:rsidRPr="00AC13E7">
        <w:rPr>
          <w:rFonts w:eastAsia="Times New Roman"/>
        </w:rPr>
        <w:t xml:space="preserve"> MSigDB</w:t>
      </w:r>
      <w:r w:rsidRPr="00AC13E7">
        <w:rPr>
          <w:rFonts w:eastAsia="Times New Roman"/>
        </w:rPr>
        <w:t>; N is the total number of genes; n is the number of genes in the query set. We obtained the false discovery rate</w:t>
      </w:r>
      <w:r w:rsidR="006E215C" w:rsidRPr="00AC13E7">
        <w:rPr>
          <w:rFonts w:eastAsia="Times New Roman"/>
        </w:rPr>
        <w:t>s</w:t>
      </w:r>
      <w:r w:rsidRPr="00AC13E7">
        <w:rPr>
          <w:rFonts w:eastAsia="Times New Roman"/>
        </w:rPr>
        <w:t xml:space="preserve"> by adjusting the hypergeometric p-values for multiple-hypothesis testing according to Benjamini-Hochberg. We found the following gene sets to be significantly enriched</w:t>
      </w:r>
      <w:r w:rsidR="00AD5CE1" w:rsidRPr="00AC13E7">
        <w:rPr>
          <w:rFonts w:eastAsia="Times New Roman"/>
        </w:rPr>
        <w:t xml:space="preserve"> (</w:t>
      </w:r>
      <w:r w:rsidR="005A7919" w:rsidRPr="00AC13E7">
        <w:rPr>
          <w:rFonts w:eastAsia="Times New Roman"/>
        </w:rPr>
        <w:t>Table 2</w:t>
      </w:r>
      <w:r w:rsidR="00AD5CE1" w:rsidRPr="00AC13E7">
        <w:rPr>
          <w:rFonts w:eastAsia="Times New Roman"/>
        </w:rPr>
        <w:t>).</w:t>
      </w:r>
    </w:p>
    <w:p w14:paraId="5F31A4A7" w14:textId="77777777" w:rsidR="00AD5CE1" w:rsidRPr="00AC13E7" w:rsidRDefault="00AD5CE1" w:rsidP="00AD5CE1">
      <w:pPr>
        <w:jc w:val="both"/>
      </w:pPr>
    </w:p>
    <w:p w14:paraId="791AD53A" w14:textId="12676FDF" w:rsidR="00F02D29" w:rsidRPr="00AC13E7" w:rsidRDefault="00F02D29" w:rsidP="004916C9">
      <w:pPr>
        <w:pStyle w:val="Caption"/>
      </w:pPr>
      <w:bookmarkStart w:id="257" w:name="_Ref383073053"/>
      <w:bookmarkStart w:id="258" w:name="_Toc384459610"/>
      <w:r w:rsidRPr="00AC13E7">
        <w:t xml:space="preserve">Table </w:t>
      </w:r>
      <w:r w:rsidR="005A7919" w:rsidRPr="00AC13E7">
        <w:t>2</w:t>
      </w:r>
      <w:bookmarkEnd w:id="257"/>
      <w:r w:rsidRPr="00AC13E7">
        <w:t xml:space="preserve"> Table of </w:t>
      </w:r>
      <w:r w:rsidR="005570A3" w:rsidRPr="00AC13E7">
        <w:t xml:space="preserve">the 10 top </w:t>
      </w:r>
      <w:r w:rsidRPr="00AC13E7">
        <w:t>significant gene sets</w:t>
      </w:r>
      <w:r w:rsidR="005570A3" w:rsidRPr="00AC13E7">
        <w:t xml:space="preserve"> (q&lt;0.1)</w:t>
      </w:r>
      <w:r w:rsidRPr="00AC13E7">
        <w:t xml:space="preserve"> in the subclonally mutated genes. The columns in order </w:t>
      </w:r>
      <w:r w:rsidR="00AD5CE1" w:rsidRPr="00AC13E7">
        <w:t>give: the gene set name, the num</w:t>
      </w:r>
      <w:r w:rsidR="001F0396" w:rsidRPr="00AC13E7">
        <w:t>b</w:t>
      </w:r>
      <w:r w:rsidR="00AD5CE1" w:rsidRPr="00AC13E7">
        <w:t>er of genes in the gene set, the p-value of the hypergeometric test, the FDR q-value.</w:t>
      </w:r>
      <w:bookmarkEnd w:id="258"/>
    </w:p>
    <w:p w14:paraId="3CBB0C4F" w14:textId="77777777" w:rsidR="00F02D29" w:rsidRPr="00AC13E7" w:rsidRDefault="00F02D29" w:rsidP="00F02D29">
      <w:r w:rsidRPr="00AC13E7">
        <w:rPr>
          <w:noProof/>
          <w:lang w:eastAsia="en-GB"/>
        </w:rPr>
        <w:drawing>
          <wp:inline distT="0" distB="0" distL="0" distR="0" wp14:anchorId="6180CCEC" wp14:editId="25425749">
            <wp:extent cx="5270500" cy="1777197"/>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0500" cy="1777197"/>
                    </a:xfrm>
                    <a:prstGeom prst="rect">
                      <a:avLst/>
                    </a:prstGeom>
                    <a:noFill/>
                    <a:ln>
                      <a:noFill/>
                    </a:ln>
                  </pic:spPr>
                </pic:pic>
              </a:graphicData>
            </a:graphic>
          </wp:inline>
        </w:drawing>
      </w:r>
    </w:p>
    <w:p w14:paraId="2A1778C4" w14:textId="77777777" w:rsidR="00F02D29" w:rsidRPr="00AC13E7" w:rsidRDefault="00F02D29" w:rsidP="00F02D29">
      <w:pPr>
        <w:jc w:val="both"/>
        <w:outlineLvl w:val="0"/>
        <w:rPr>
          <w:b/>
          <w:bCs/>
          <w:sz w:val="40"/>
          <w:szCs w:val="40"/>
        </w:rPr>
      </w:pPr>
    </w:p>
    <w:p w14:paraId="76B70A0C" w14:textId="77777777" w:rsidR="00F02D29" w:rsidRPr="00AC13E7" w:rsidRDefault="00F02D29" w:rsidP="00B20210">
      <w:pPr>
        <w:jc w:val="both"/>
      </w:pPr>
    </w:p>
    <w:p w14:paraId="6B408D9A" w14:textId="0469C0D7" w:rsidR="001C271C" w:rsidRPr="00AC13E7" w:rsidRDefault="004D729A" w:rsidP="009D35D6">
      <w:pPr>
        <w:pStyle w:val="Heading1"/>
        <w:pageBreakBefore/>
        <w:rPr>
          <w:rFonts w:ascii="Times New Roman" w:hAnsi="Times New Roman" w:cs="Times New Roman"/>
          <w:lang w:val="en-GB"/>
        </w:rPr>
      </w:pPr>
      <w:bookmarkStart w:id="259" w:name="_Toc499569299"/>
      <w:bookmarkStart w:id="260" w:name="_Toc499571769"/>
      <w:bookmarkStart w:id="261" w:name="_Toc391905045"/>
      <w:r w:rsidRPr="00AC13E7">
        <w:rPr>
          <w:rFonts w:ascii="Times New Roman" w:hAnsi="Times New Roman" w:cs="Times New Roman"/>
          <w:lang w:val="en-GB"/>
        </w:rPr>
        <w:lastRenderedPageBreak/>
        <w:t>5</w:t>
      </w:r>
      <w:r w:rsidR="001C271C" w:rsidRPr="00AC13E7">
        <w:rPr>
          <w:rFonts w:ascii="Times New Roman" w:hAnsi="Times New Roman" w:cs="Times New Roman"/>
          <w:lang w:val="en-GB"/>
        </w:rPr>
        <w:t xml:space="preserve">. </w:t>
      </w:r>
      <w:r w:rsidR="00C5259A" w:rsidRPr="00AC13E7">
        <w:rPr>
          <w:rFonts w:ascii="Times New Roman" w:hAnsi="Times New Roman" w:cs="Times New Roman"/>
          <w:lang w:val="en-GB"/>
        </w:rPr>
        <w:t xml:space="preserve">Evidence of additional </w:t>
      </w:r>
      <w:r w:rsidR="00BA6AA5" w:rsidRPr="00AC13E7">
        <w:rPr>
          <w:rFonts w:ascii="Times New Roman" w:hAnsi="Times New Roman" w:cs="Times New Roman"/>
          <w:lang w:val="en-GB"/>
        </w:rPr>
        <w:t>ITH</w:t>
      </w:r>
      <w:bookmarkEnd w:id="259"/>
      <w:bookmarkEnd w:id="260"/>
      <w:bookmarkEnd w:id="261"/>
    </w:p>
    <w:p w14:paraId="59A7DC56" w14:textId="74D2581F" w:rsidR="00B12429" w:rsidRPr="00AC13E7" w:rsidRDefault="004D729A" w:rsidP="00E62029">
      <w:pPr>
        <w:pStyle w:val="Heading2"/>
        <w:spacing w:before="320" w:after="80" w:line="276" w:lineRule="auto"/>
        <w:rPr>
          <w:rFonts w:ascii="Times New Roman" w:hAnsi="Times New Roman" w:cs="Times New Roman"/>
          <w:lang w:val="en-GB"/>
        </w:rPr>
      </w:pPr>
      <w:bookmarkStart w:id="262" w:name="_Toc499571771"/>
      <w:bookmarkStart w:id="263" w:name="_Toc391905046"/>
      <w:r w:rsidRPr="00AC13E7">
        <w:rPr>
          <w:rFonts w:ascii="Times New Roman" w:hAnsi="Times New Roman" w:cs="Times New Roman"/>
          <w:lang w:val="en-GB"/>
        </w:rPr>
        <w:t>5</w:t>
      </w:r>
      <w:r w:rsidR="00D77B5C" w:rsidRPr="00AC13E7">
        <w:rPr>
          <w:rFonts w:ascii="Times New Roman" w:hAnsi="Times New Roman" w:cs="Times New Roman"/>
          <w:lang w:val="en-GB"/>
        </w:rPr>
        <w:t>.1</w:t>
      </w:r>
      <w:r w:rsidR="00B12429" w:rsidRPr="00AC13E7">
        <w:rPr>
          <w:rFonts w:ascii="Times New Roman" w:hAnsi="Times New Roman" w:cs="Times New Roman"/>
          <w:lang w:val="en-GB"/>
        </w:rPr>
        <w:t xml:space="preserve"> Analysis </w:t>
      </w:r>
      <w:r w:rsidRPr="00AC13E7">
        <w:rPr>
          <w:rFonts w:ascii="Times New Roman" w:hAnsi="Times New Roman" w:cs="Times New Roman"/>
          <w:lang w:val="en-GB"/>
        </w:rPr>
        <w:t xml:space="preserve">of </w:t>
      </w:r>
      <w:r w:rsidR="00B12429" w:rsidRPr="00AC13E7">
        <w:rPr>
          <w:rFonts w:ascii="Times New Roman" w:hAnsi="Times New Roman" w:cs="Times New Roman"/>
          <w:lang w:val="en-GB"/>
        </w:rPr>
        <w:t>phaseable mutation pairs</w:t>
      </w:r>
      <w:bookmarkEnd w:id="262"/>
      <w:bookmarkEnd w:id="263"/>
    </w:p>
    <w:p w14:paraId="29DBCFAC" w14:textId="63CD3685" w:rsidR="00D72708" w:rsidRPr="00AC13E7" w:rsidRDefault="003D2781" w:rsidP="00724471">
      <w:pPr>
        <w:jc w:val="both"/>
        <w:rPr>
          <w:rFonts w:eastAsia="Times New Roman"/>
        </w:rPr>
      </w:pPr>
      <w:r w:rsidRPr="00AC13E7">
        <w:rPr>
          <w:rFonts w:eastAsia="Times New Roman"/>
        </w:rPr>
        <w:t xml:space="preserve">Amit Deshwar, Stefan Dentro, </w:t>
      </w:r>
      <w:r w:rsidR="00623F1C" w:rsidRPr="00AC13E7">
        <w:rPr>
          <w:rFonts w:eastAsia="Times New Roman"/>
        </w:rPr>
        <w:t xml:space="preserve">Ignaty Leshchiner, Maxime Tarabichi, </w:t>
      </w:r>
      <w:r w:rsidRPr="00AC13E7">
        <w:rPr>
          <w:rFonts w:eastAsia="Times New Roman"/>
        </w:rPr>
        <w:t>Peter Van Loo, Quaid D. Morris</w:t>
      </w:r>
    </w:p>
    <w:p w14:paraId="6C965C18" w14:textId="77777777" w:rsidR="003D2781" w:rsidRPr="00AC13E7" w:rsidRDefault="003D2781" w:rsidP="00724471">
      <w:pPr>
        <w:jc w:val="both"/>
        <w:rPr>
          <w:rFonts w:eastAsia="Times New Roman"/>
        </w:rPr>
      </w:pPr>
    </w:p>
    <w:p w14:paraId="50A8ED41" w14:textId="3199D842" w:rsidR="004E360A" w:rsidRPr="00AC13E7" w:rsidRDefault="00B12429" w:rsidP="00130645">
      <w:pPr>
        <w:pStyle w:val="NormalWeb"/>
        <w:spacing w:before="0" w:beforeAutospacing="0" w:after="0" w:afterAutospacing="0"/>
        <w:jc w:val="both"/>
        <w:rPr>
          <w:lang w:val="en-GB"/>
        </w:rPr>
      </w:pPr>
      <w:r w:rsidRPr="00AC13E7">
        <w:rPr>
          <w:color w:val="000000"/>
          <w:lang w:val="en-GB"/>
        </w:rPr>
        <w:t xml:space="preserve">Phased SNV pairs </w:t>
      </w:r>
      <w:r w:rsidR="004C43A4" w:rsidRPr="00AC13E7">
        <w:rPr>
          <w:color w:val="000000"/>
          <w:lang w:val="en-GB"/>
        </w:rPr>
        <w:t xml:space="preserve">can </w:t>
      </w:r>
      <w:r w:rsidRPr="00AC13E7">
        <w:rPr>
          <w:color w:val="000000"/>
          <w:lang w:val="en-GB"/>
        </w:rPr>
        <w:t xml:space="preserve">provide direct evidence </w:t>
      </w:r>
      <w:r w:rsidR="00904166" w:rsidRPr="00AC13E7">
        <w:rPr>
          <w:color w:val="000000"/>
          <w:lang w:val="en-GB"/>
        </w:rPr>
        <w:t xml:space="preserve">of </w:t>
      </w:r>
      <w:r w:rsidRPr="00AC13E7">
        <w:rPr>
          <w:color w:val="000000"/>
          <w:lang w:val="en-GB"/>
        </w:rPr>
        <w:t>whether two SNVs co-occur in th</w:t>
      </w:r>
      <w:r w:rsidR="00904166" w:rsidRPr="00AC13E7">
        <w:rPr>
          <w:color w:val="000000"/>
          <w:lang w:val="en-GB"/>
        </w:rPr>
        <w:t>e same cell, and thus are in co</w:t>
      </w:r>
      <w:r w:rsidR="0010015D" w:rsidRPr="00AC13E7">
        <w:rPr>
          <w:color w:val="000000"/>
          <w:lang w:val="en-GB"/>
        </w:rPr>
        <w:t>l</w:t>
      </w:r>
      <w:r w:rsidRPr="00AC13E7">
        <w:rPr>
          <w:color w:val="000000"/>
          <w:lang w:val="en-GB"/>
        </w:rPr>
        <w:t>linear subclonal lineages, or whether they are in separate cells, i.e., are mutually exclusive.</w:t>
      </w:r>
      <w:r w:rsidR="00B17CFB" w:rsidRPr="00AC13E7">
        <w:rPr>
          <w:color w:val="000000"/>
          <w:lang w:val="en-GB"/>
        </w:rPr>
        <w:t xml:space="preserve"> Specifically, if read pairs cover the loci of two nearby SNVs, each such read pair is a pairwise haplotype and the pattern of these haplotypes can be examined to </w:t>
      </w:r>
      <w:r w:rsidR="0043362E" w:rsidRPr="00AC13E7">
        <w:rPr>
          <w:color w:val="000000"/>
          <w:lang w:val="en-GB"/>
        </w:rPr>
        <w:t xml:space="preserve">establish </w:t>
      </w:r>
      <w:r w:rsidR="00B17CFB" w:rsidRPr="00AC13E7">
        <w:rPr>
          <w:color w:val="000000"/>
          <w:lang w:val="en-GB"/>
        </w:rPr>
        <w:t>the ancestral relationships between the subclonal lineages containing the SNVs. Assuming that the haplotypes are accurate</w:t>
      </w:r>
      <w:r w:rsidR="00EB4AA4" w:rsidRPr="00AC13E7">
        <w:rPr>
          <w:color w:val="000000"/>
          <w:lang w:val="en-GB"/>
        </w:rPr>
        <w:t xml:space="preserve"> and </w:t>
      </w:r>
      <w:r w:rsidR="00B17CFB" w:rsidRPr="00AC13E7">
        <w:rPr>
          <w:color w:val="000000"/>
          <w:lang w:val="en-GB"/>
        </w:rPr>
        <w:t>the infinite sites assumption</w:t>
      </w:r>
      <w:r w:rsidR="00E637D5" w:rsidRPr="00AC13E7">
        <w:rPr>
          <w:color w:val="000000"/>
          <w:lang w:val="en-GB"/>
        </w:rPr>
        <w:t xml:space="preserve"> holds</w:t>
      </w:r>
      <w:r w:rsidR="00B17CFB" w:rsidRPr="00AC13E7">
        <w:rPr>
          <w:color w:val="000000"/>
          <w:lang w:val="en-GB"/>
        </w:rPr>
        <w:t xml:space="preserve">, if two SNVs are </w:t>
      </w:r>
      <w:r w:rsidR="00B17CFB" w:rsidRPr="00AC13E7">
        <w:rPr>
          <w:iCs/>
          <w:color w:val="000000"/>
          <w:lang w:val="en-GB"/>
        </w:rPr>
        <w:t>in</w:t>
      </w:r>
      <w:r w:rsidR="00B17CFB" w:rsidRPr="00AC13E7">
        <w:rPr>
          <w:i/>
          <w:color w:val="000000"/>
          <w:lang w:val="en-GB"/>
        </w:rPr>
        <w:t>-cis</w:t>
      </w:r>
      <w:r w:rsidR="00B17CFB" w:rsidRPr="00AC13E7">
        <w:rPr>
          <w:color w:val="000000"/>
          <w:lang w:val="en-GB"/>
        </w:rPr>
        <w:t xml:space="preserve"> (they appear on the same haplotype), they</w:t>
      </w:r>
      <w:r w:rsidR="00A343A2" w:rsidRPr="00AC13E7">
        <w:rPr>
          <w:color w:val="000000"/>
          <w:lang w:val="en-GB"/>
        </w:rPr>
        <w:t xml:space="preserve"> must be</w:t>
      </w:r>
      <w:r w:rsidR="00B17CFB" w:rsidRPr="00AC13E7">
        <w:rPr>
          <w:color w:val="000000"/>
          <w:lang w:val="en-GB"/>
        </w:rPr>
        <w:t xml:space="preserve"> co</w:t>
      </w:r>
      <w:r w:rsidR="002A585E" w:rsidRPr="00AC13E7">
        <w:rPr>
          <w:color w:val="000000"/>
          <w:lang w:val="en-GB"/>
        </w:rPr>
        <w:t>l</w:t>
      </w:r>
      <w:r w:rsidR="00B17CFB" w:rsidRPr="00AC13E7">
        <w:rPr>
          <w:color w:val="000000"/>
          <w:lang w:val="en-GB"/>
        </w:rPr>
        <w:t xml:space="preserve">linear. Furthermore, if two SNVs are </w:t>
      </w:r>
      <w:r w:rsidR="00B17CFB" w:rsidRPr="00AC13E7">
        <w:rPr>
          <w:iCs/>
          <w:color w:val="000000"/>
          <w:lang w:val="en-GB"/>
        </w:rPr>
        <w:t>in</w:t>
      </w:r>
      <w:r w:rsidR="00B17CFB" w:rsidRPr="00AC13E7">
        <w:rPr>
          <w:i/>
          <w:color w:val="000000"/>
          <w:lang w:val="en-GB"/>
        </w:rPr>
        <w:t>-cis</w:t>
      </w:r>
      <w:r w:rsidR="00B17CFB" w:rsidRPr="00AC13E7">
        <w:rPr>
          <w:color w:val="000000"/>
          <w:lang w:val="en-GB"/>
        </w:rPr>
        <w:t xml:space="preserve">, and one of the haplotypes contains only one of the SNVs, then that SNV </w:t>
      </w:r>
      <w:r w:rsidR="00874BDC" w:rsidRPr="00AC13E7">
        <w:rPr>
          <w:color w:val="000000"/>
          <w:lang w:val="en-GB"/>
        </w:rPr>
        <w:t xml:space="preserve">occurred prior </w:t>
      </w:r>
      <w:r w:rsidR="00F51804" w:rsidRPr="00AC13E7">
        <w:rPr>
          <w:color w:val="000000"/>
          <w:lang w:val="en-GB"/>
        </w:rPr>
        <w:t xml:space="preserve">to the </w:t>
      </w:r>
      <w:r w:rsidR="007A15D7" w:rsidRPr="00AC13E7">
        <w:rPr>
          <w:color w:val="000000"/>
          <w:lang w:val="en-GB"/>
        </w:rPr>
        <w:t xml:space="preserve">other along the </w:t>
      </w:r>
      <w:r w:rsidR="00B17CFB" w:rsidRPr="00AC13E7">
        <w:rPr>
          <w:color w:val="000000"/>
          <w:lang w:val="en-GB"/>
        </w:rPr>
        <w:t xml:space="preserve">lineage. In contrast, if two SNVs are </w:t>
      </w:r>
      <w:r w:rsidR="00B17CFB" w:rsidRPr="00AC13E7">
        <w:rPr>
          <w:iCs/>
          <w:color w:val="000000"/>
          <w:lang w:val="en-GB"/>
        </w:rPr>
        <w:t>in</w:t>
      </w:r>
      <w:r w:rsidR="00B17CFB" w:rsidRPr="00AC13E7">
        <w:rPr>
          <w:i/>
          <w:color w:val="000000"/>
          <w:lang w:val="en-GB"/>
        </w:rPr>
        <w:t>-trans</w:t>
      </w:r>
      <w:r w:rsidR="00B17CFB" w:rsidRPr="00AC13E7">
        <w:rPr>
          <w:color w:val="000000"/>
          <w:lang w:val="en-GB"/>
        </w:rPr>
        <w:t xml:space="preserve">, and they appear in a haploid region (e.g. </w:t>
      </w:r>
      <w:r w:rsidR="004C5181" w:rsidRPr="00AC13E7">
        <w:rPr>
          <w:color w:val="000000"/>
          <w:lang w:val="en-GB"/>
        </w:rPr>
        <w:t xml:space="preserve">on chromosome </w:t>
      </w:r>
      <w:r w:rsidR="00B17CFB" w:rsidRPr="00AC13E7">
        <w:rPr>
          <w:color w:val="000000"/>
          <w:lang w:val="en-GB"/>
        </w:rPr>
        <w:t xml:space="preserve">X in a male patient, or in a </w:t>
      </w:r>
      <w:r w:rsidR="00130645" w:rsidRPr="00AC13E7">
        <w:rPr>
          <w:color w:val="000000"/>
          <w:lang w:val="en-GB"/>
        </w:rPr>
        <w:t>clonal copy number 1+0 region)</w:t>
      </w:r>
      <w:r w:rsidR="00B17CFB" w:rsidRPr="00AC13E7">
        <w:rPr>
          <w:color w:val="000000"/>
          <w:lang w:val="en-GB"/>
        </w:rPr>
        <w:t>, then the two SNVs are mutually exclusive.</w:t>
      </w:r>
    </w:p>
    <w:p w14:paraId="5BCC9CF0" w14:textId="77777777" w:rsidR="004E360A" w:rsidRPr="00AC13E7" w:rsidRDefault="004E360A" w:rsidP="008B6240">
      <w:pPr>
        <w:pStyle w:val="NormalWeb"/>
        <w:spacing w:before="0" w:beforeAutospacing="0" w:after="0" w:afterAutospacing="0"/>
        <w:jc w:val="both"/>
        <w:rPr>
          <w:color w:val="000000"/>
          <w:lang w:val="en-GB"/>
        </w:rPr>
      </w:pPr>
    </w:p>
    <w:p w14:paraId="09D8BDCF" w14:textId="4659C044" w:rsidR="002810C1" w:rsidRPr="00AC13E7" w:rsidRDefault="004E360A" w:rsidP="008F3655">
      <w:pPr>
        <w:pStyle w:val="NormalWeb"/>
        <w:spacing w:before="0" w:beforeAutospacing="0" w:after="0" w:afterAutospacing="0"/>
        <w:jc w:val="both"/>
        <w:rPr>
          <w:lang w:val="en-GB"/>
        </w:rPr>
      </w:pPr>
      <w:r w:rsidRPr="00AC13E7">
        <w:rPr>
          <w:color w:val="000000"/>
          <w:lang w:val="en-GB"/>
        </w:rPr>
        <w:t>We</w:t>
      </w:r>
      <w:r w:rsidR="003753FC" w:rsidRPr="00AC13E7">
        <w:rPr>
          <w:color w:val="000000"/>
          <w:lang w:val="en-GB"/>
        </w:rPr>
        <w:t xml:space="preserve"> </w:t>
      </w:r>
      <w:r w:rsidRPr="00AC13E7">
        <w:rPr>
          <w:color w:val="000000"/>
          <w:lang w:val="en-GB"/>
        </w:rPr>
        <w:t>obtained phasing information for all SNV pairs that are within 700bp</w:t>
      </w:r>
      <w:r w:rsidR="00F90A93" w:rsidRPr="00AC13E7">
        <w:rPr>
          <w:color w:val="000000"/>
          <w:lang w:val="en-GB"/>
        </w:rPr>
        <w:t>. Upon first</w:t>
      </w:r>
      <w:r w:rsidR="00B21601" w:rsidRPr="00AC13E7">
        <w:rPr>
          <w:color w:val="000000"/>
          <w:lang w:val="en-GB"/>
        </w:rPr>
        <w:t xml:space="preserve"> inspection</w:t>
      </w:r>
      <w:r w:rsidRPr="00AC13E7">
        <w:rPr>
          <w:rFonts w:eastAsia="Times New Roman"/>
          <w:lang w:val="en-GB"/>
        </w:rPr>
        <w:t xml:space="preserve">, we noted that a lot of putative pairs harbouring both somatic SNVs were </w:t>
      </w:r>
      <w:r w:rsidR="00E47953" w:rsidRPr="00AC13E7">
        <w:rPr>
          <w:rFonts w:eastAsia="Times New Roman"/>
          <w:lang w:val="en-GB"/>
        </w:rPr>
        <w:t xml:space="preserve">located in low-complexity </w:t>
      </w:r>
      <w:r w:rsidRPr="00AC13E7">
        <w:rPr>
          <w:rFonts w:eastAsia="Times New Roman"/>
          <w:lang w:val="en-GB"/>
        </w:rPr>
        <w:t xml:space="preserve">regions of </w:t>
      </w:r>
      <w:r w:rsidR="00071ECC" w:rsidRPr="00AC13E7">
        <w:rPr>
          <w:rFonts w:eastAsia="Times New Roman"/>
          <w:lang w:val="en-GB"/>
        </w:rPr>
        <w:t xml:space="preserve">the genome </w:t>
      </w:r>
      <w:r w:rsidRPr="00AC13E7">
        <w:rPr>
          <w:rFonts w:eastAsia="Times New Roman"/>
          <w:lang w:val="en-GB"/>
        </w:rPr>
        <w:t>or contained multiple mismatches in the read (a sign of alignment artefact).</w:t>
      </w:r>
      <w:r w:rsidR="00E548FD" w:rsidRPr="00AC13E7">
        <w:rPr>
          <w:rFonts w:eastAsia="Times New Roman"/>
          <w:lang w:val="en-GB"/>
        </w:rPr>
        <w:t xml:space="preserve"> </w:t>
      </w:r>
      <w:r w:rsidR="000F351C" w:rsidRPr="00AC13E7">
        <w:rPr>
          <w:color w:val="000000"/>
          <w:lang w:val="en-GB"/>
        </w:rPr>
        <w:t xml:space="preserve">We therefore </w:t>
      </w:r>
      <w:r w:rsidR="000F351C" w:rsidRPr="00AC13E7">
        <w:rPr>
          <w:rFonts w:eastAsia="Times New Roman"/>
          <w:lang w:val="en-GB"/>
        </w:rPr>
        <w:t xml:space="preserve">applied the following stringent filtering. </w:t>
      </w:r>
      <w:r w:rsidRPr="00AC13E7">
        <w:rPr>
          <w:rFonts w:eastAsia="Times New Roman"/>
          <w:lang w:val="en-GB"/>
        </w:rPr>
        <w:t>We removed any candidate pairs that had low mapping quality (&lt;</w:t>
      </w:r>
      <w:r w:rsidR="00CD63DB" w:rsidRPr="00AC13E7">
        <w:rPr>
          <w:rFonts w:eastAsia="Times New Roman"/>
          <w:lang w:val="en-GB"/>
        </w:rPr>
        <w:t xml:space="preserve"> </w:t>
      </w:r>
      <w:r w:rsidRPr="00AC13E7">
        <w:rPr>
          <w:rFonts w:eastAsia="Times New Roman"/>
          <w:lang w:val="en-GB"/>
        </w:rPr>
        <w:t>20)</w:t>
      </w:r>
      <w:r w:rsidR="00194B0B" w:rsidRPr="00AC13E7">
        <w:rPr>
          <w:rFonts w:eastAsia="Times New Roman"/>
          <w:lang w:val="en-GB"/>
        </w:rPr>
        <w:t>,</w:t>
      </w:r>
      <w:r w:rsidRPr="00AC13E7">
        <w:rPr>
          <w:rFonts w:eastAsia="Times New Roman"/>
          <w:lang w:val="en-GB"/>
        </w:rPr>
        <w:t xml:space="preserve"> low mismatch bases qualities (&lt;</w:t>
      </w:r>
      <w:r w:rsidR="00BB596C" w:rsidRPr="00AC13E7">
        <w:rPr>
          <w:rFonts w:eastAsia="Times New Roman"/>
          <w:lang w:val="en-GB"/>
        </w:rPr>
        <w:t xml:space="preserve"> </w:t>
      </w:r>
      <w:r w:rsidRPr="00AC13E7">
        <w:rPr>
          <w:rFonts w:eastAsia="Times New Roman"/>
          <w:lang w:val="en-GB"/>
        </w:rPr>
        <w:t xml:space="preserve">26), that were not properly paired, were </w:t>
      </w:r>
      <w:r w:rsidR="002B285B" w:rsidRPr="00AC13E7">
        <w:rPr>
          <w:rFonts w:eastAsia="Times New Roman"/>
          <w:lang w:val="en-GB"/>
        </w:rPr>
        <w:t xml:space="preserve">flagged as </w:t>
      </w:r>
      <w:r w:rsidRPr="00AC13E7">
        <w:rPr>
          <w:rFonts w:eastAsia="Times New Roman"/>
          <w:lang w:val="en-GB"/>
        </w:rPr>
        <w:t>duplicates or had a failed vendor quality control flag. Further</w:t>
      </w:r>
      <w:r w:rsidR="002B285B" w:rsidRPr="00AC13E7">
        <w:rPr>
          <w:rFonts w:eastAsia="Times New Roman"/>
          <w:lang w:val="en-GB"/>
        </w:rPr>
        <w:t>more</w:t>
      </w:r>
      <w:r w:rsidRPr="00AC13E7">
        <w:rPr>
          <w:rFonts w:eastAsia="Times New Roman"/>
          <w:lang w:val="en-GB"/>
        </w:rPr>
        <w:t>, we removed read pairs that had more than 2 mismatches in a single read or more than 3 in the whole pair (if both phased SNV were spanned by different reads in the pair).</w:t>
      </w:r>
      <w:r w:rsidR="008B1A5D" w:rsidRPr="00AC13E7">
        <w:rPr>
          <w:rFonts w:eastAsia="Times New Roman"/>
          <w:lang w:val="en-GB"/>
        </w:rPr>
        <w:t xml:space="preserve"> If a</w:t>
      </w:r>
      <w:r w:rsidR="00683819" w:rsidRPr="00AC13E7">
        <w:rPr>
          <w:rFonts w:eastAsia="Times New Roman"/>
          <w:lang w:val="en-GB"/>
        </w:rPr>
        <w:t>fter pair-by-</w:t>
      </w:r>
      <w:r w:rsidRPr="00AC13E7">
        <w:rPr>
          <w:rFonts w:eastAsia="Times New Roman"/>
          <w:lang w:val="en-GB"/>
        </w:rPr>
        <w:t>pair filtering</w:t>
      </w:r>
      <w:r w:rsidR="00683819" w:rsidRPr="00AC13E7">
        <w:rPr>
          <w:rFonts w:eastAsia="Times New Roman"/>
          <w:lang w:val="en-GB"/>
        </w:rPr>
        <w:t>,</w:t>
      </w:r>
      <w:r w:rsidR="00DE0F97" w:rsidRPr="00AC13E7">
        <w:rPr>
          <w:rFonts w:eastAsia="Times New Roman"/>
          <w:lang w:val="en-GB"/>
        </w:rPr>
        <w:t xml:space="preserve"> </w:t>
      </w:r>
      <w:r w:rsidR="00B17CFB" w:rsidRPr="00AC13E7">
        <w:rPr>
          <w:rFonts w:eastAsia="Times New Roman"/>
          <w:lang w:val="en-GB"/>
        </w:rPr>
        <w:t>less than 3 po</w:t>
      </w:r>
      <w:r w:rsidRPr="00AC13E7">
        <w:rPr>
          <w:rFonts w:eastAsia="Times New Roman"/>
          <w:lang w:val="en-GB"/>
        </w:rPr>
        <w:t>st</w:t>
      </w:r>
      <w:r w:rsidR="00B17CFB" w:rsidRPr="00AC13E7">
        <w:rPr>
          <w:rFonts w:eastAsia="Times New Roman"/>
          <w:lang w:val="en-GB"/>
        </w:rPr>
        <w:t>-</w:t>
      </w:r>
      <w:r w:rsidRPr="00AC13E7">
        <w:rPr>
          <w:rFonts w:eastAsia="Times New Roman"/>
          <w:lang w:val="en-GB"/>
        </w:rPr>
        <w:t xml:space="preserve">filter read pairs </w:t>
      </w:r>
      <w:r w:rsidR="00DE0F97" w:rsidRPr="00AC13E7">
        <w:rPr>
          <w:rFonts w:eastAsia="Times New Roman"/>
          <w:lang w:val="en-GB"/>
        </w:rPr>
        <w:t xml:space="preserve">remained </w:t>
      </w:r>
      <w:r w:rsidRPr="00AC13E7">
        <w:rPr>
          <w:rFonts w:eastAsia="Times New Roman"/>
          <w:lang w:val="en-GB"/>
        </w:rPr>
        <w:t>per event</w:t>
      </w:r>
      <w:r w:rsidR="00DE0F97" w:rsidRPr="00AC13E7">
        <w:rPr>
          <w:rFonts w:eastAsia="Times New Roman"/>
          <w:lang w:val="en-GB"/>
        </w:rPr>
        <w:t>,</w:t>
      </w:r>
      <w:r w:rsidRPr="00AC13E7">
        <w:rPr>
          <w:rFonts w:eastAsia="Times New Roman"/>
          <w:lang w:val="en-GB"/>
        </w:rPr>
        <w:t xml:space="preserve"> or </w:t>
      </w:r>
      <w:r w:rsidR="00DE0F97" w:rsidRPr="00AC13E7">
        <w:rPr>
          <w:rFonts w:eastAsia="Times New Roman"/>
          <w:lang w:val="en-GB"/>
        </w:rPr>
        <w:t xml:space="preserve">a </w:t>
      </w:r>
      <w:r w:rsidRPr="00AC13E7">
        <w:rPr>
          <w:rFonts w:eastAsia="Times New Roman"/>
          <w:lang w:val="en-GB"/>
        </w:rPr>
        <w:t xml:space="preserve">pileup </w:t>
      </w:r>
      <w:r w:rsidR="00DE0F97" w:rsidRPr="00AC13E7">
        <w:rPr>
          <w:rFonts w:eastAsia="Times New Roman"/>
          <w:lang w:val="en-GB"/>
        </w:rPr>
        <w:t xml:space="preserve">at the site </w:t>
      </w:r>
      <w:r w:rsidRPr="00AC13E7">
        <w:rPr>
          <w:rFonts w:eastAsia="Times New Roman"/>
          <w:lang w:val="en-GB"/>
        </w:rPr>
        <w:t xml:space="preserve">showed inconsistent phasing, the site was </w:t>
      </w:r>
      <w:r w:rsidR="00DE0F97" w:rsidRPr="00AC13E7">
        <w:rPr>
          <w:rFonts w:eastAsia="Times New Roman"/>
          <w:lang w:val="en-GB"/>
        </w:rPr>
        <w:t>omitted.</w:t>
      </w:r>
      <w:r w:rsidR="00773C51" w:rsidRPr="00AC13E7">
        <w:rPr>
          <w:rFonts w:eastAsia="Times New Roman"/>
          <w:lang w:val="en-GB"/>
        </w:rPr>
        <w:t xml:space="preserve"> Lastly,</w:t>
      </w:r>
      <w:r w:rsidR="00DE0F97" w:rsidRPr="00AC13E7">
        <w:rPr>
          <w:rFonts w:eastAsia="Times New Roman"/>
          <w:lang w:val="en-GB"/>
        </w:rPr>
        <w:t xml:space="preserve"> </w:t>
      </w:r>
      <w:r w:rsidR="002810C1" w:rsidRPr="00AC13E7">
        <w:rPr>
          <w:color w:val="000000"/>
          <w:lang w:val="en-GB"/>
        </w:rPr>
        <w:t>under the infinite sites assumption, the collection of pairwise haplotypes should never include cases where each of the SNVs appears by itself and where they appear together. As such, we remove those SNV pairs from our analysis. To further reduce incorrect inferences due to undetectable violations of the infinite sites assumption, we also remove SNV pairs from hyper-mutated regions, specifically, the IGH locus (chr14:106032614-107288051) and regions marked as having undergone kataegis</w:t>
      </w:r>
      <w:r w:rsidR="002810C1" w:rsidRPr="00AC13E7">
        <w:rPr>
          <w:color w:val="000000"/>
          <w:lang w:val="en-GB"/>
        </w:rPr>
        <w:fldChar w:fldCharType="begin"/>
      </w:r>
      <w:r w:rsidR="008F3655">
        <w:rPr>
          <w:color w:val="000000"/>
          <w:lang w:val="en-GB"/>
        </w:rPr>
        <w:instrText xml:space="preserve"> ADDIN EN.CITE &lt;EndNote&gt;&lt;Cite&gt;&lt;Author&gt;Campbell&lt;/Author&gt;&lt;Year&gt;2017&lt;/Year&gt;&lt;RecNum&gt;36&lt;/RecNum&gt;&lt;DisplayText&gt;&lt;style face="superscript"&gt;1&lt;/style&gt;&lt;/DisplayText&gt;&lt;record&gt;&lt;rec-number&gt;36&lt;/rec-number&gt;&lt;foreign-keys&gt;&lt;key app="EN" db-id="swsz0f55g50w9yex0aqvtfdxarrpzt5z00pd" timestamp="1511189663"&gt;36&lt;/key&gt;&lt;/foreign-keys&gt;&lt;ref-type name="Journal Article"&gt;17&lt;/ref-type&gt;&lt;contributors&gt;&lt;authors&gt;&lt;author&gt;Campbell, Peter J.&lt;/author&gt;&lt;author&gt;Getz, Gad&lt;/author&gt;&lt;author&gt;Stuart, Joshua M.&lt;/author&gt;&lt;author&gt;Korbel, Jan O.&lt;/author&gt;&lt;author&gt;Stein, Lincoln D.&lt;/author&gt;&lt;/authors&gt;&lt;/contributors&gt;&lt;titles&gt;&lt;title&gt;Pan-cancer analysis of whole genomes&lt;/title&gt;&lt;secondary-title&gt;bioRxiv&lt;/secondary-title&gt;&lt;/titles&gt;&lt;periodical&gt;&lt;full-title&gt;bioRxiv&lt;/full-title&gt;&lt;/periodical&gt;&lt;dates&gt;&lt;year&gt;2017&lt;/year&gt;&lt;/dates&gt;&lt;urls&gt;&lt;/urls&gt;&lt;electronic-resource-num&gt;10.1101/162784&lt;/electronic-resource-num&gt;&lt;/record&gt;&lt;/Cite&gt;&lt;/EndNote&gt;</w:instrText>
      </w:r>
      <w:r w:rsidR="002810C1" w:rsidRPr="00AC13E7">
        <w:rPr>
          <w:color w:val="000000"/>
          <w:lang w:val="en-GB"/>
        </w:rPr>
        <w:fldChar w:fldCharType="separate"/>
      </w:r>
      <w:r w:rsidR="008F3655" w:rsidRPr="008F3655">
        <w:rPr>
          <w:noProof/>
          <w:color w:val="000000"/>
          <w:vertAlign w:val="superscript"/>
          <w:lang w:val="en-GB"/>
        </w:rPr>
        <w:t>1</w:t>
      </w:r>
      <w:r w:rsidR="002810C1" w:rsidRPr="00AC13E7">
        <w:rPr>
          <w:color w:val="000000"/>
          <w:lang w:val="en-GB"/>
        </w:rPr>
        <w:fldChar w:fldCharType="end"/>
      </w:r>
      <w:r w:rsidR="002810C1" w:rsidRPr="00AC13E7">
        <w:rPr>
          <w:color w:val="000000"/>
          <w:lang w:val="en-GB"/>
        </w:rPr>
        <w:t>.</w:t>
      </w:r>
    </w:p>
    <w:p w14:paraId="5AF67348" w14:textId="77777777" w:rsidR="002810C1" w:rsidRPr="00AC13E7" w:rsidRDefault="002810C1" w:rsidP="002810C1">
      <w:pPr>
        <w:jc w:val="both"/>
      </w:pPr>
    </w:p>
    <w:p w14:paraId="591887C3" w14:textId="531FC8DC" w:rsidR="00867D45" w:rsidRPr="00AC13E7" w:rsidRDefault="00B17CFB" w:rsidP="00DE0F97">
      <w:pPr>
        <w:jc w:val="both"/>
      </w:pPr>
      <w:r w:rsidRPr="00AC13E7">
        <w:t xml:space="preserve">Having obtained high quality phasing information, we </w:t>
      </w:r>
      <w:r w:rsidR="00B12429" w:rsidRPr="00AC13E7">
        <w:t xml:space="preserve">compare the pairwise relationships implied by </w:t>
      </w:r>
      <w:r w:rsidR="00920BB5" w:rsidRPr="00AC13E7">
        <w:t xml:space="preserve">the </w:t>
      </w:r>
      <w:r w:rsidR="00B12429" w:rsidRPr="00AC13E7">
        <w:t xml:space="preserve">haplotype patterns with those implied by the consensus clustering to determine whether </w:t>
      </w:r>
      <w:r w:rsidR="00584B41" w:rsidRPr="00AC13E7">
        <w:t>we can further characterise</w:t>
      </w:r>
      <w:r w:rsidR="00B12429" w:rsidRPr="00AC13E7">
        <w:t xml:space="preserve"> ITH.</w:t>
      </w:r>
    </w:p>
    <w:p w14:paraId="65F37424" w14:textId="082669B8" w:rsidR="00B12429" w:rsidRPr="00AC13E7" w:rsidRDefault="000F7361" w:rsidP="009D7EE0">
      <w:pPr>
        <w:pStyle w:val="NormalWeb"/>
        <w:spacing w:before="0" w:beforeAutospacing="0" w:after="0" w:afterAutospacing="0"/>
        <w:jc w:val="both"/>
        <w:rPr>
          <w:lang w:val="en-GB"/>
        </w:rPr>
      </w:pPr>
      <w:r w:rsidRPr="00AC13E7">
        <w:rPr>
          <w:color w:val="000000"/>
          <w:lang w:val="en-GB"/>
        </w:rPr>
        <w:t xml:space="preserve">Basically, to identify collinear </w:t>
      </w:r>
      <w:r w:rsidR="00B12429" w:rsidRPr="00AC13E7">
        <w:rPr>
          <w:color w:val="000000"/>
          <w:lang w:val="en-GB"/>
        </w:rPr>
        <w:t xml:space="preserve">SNV pairs </w:t>
      </w:r>
      <w:r w:rsidRPr="00AC13E7">
        <w:rPr>
          <w:color w:val="000000"/>
          <w:lang w:val="en-GB"/>
        </w:rPr>
        <w:t xml:space="preserve">in different subclonal lineages, we search for </w:t>
      </w:r>
      <w:r w:rsidRPr="00AC13E7">
        <w:rPr>
          <w:iCs/>
          <w:color w:val="000000"/>
          <w:lang w:val="en-GB"/>
        </w:rPr>
        <w:t>in</w:t>
      </w:r>
      <w:r w:rsidRPr="00AC13E7">
        <w:rPr>
          <w:i/>
          <w:color w:val="000000"/>
          <w:lang w:val="en-GB"/>
        </w:rPr>
        <w:t>-cis</w:t>
      </w:r>
      <w:r w:rsidRPr="00AC13E7">
        <w:rPr>
          <w:color w:val="000000"/>
          <w:lang w:val="en-GB"/>
        </w:rPr>
        <w:t xml:space="preserve"> SNV pairs</w:t>
      </w:r>
      <w:r w:rsidR="009D7EE0" w:rsidRPr="00AC13E7">
        <w:rPr>
          <w:color w:val="000000"/>
          <w:lang w:val="en-GB"/>
        </w:rPr>
        <w:t xml:space="preserve"> </w:t>
      </w:r>
      <w:r w:rsidR="00B12429" w:rsidRPr="00AC13E7">
        <w:rPr>
          <w:color w:val="000000"/>
          <w:lang w:val="en-GB"/>
        </w:rPr>
        <w:t>that meet the following criteria:</w:t>
      </w:r>
    </w:p>
    <w:p w14:paraId="47BB7F17" w14:textId="77777777" w:rsidR="00B12429" w:rsidRPr="00AC13E7" w:rsidRDefault="00B12429" w:rsidP="008B6240">
      <w:pPr>
        <w:jc w:val="both"/>
        <w:rPr>
          <w:rFonts w:eastAsia="Times New Roman"/>
        </w:rPr>
      </w:pPr>
    </w:p>
    <w:p w14:paraId="3DA9163F" w14:textId="216E06AE" w:rsidR="001C271C" w:rsidRPr="00AC13E7" w:rsidRDefault="00B12429" w:rsidP="008B6240">
      <w:pPr>
        <w:pStyle w:val="ListParagraph"/>
        <w:numPr>
          <w:ilvl w:val="0"/>
          <w:numId w:val="15"/>
        </w:numPr>
        <w:jc w:val="both"/>
        <w:rPr>
          <w:rFonts w:eastAsia="Times New Roman"/>
          <w:lang w:val="en-GB"/>
        </w:rPr>
      </w:pPr>
      <w:r w:rsidRPr="00AC13E7">
        <w:rPr>
          <w:rFonts w:ascii="Times New Roman" w:eastAsia="Times New Roman" w:hAnsi="Times New Roman" w:cs="Times New Roman"/>
          <w:lang w:val="en-GB"/>
        </w:rPr>
        <w:t>have at least two haplotypes that contain only one of the mutant alleles,</w:t>
      </w:r>
    </w:p>
    <w:p w14:paraId="6F2D7450" w14:textId="77777777" w:rsidR="00B12429" w:rsidRPr="00AC13E7" w:rsidRDefault="00B12429" w:rsidP="008B6240">
      <w:pPr>
        <w:pStyle w:val="ListParagraph"/>
        <w:numPr>
          <w:ilvl w:val="0"/>
          <w:numId w:val="15"/>
        </w:numPr>
        <w:jc w:val="both"/>
        <w:rPr>
          <w:rFonts w:ascii="Times New Roman" w:eastAsia="Times New Roman" w:hAnsi="Times New Roman" w:cs="Times New Roman"/>
          <w:lang w:val="en-GB"/>
        </w:rPr>
      </w:pPr>
      <w:r w:rsidRPr="00AC13E7">
        <w:rPr>
          <w:rFonts w:ascii="Times New Roman" w:eastAsia="Times New Roman" w:hAnsi="Times New Roman" w:cs="Times New Roman"/>
          <w:lang w:val="en-GB"/>
        </w:rPr>
        <w:t>have at least two haplotypes that contain both mutant alleles,</w:t>
      </w:r>
    </w:p>
    <w:p w14:paraId="5C10FE79" w14:textId="2A366FE0" w:rsidR="00B12429" w:rsidRPr="00AC13E7" w:rsidRDefault="00B12429" w:rsidP="008B6240">
      <w:pPr>
        <w:pStyle w:val="ListParagraph"/>
        <w:numPr>
          <w:ilvl w:val="0"/>
          <w:numId w:val="15"/>
        </w:numPr>
        <w:jc w:val="both"/>
        <w:rPr>
          <w:rFonts w:ascii="Times New Roman" w:eastAsia="Times New Roman" w:hAnsi="Times New Roman" w:cs="Times New Roman"/>
          <w:lang w:val="en-GB"/>
        </w:rPr>
      </w:pPr>
      <w:r w:rsidRPr="00AC13E7">
        <w:rPr>
          <w:rFonts w:ascii="Times New Roman" w:eastAsia="Times New Roman" w:hAnsi="Times New Roman" w:cs="Times New Roman"/>
          <w:lang w:val="en-GB"/>
        </w:rPr>
        <w:t>belong to a sample with a</w:t>
      </w:r>
      <w:r w:rsidR="00171A95" w:rsidRPr="00AC13E7">
        <w:rPr>
          <w:rFonts w:ascii="Times New Roman" w:eastAsia="Times New Roman" w:hAnsi="Times New Roman" w:cs="Times New Roman"/>
          <w:lang w:val="en-GB"/>
        </w:rPr>
        <w:t>t least five pairs satisfying (</w:t>
      </w:r>
      <w:r w:rsidR="001818B5" w:rsidRPr="00AC13E7">
        <w:rPr>
          <w:rFonts w:ascii="Times New Roman" w:eastAsia="Times New Roman" w:hAnsi="Times New Roman" w:cs="Times New Roman"/>
          <w:lang w:val="en-GB"/>
        </w:rPr>
        <w:t>i</w:t>
      </w:r>
      <w:r w:rsidRPr="00AC13E7">
        <w:rPr>
          <w:rFonts w:ascii="Times New Roman" w:eastAsia="Times New Roman" w:hAnsi="Times New Roman" w:cs="Times New Roman"/>
          <w:lang w:val="en-GB"/>
        </w:rPr>
        <w:t>) and (ii),</w:t>
      </w:r>
    </w:p>
    <w:p w14:paraId="76E93567" w14:textId="6C73AA61" w:rsidR="00B12429" w:rsidRPr="00AC13E7" w:rsidRDefault="00B12429" w:rsidP="008B6240">
      <w:pPr>
        <w:pStyle w:val="ListParagraph"/>
        <w:numPr>
          <w:ilvl w:val="0"/>
          <w:numId w:val="15"/>
        </w:numPr>
        <w:jc w:val="both"/>
        <w:rPr>
          <w:rFonts w:ascii="Times New Roman" w:eastAsia="Times New Roman" w:hAnsi="Times New Roman" w:cs="Times New Roman"/>
          <w:lang w:val="en-GB"/>
        </w:rPr>
      </w:pPr>
      <w:r w:rsidRPr="00AC13E7">
        <w:rPr>
          <w:rFonts w:ascii="Times New Roman" w:eastAsia="Times New Roman" w:hAnsi="Times New Roman" w:cs="Times New Roman"/>
          <w:lang w:val="en-GB"/>
        </w:rPr>
        <w:t>have a co-clustering probability exceeding 0.99.</w:t>
      </w:r>
    </w:p>
    <w:p w14:paraId="4C1E4F07" w14:textId="77777777" w:rsidR="00B12429" w:rsidRPr="00AC13E7" w:rsidRDefault="00B12429" w:rsidP="00887F10">
      <w:pPr>
        <w:jc w:val="both"/>
        <w:rPr>
          <w:rFonts w:eastAsia="Times New Roman"/>
        </w:rPr>
      </w:pPr>
    </w:p>
    <w:p w14:paraId="7D99A175" w14:textId="06B34D61" w:rsidR="00E07C8E" w:rsidRPr="00AC13E7" w:rsidRDefault="00E07C8E" w:rsidP="003B225E">
      <w:pPr>
        <w:pStyle w:val="NormalWeb"/>
        <w:spacing w:before="0" w:beforeAutospacing="0" w:after="0" w:afterAutospacing="0"/>
        <w:jc w:val="both"/>
        <w:rPr>
          <w:lang w:val="en-GB"/>
        </w:rPr>
      </w:pPr>
      <w:r w:rsidRPr="00AC13E7">
        <w:rPr>
          <w:color w:val="000000"/>
          <w:lang w:val="en-GB"/>
        </w:rPr>
        <w:lastRenderedPageBreak/>
        <w:t>These criteria are consistent with one of the SNVs having occurred prior to the other along the lineage, yet they have been clustered together into the same (sub)clone. We therefore infer additional heterogeneity if more than two such pairs are found. Taken together, we find that 86 out</w:t>
      </w:r>
      <w:r w:rsidR="00F150B7" w:rsidRPr="00AC13E7">
        <w:rPr>
          <w:color w:val="000000"/>
          <w:lang w:val="en-GB"/>
        </w:rPr>
        <w:t xml:space="preserve"> of 196 tumours meeting the three criteria defined above</w:t>
      </w:r>
      <w:r w:rsidRPr="00AC13E7">
        <w:rPr>
          <w:color w:val="000000"/>
          <w:lang w:val="en-GB"/>
        </w:rPr>
        <w:t xml:space="preserve"> (</w:t>
      </w:r>
      <w:r w:rsidR="00F150B7" w:rsidRPr="00AC13E7">
        <w:rPr>
          <w:color w:val="000000"/>
          <w:lang w:val="en-GB"/>
        </w:rPr>
        <w:t xml:space="preserve">criterion </w:t>
      </w:r>
      <w:r w:rsidR="003B225E" w:rsidRPr="00AC13E7">
        <w:rPr>
          <w:color w:val="000000"/>
          <w:lang w:val="en-GB"/>
        </w:rPr>
        <w:t>iii</w:t>
      </w:r>
      <w:r w:rsidRPr="00AC13E7">
        <w:rPr>
          <w:color w:val="000000"/>
          <w:lang w:val="en-GB"/>
        </w:rPr>
        <w:t>)</w:t>
      </w:r>
      <w:r w:rsidR="00F150B7" w:rsidRPr="00AC13E7">
        <w:rPr>
          <w:color w:val="000000"/>
          <w:lang w:val="en-GB"/>
        </w:rPr>
        <w:t xml:space="preserve"> </w:t>
      </w:r>
      <w:r w:rsidRPr="00AC13E7">
        <w:rPr>
          <w:color w:val="000000"/>
          <w:lang w:val="en-GB"/>
        </w:rPr>
        <w:t>show such additional evidence for ITH.  </w:t>
      </w:r>
    </w:p>
    <w:p w14:paraId="7F57B1AD" w14:textId="77777777" w:rsidR="00B12429" w:rsidRPr="00AC13E7" w:rsidRDefault="00B12429" w:rsidP="008B6240">
      <w:pPr>
        <w:jc w:val="both"/>
        <w:rPr>
          <w:rFonts w:eastAsia="Times New Roman"/>
        </w:rPr>
      </w:pPr>
    </w:p>
    <w:p w14:paraId="62482AEA" w14:textId="15152B7C" w:rsidR="00B12429" w:rsidRPr="00AC13E7" w:rsidRDefault="00B12429" w:rsidP="00980B4C">
      <w:pPr>
        <w:pStyle w:val="NormalWeb"/>
        <w:spacing w:before="0" w:beforeAutospacing="0" w:after="0" w:afterAutospacing="0"/>
        <w:jc w:val="both"/>
        <w:rPr>
          <w:lang w:val="en-GB"/>
        </w:rPr>
      </w:pPr>
      <w:r w:rsidRPr="00AC13E7">
        <w:rPr>
          <w:color w:val="000000"/>
          <w:lang w:val="en-GB"/>
        </w:rPr>
        <w:t xml:space="preserve">To identify mutually exclusive SNV pairs (i.e. those in branching subclonal lineages), we search for </w:t>
      </w:r>
      <w:r w:rsidRPr="00AC13E7">
        <w:rPr>
          <w:iCs/>
          <w:color w:val="000000"/>
          <w:lang w:val="en-GB"/>
        </w:rPr>
        <w:t>in</w:t>
      </w:r>
      <w:r w:rsidRPr="00AC13E7">
        <w:rPr>
          <w:i/>
          <w:color w:val="000000"/>
          <w:lang w:val="en-GB"/>
        </w:rPr>
        <w:t>-trans</w:t>
      </w:r>
      <w:r w:rsidRPr="00AC13E7">
        <w:rPr>
          <w:color w:val="000000"/>
          <w:lang w:val="en-GB"/>
        </w:rPr>
        <w:t xml:space="preserve"> SNVs pairs in haploid regions that meet the following criteria:</w:t>
      </w:r>
    </w:p>
    <w:p w14:paraId="05A33099" w14:textId="77777777" w:rsidR="00B12429" w:rsidRPr="00AC13E7" w:rsidRDefault="00B12429" w:rsidP="008B6240">
      <w:pPr>
        <w:jc w:val="both"/>
        <w:rPr>
          <w:rFonts w:eastAsia="Times New Roman"/>
        </w:rPr>
      </w:pPr>
    </w:p>
    <w:p w14:paraId="64059E6E" w14:textId="6E2B8D74" w:rsidR="00B12429" w:rsidRPr="00AC13E7" w:rsidRDefault="00B12429" w:rsidP="008B6240">
      <w:pPr>
        <w:pStyle w:val="ListParagraph"/>
        <w:numPr>
          <w:ilvl w:val="0"/>
          <w:numId w:val="17"/>
        </w:numPr>
        <w:jc w:val="both"/>
        <w:rPr>
          <w:rFonts w:eastAsia="Times New Roman"/>
          <w:lang w:val="en-GB"/>
        </w:rPr>
      </w:pPr>
      <w:r w:rsidRPr="00AC13E7">
        <w:rPr>
          <w:rFonts w:ascii="Times New Roman" w:eastAsia="Times New Roman" w:hAnsi="Times New Roman" w:cs="Times New Roman"/>
          <w:lang w:val="en-GB"/>
        </w:rPr>
        <w:t>have at least two haplotypes containing exactly one mutant allele (for each SNV),</w:t>
      </w:r>
    </w:p>
    <w:p w14:paraId="07BA082B" w14:textId="77777777" w:rsidR="00B12429" w:rsidRPr="00AC13E7" w:rsidRDefault="00B12429" w:rsidP="008B6240">
      <w:pPr>
        <w:pStyle w:val="NormalWeb"/>
        <w:numPr>
          <w:ilvl w:val="0"/>
          <w:numId w:val="17"/>
        </w:numPr>
        <w:spacing w:before="0" w:beforeAutospacing="0" w:after="0" w:afterAutospacing="0"/>
        <w:jc w:val="both"/>
        <w:rPr>
          <w:lang w:val="en-GB"/>
        </w:rPr>
      </w:pPr>
      <w:r w:rsidRPr="00AC13E7">
        <w:rPr>
          <w:color w:val="000000"/>
          <w:lang w:val="en-GB"/>
        </w:rPr>
        <w:t>have no haplotypes containing both variants,</w:t>
      </w:r>
    </w:p>
    <w:p w14:paraId="573EB6AA" w14:textId="7BD21B1F" w:rsidR="00B12429" w:rsidRPr="00AC13E7" w:rsidRDefault="00B12429" w:rsidP="008B6240">
      <w:pPr>
        <w:pStyle w:val="ListParagraph"/>
        <w:numPr>
          <w:ilvl w:val="0"/>
          <w:numId w:val="17"/>
        </w:numPr>
        <w:jc w:val="both"/>
        <w:rPr>
          <w:rFonts w:ascii="Times New Roman" w:eastAsia="Times New Roman" w:hAnsi="Times New Roman" w:cs="Times New Roman"/>
          <w:lang w:val="en-GB"/>
        </w:rPr>
      </w:pPr>
      <w:r w:rsidRPr="00AC13E7">
        <w:rPr>
          <w:rFonts w:ascii="Times New Roman" w:eastAsia="Times New Roman" w:hAnsi="Times New Roman" w:cs="Times New Roman"/>
          <w:lang w:val="en-GB"/>
        </w:rPr>
        <w:t>have a co-clustering probability exceeding 0.99.</w:t>
      </w:r>
    </w:p>
    <w:p w14:paraId="46677EA7" w14:textId="77777777" w:rsidR="00B12429" w:rsidRPr="00AC13E7" w:rsidRDefault="00B12429" w:rsidP="008B6240">
      <w:pPr>
        <w:jc w:val="both"/>
        <w:rPr>
          <w:rFonts w:eastAsia="Times New Roman"/>
        </w:rPr>
      </w:pPr>
    </w:p>
    <w:p w14:paraId="4FD1FDE4" w14:textId="0D3DFAB4" w:rsidR="00683819" w:rsidRPr="00AC13E7" w:rsidRDefault="008B430E" w:rsidP="002E3119">
      <w:pPr>
        <w:jc w:val="both"/>
        <w:rPr>
          <w:b/>
          <w:sz w:val="36"/>
          <w:szCs w:val="36"/>
        </w:rPr>
      </w:pPr>
      <w:r w:rsidRPr="00AC13E7">
        <w:rPr>
          <w:color w:val="000000"/>
        </w:rPr>
        <w:t xml:space="preserve">Since these criteria are consistent with the SNVs being mutually exclusive, we infer additional </w:t>
      </w:r>
      <w:r w:rsidR="00AC4167" w:rsidRPr="00AC13E7">
        <w:rPr>
          <w:color w:val="000000"/>
        </w:rPr>
        <w:t>heterogeneity</w:t>
      </w:r>
      <w:r w:rsidR="00EE25E1" w:rsidRPr="00AC13E7">
        <w:rPr>
          <w:color w:val="000000"/>
        </w:rPr>
        <w:t xml:space="preserve"> </w:t>
      </w:r>
      <w:r w:rsidRPr="00AC13E7">
        <w:rPr>
          <w:color w:val="000000"/>
        </w:rPr>
        <w:t xml:space="preserve">if two or more such pairs are found. We find 42 out of 84 evaluable tumours showing such evidence while 30 of these tumours also showed </w:t>
      </w:r>
      <w:r w:rsidR="00AE3960" w:rsidRPr="00AC13E7">
        <w:rPr>
          <w:color w:val="000000"/>
        </w:rPr>
        <w:t xml:space="preserve">additional </w:t>
      </w:r>
      <w:r w:rsidRPr="00AC13E7">
        <w:rPr>
          <w:color w:val="000000"/>
        </w:rPr>
        <w:t>evidence of collinear heterogeneity.</w:t>
      </w:r>
    </w:p>
    <w:p w14:paraId="6ECF6689" w14:textId="77777777" w:rsidR="00683819" w:rsidRPr="00AC13E7" w:rsidRDefault="00683819" w:rsidP="004D729A">
      <w:pPr>
        <w:ind w:left="45"/>
        <w:rPr>
          <w:b/>
          <w:sz w:val="36"/>
          <w:szCs w:val="36"/>
        </w:rPr>
      </w:pPr>
    </w:p>
    <w:p w14:paraId="36A9E82C" w14:textId="77777777" w:rsidR="0084009D" w:rsidRPr="00AC13E7" w:rsidRDefault="0084009D" w:rsidP="00E62029">
      <w:pPr>
        <w:pStyle w:val="Heading2"/>
        <w:spacing w:before="320" w:after="80" w:line="276" w:lineRule="auto"/>
        <w:rPr>
          <w:rFonts w:ascii="Times New Roman" w:hAnsi="Times New Roman" w:cs="Times New Roman"/>
          <w:lang w:val="en-GB"/>
        </w:rPr>
      </w:pPr>
      <w:bookmarkStart w:id="264" w:name="_Toc391905047"/>
      <w:bookmarkStart w:id="265" w:name="_Toc499569300"/>
      <w:bookmarkStart w:id="266" w:name="_Toc499571773"/>
      <w:r w:rsidRPr="00AC13E7">
        <w:rPr>
          <w:rFonts w:ascii="Times New Roman" w:hAnsi="Times New Roman" w:cs="Times New Roman"/>
          <w:lang w:val="en-GB"/>
        </w:rPr>
        <w:t>5.2 Tracking signature activities across cancer timelines</w:t>
      </w:r>
      <w:bookmarkEnd w:id="264"/>
    </w:p>
    <w:p w14:paraId="2F3CA119" w14:textId="77777777" w:rsidR="0084009D" w:rsidRPr="00AC13E7" w:rsidRDefault="0084009D" w:rsidP="0084009D">
      <w:pPr>
        <w:jc w:val="both"/>
        <w:rPr>
          <w:rFonts w:ascii="Times" w:hAnsi="Times"/>
          <w:sz w:val="20"/>
          <w:szCs w:val="20"/>
          <w:lang w:eastAsia="en-US"/>
        </w:rPr>
      </w:pPr>
      <w:r w:rsidRPr="00AC13E7">
        <w:rPr>
          <w:color w:val="000000"/>
          <w:lang w:eastAsia="en-US"/>
        </w:rPr>
        <w:t>Yulia Rubanova, Quaid D. Morris</w:t>
      </w:r>
    </w:p>
    <w:p w14:paraId="43FD1000" w14:textId="77777777" w:rsidR="0084009D" w:rsidRPr="00AC13E7" w:rsidRDefault="0084009D" w:rsidP="0084009D">
      <w:pPr>
        <w:rPr>
          <w:rFonts w:ascii="Times" w:eastAsia="Times New Roman" w:hAnsi="Times"/>
          <w:sz w:val="20"/>
          <w:szCs w:val="20"/>
          <w:lang w:eastAsia="en-US"/>
        </w:rPr>
      </w:pPr>
    </w:p>
    <w:p w14:paraId="4483DDAB" w14:textId="52933E0F" w:rsidR="00182752" w:rsidRPr="00AC13E7" w:rsidRDefault="00182752" w:rsidP="00D86E26">
      <w:pPr>
        <w:widowControl w:val="0"/>
        <w:autoSpaceDE w:val="0"/>
        <w:autoSpaceDN w:val="0"/>
        <w:adjustRightInd w:val="0"/>
      </w:pPr>
      <w:r w:rsidRPr="00AC13E7">
        <w:t xml:space="preserve">Mutations accumulate in cancer cells due to external (e.g., smoking, exposure to UV light) or internal (e.g. copy errors, failure of DNA damage repair) causes. Each source can be characterised by a probability distribution over 96 mutation types, known as a mutational </w:t>
      </w:r>
      <w:r w:rsidRPr="00AC13E7">
        <w:rPr>
          <w:i/>
          <w:iCs/>
        </w:rPr>
        <w:t>signature</w:t>
      </w:r>
      <w:r w:rsidR="00665407" w:rsidRPr="00AC13E7">
        <w:rPr>
          <w:i/>
          <w:iCs/>
        </w:rPr>
        <w:fldChar w:fldCharType="begin">
          <w:fldData xml:space="preserve">PEVuZE5vdGU+PENpdGU+PEF1dGhvcj5BbGV4YW5kcm92PC9BdXRob3I+PFllYXI+MjAxMzwvWWVh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</w:fldData>
        </w:fldChar>
      </w:r>
      <w:r w:rsidR="00D86E26">
        <w:rPr>
          <w:i/>
          <w:iCs/>
        </w:rPr>
        <w:instrText xml:space="preserve"> ADDIN EN.CITE </w:instrText>
      </w:r>
      <w:r w:rsidR="00D86E26">
        <w:rPr>
          <w:i/>
          <w:iCs/>
        </w:rPr>
        <w:fldChar w:fldCharType="begin">
          <w:fldData xml:space="preserve">PEVuZE5vdGU+PENpdGU+PEF1dGhvcj5BbGV4YW5kcm92PC9BdXRob3I+PFllYXI+MjAxMzwvWWVh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</w:fldData>
        </w:fldChar>
      </w:r>
      <w:r w:rsidR="00D86E26">
        <w:rPr>
          <w:i/>
          <w:iCs/>
        </w:rPr>
        <w:instrText xml:space="preserve"> ADDIN EN.CITE.DATA </w:instrText>
      </w:r>
      <w:r w:rsidR="00D86E26">
        <w:rPr>
          <w:i/>
          <w:iCs/>
        </w:rPr>
      </w:r>
      <w:r w:rsidR="00D86E26">
        <w:rPr>
          <w:i/>
          <w:iCs/>
        </w:rPr>
        <w:fldChar w:fldCharType="end"/>
      </w:r>
      <w:r w:rsidR="00665407" w:rsidRPr="00AC13E7">
        <w:rPr>
          <w:i/>
          <w:iCs/>
        </w:rPr>
      </w:r>
      <w:r w:rsidR="00665407" w:rsidRPr="00AC13E7">
        <w:rPr>
          <w:i/>
          <w:iCs/>
        </w:rPr>
        <w:fldChar w:fldCharType="separate"/>
      </w:r>
      <w:r w:rsidR="00D86E26" w:rsidRPr="00D86E26">
        <w:rPr>
          <w:i/>
          <w:iCs/>
          <w:noProof/>
          <w:vertAlign w:val="superscript"/>
        </w:rPr>
        <w:t>52</w:t>
      </w:r>
      <w:r w:rsidR="00665407" w:rsidRPr="00AC13E7">
        <w:rPr>
          <w:i/>
          <w:iCs/>
        </w:rPr>
        <w:fldChar w:fldCharType="end"/>
      </w:r>
      <w:r w:rsidR="00665407" w:rsidRPr="00AC13E7">
        <w:rPr>
          <w:iCs/>
        </w:rPr>
        <w:t xml:space="preserve">. </w:t>
      </w:r>
      <w:r w:rsidRPr="00AC13E7">
        <w:t xml:space="preserve">The rate at which new mutations are generated by a certain process can vary over time and is known as the </w:t>
      </w:r>
      <w:r w:rsidRPr="00AC13E7">
        <w:rPr>
          <w:i/>
          <w:iCs/>
        </w:rPr>
        <w:t>signature</w:t>
      </w:r>
      <w:r w:rsidRPr="00AC13E7">
        <w:t xml:space="preserve"> </w:t>
      </w:r>
      <w:r w:rsidRPr="00AC13E7">
        <w:rPr>
          <w:i/>
          <w:iCs/>
        </w:rPr>
        <w:t>activity</w:t>
      </w:r>
      <w:r w:rsidRPr="00AC13E7">
        <w:t xml:space="preserve">. Note that multiple mutational sources can be active in the same tumour. </w:t>
      </w:r>
    </w:p>
    <w:p w14:paraId="11DBB9E6" w14:textId="77777777" w:rsidR="00182752" w:rsidRPr="00AC13E7" w:rsidRDefault="00182752" w:rsidP="00182752">
      <w:pPr>
        <w:jc w:val="both"/>
        <w:rPr>
          <w:rFonts w:eastAsia="Times New Roman"/>
        </w:rPr>
      </w:pPr>
    </w:p>
    <w:p w14:paraId="357758B0" w14:textId="5849726F" w:rsidR="00182752" w:rsidRPr="00AC13E7" w:rsidRDefault="00182752" w:rsidP="00D86E26">
      <w:pPr>
        <w:jc w:val="both"/>
      </w:pPr>
      <w:r w:rsidRPr="00AC13E7">
        <w:t xml:space="preserve">We used a probabilistic method called TrackSig to fit the evolutionary trajectories of signature activities in individual tumours. This method is described in detail in a separate manuscript (Rubanova </w:t>
      </w:r>
      <w:r w:rsidRPr="00AC13E7">
        <w:rPr>
          <w:i/>
        </w:rPr>
        <w:t>et al</w:t>
      </w:r>
      <w:r w:rsidRPr="00AC13E7">
        <w:t>., bioRxiv</w:t>
      </w:r>
      <w:r w:rsidR="00CE3E83" w:rsidRPr="00AC13E7">
        <w:fldChar w:fldCharType="begin"/>
      </w:r>
      <w:r w:rsidR="00D86E26">
        <w:instrText xml:space="preserve"> ADDIN EN.CITE &lt;EndNote&gt;&lt;Cite&gt;&lt;Author&gt;Rubanova&lt;/Author&gt;&lt;Year&gt;2018&lt;/Year&gt;&lt;RecNum&gt;65&lt;/RecNum&gt;&lt;DisplayText&gt;&lt;style face="superscript"&gt;53&lt;/style&gt;&lt;/DisplayText&gt;&lt;record&gt;&lt;rec-number&gt;65&lt;/rec-number&gt;&lt;foreign-keys&gt;&lt;key app="EN" db-id="xtaw29xt0drav5efdsppfrerarrd9tf9dfxd" timestamp="1522145324"&gt;65&lt;/key&gt;&lt;/foreign-keys&gt;&lt;ref-type name="Journal Article"&gt;17&lt;/ref-type&gt;&lt;contributors&gt;&lt;authors&gt;&lt;author&gt;Rubanova, Yulia&lt;/author&gt;&lt;author&gt;Li, Roujia&lt;/author&gt;&lt;author&gt;Wintersinger, Jeff&lt;/author&gt;&lt;author&gt;Sahin, Nil&lt;/author&gt;&lt;author&gt;Deshwar, Amit&lt;/author&gt;&lt;author&gt;Morris, Quaid&lt;/author&gt;&lt;/authors&gt;&lt;/contributors&gt;&lt;titles&gt;&lt;title&gt;TrackSig: reconstructing evolutionary trajectories of mutation signature exposure&lt;/title&gt;&lt;secondary-title&gt;bioRxiv&lt;/secondary-title&gt;&lt;/titles&gt;&lt;periodical&gt;&lt;full-title&gt;bioRxiv&lt;/full-title&gt;&lt;/periodical&gt;&lt;dates&gt;&lt;year&gt;2018&lt;/year&gt;&lt;/dates&gt;&lt;urls&gt;&lt;related-urls&gt;&lt;url&gt;https://www.biorxiv.org/content/biorxiv/early/2018/02/05/260471.full.pdf&lt;/url&gt;&lt;/related-urls&gt;&lt;/urls&gt;&lt;electronic-resource-num&gt;10.1101/260471&lt;/electronic-resource-num&gt;&lt;/record&gt;&lt;/Cite&gt;&lt;/EndNote&gt;</w:instrText>
      </w:r>
      <w:r w:rsidR="00CE3E83" w:rsidRPr="00AC13E7">
        <w:fldChar w:fldCharType="separate"/>
      </w:r>
      <w:r w:rsidR="00D86E26" w:rsidRPr="00D86E26">
        <w:rPr>
          <w:noProof/>
          <w:vertAlign w:val="superscript"/>
        </w:rPr>
        <w:t>53</w:t>
      </w:r>
      <w:r w:rsidR="00CE3E83" w:rsidRPr="00AC13E7">
        <w:fldChar w:fldCharType="end"/>
      </w:r>
      <w:r w:rsidR="00CE3E83" w:rsidRPr="00AC13E7">
        <w:t xml:space="preserve">) </w:t>
      </w:r>
      <w:r w:rsidRPr="00AC13E7">
        <w:t>Here we briefly describe (i) the source of the mutation signatures, (ii) the major steps in trajectory reconstruction by Trackature, (iii) how significance of signature activity change was computed, (iv) how the estimates of coincidence between signature activity change and clonal / subclonal boundaries (and subclonal / subclonal boundaries) were computed.</w:t>
      </w:r>
    </w:p>
    <w:p w14:paraId="3E923141" w14:textId="77777777" w:rsidR="00182752" w:rsidRPr="00AC13E7" w:rsidRDefault="00182752" w:rsidP="00182752">
      <w:pPr>
        <w:jc w:val="both"/>
        <w:rPr>
          <w:rFonts w:eastAsia="Times New Roman"/>
        </w:rPr>
      </w:pPr>
    </w:p>
    <w:p w14:paraId="097851E0" w14:textId="77777777" w:rsidR="00182752" w:rsidRPr="00AC13E7" w:rsidRDefault="00182752" w:rsidP="00182752">
      <w:pPr>
        <w:jc w:val="both"/>
      </w:pPr>
      <w:r w:rsidRPr="00AC13E7">
        <w:rPr>
          <w:b/>
          <w:bCs/>
        </w:rPr>
        <w:t>(i) Source of mutation signatures</w:t>
      </w:r>
    </w:p>
    <w:p w14:paraId="67E9A7E2" w14:textId="77777777" w:rsidR="00182752" w:rsidRPr="00AC13E7" w:rsidRDefault="00182752" w:rsidP="00182752">
      <w:pPr>
        <w:jc w:val="both"/>
        <w:rPr>
          <w:rFonts w:eastAsia="Times New Roman"/>
        </w:rPr>
      </w:pPr>
    </w:p>
    <w:p w14:paraId="09DA7B12" w14:textId="77777777" w:rsidR="00182752" w:rsidRPr="00AC13E7" w:rsidRDefault="00182752" w:rsidP="00182752">
      <w:pPr>
        <w:jc w:val="both"/>
      </w:pPr>
      <w:r w:rsidRPr="00AC13E7">
        <w:t>We used the Beta2 release of the mutation signatures by PCAWG working group 7 (manuscript in preparation). For each sample, we only considered mutation signatures marked as active.</w:t>
      </w:r>
    </w:p>
    <w:p w14:paraId="1DB01F95" w14:textId="77777777" w:rsidR="00182752" w:rsidRPr="00AC13E7" w:rsidRDefault="00182752" w:rsidP="00182752">
      <w:pPr>
        <w:jc w:val="both"/>
        <w:rPr>
          <w:rFonts w:eastAsia="Times New Roman"/>
        </w:rPr>
      </w:pPr>
    </w:p>
    <w:p w14:paraId="08B859E5" w14:textId="77777777" w:rsidR="00182752" w:rsidRPr="00AC13E7" w:rsidRDefault="00182752" w:rsidP="00182752">
      <w:pPr>
        <w:jc w:val="both"/>
      </w:pPr>
      <w:r w:rsidRPr="00AC13E7">
        <w:rPr>
          <w:b/>
          <w:bCs/>
        </w:rPr>
        <w:t>(ii) Trackature fitting of evolutionary trajectories of signature activity</w:t>
      </w:r>
    </w:p>
    <w:p w14:paraId="235D539A" w14:textId="77777777" w:rsidR="00182752" w:rsidRPr="00AC13E7" w:rsidRDefault="00182752" w:rsidP="00182752">
      <w:pPr>
        <w:jc w:val="both"/>
        <w:rPr>
          <w:rFonts w:eastAsia="Times New Roman"/>
        </w:rPr>
      </w:pPr>
    </w:p>
    <w:p w14:paraId="4E5CF145" w14:textId="77777777" w:rsidR="00182752" w:rsidRPr="00AC13E7" w:rsidRDefault="00182752" w:rsidP="00182752">
      <w:pPr>
        <w:jc w:val="both"/>
      </w:pPr>
      <w:r w:rsidRPr="00AC13E7">
        <w:rPr>
          <w:i/>
          <w:iCs/>
        </w:rPr>
        <w:t>Assessing pseudo-time ordering of mutations</w:t>
      </w:r>
    </w:p>
    <w:p w14:paraId="5EA0B1FE" w14:textId="77777777" w:rsidR="00182752" w:rsidRPr="00AC13E7" w:rsidRDefault="00182752" w:rsidP="00182752">
      <w:pPr>
        <w:jc w:val="both"/>
        <w:rPr>
          <w:rFonts w:eastAsia="Times New Roman"/>
        </w:rPr>
      </w:pPr>
    </w:p>
    <w:p w14:paraId="55D93384" w14:textId="0371A11B" w:rsidR="00182752" w:rsidRPr="00AC13E7" w:rsidRDefault="00182752" w:rsidP="00182752">
      <w:pPr>
        <w:jc w:val="both"/>
      </w:pPr>
      <w:r w:rsidRPr="00AC13E7">
        <w:t xml:space="preserve">First, we order the mutations based on their approximate relative order of occurrence in the tumour. Generally, if the mutation occurred early in the tumour development, it will be present at high cellular prevalence (CP), whereas late mutations have lower CP. We exploit this observation to infer the pseudo-time of mutation occurrence. We take the variant allele frequency (VAF) of the mutations as computed from the read counts. To eliminate the effects of quantisation noise we then re-sample the VAF value from the posterior distribution given the variant and reference read counts. VAF </w:t>
      </w:r>
      <w:r w:rsidRPr="00AC13E7">
        <w:rPr>
          <w:rFonts w:asciiTheme="majorBidi" w:hAnsiTheme="majorBidi" w:cstheme="majorBidi"/>
        </w:rPr>
        <w:t xml:space="preserve">estimates are converted into "average mutation copy number/cell"-space by multiplying the CP by the copy number. This space yields a </w:t>
      </w:r>
      <w:r w:rsidRPr="00AC13E7">
        <w:rPr>
          <w:rFonts w:asciiTheme="majorBidi" w:eastAsia="Helvetica" w:hAnsiTheme="majorBidi" w:cstheme="majorBidi"/>
        </w:rPr>
        <w:t>“pseudo-time” ordering of mutations</w:t>
      </w:r>
      <w:r w:rsidRPr="00AC13E7">
        <w:rPr>
          <w:rFonts w:asciiTheme="majorBidi" w:hAnsiTheme="majorBidi" w:cstheme="majorBidi"/>
        </w:rPr>
        <w:t xml:space="preserve">, but how this relates to real time is unknown. For convenience, we divide the time-ordered mutations into equal bins of 100 mutations. </w:t>
      </w:r>
      <w:r w:rsidRPr="00AC13E7">
        <w:t>The resulting bins, each corresponding to one time point, constitute a pseudo-timeline of tumour development, which we leverage to map the signature trajectories. Timelines are constructed separately for each sample.</w:t>
      </w:r>
    </w:p>
    <w:p w14:paraId="089A2B6B" w14:textId="77777777" w:rsidR="00182752" w:rsidRPr="00AC13E7" w:rsidRDefault="00182752" w:rsidP="00182752">
      <w:pPr>
        <w:jc w:val="both"/>
        <w:rPr>
          <w:rFonts w:eastAsia="Times New Roman"/>
        </w:rPr>
      </w:pPr>
    </w:p>
    <w:p w14:paraId="1D8060E5" w14:textId="77777777" w:rsidR="00182752" w:rsidRPr="00AC13E7" w:rsidRDefault="00182752" w:rsidP="00182752">
      <w:pPr>
        <w:jc w:val="both"/>
      </w:pPr>
      <w:r w:rsidRPr="00AC13E7">
        <w:t>This method does not consider branching tumour evolution. If two subclones have a similar cellular prevalence, mutations from those subclones are likely to fall into the same time points. Note that this issue may be tackled by estimating the trajectories separately for each subclone.</w:t>
      </w:r>
    </w:p>
    <w:p w14:paraId="6111ED6F" w14:textId="77777777" w:rsidR="00182752" w:rsidRPr="00AC13E7" w:rsidRDefault="00182752" w:rsidP="00182752">
      <w:pPr>
        <w:jc w:val="both"/>
        <w:rPr>
          <w:rFonts w:eastAsia="Times New Roman"/>
        </w:rPr>
      </w:pPr>
    </w:p>
    <w:p w14:paraId="07CE96AA" w14:textId="77777777" w:rsidR="00182752" w:rsidRPr="00AC13E7" w:rsidRDefault="00182752" w:rsidP="00182752">
      <w:pPr>
        <w:jc w:val="both"/>
        <w:rPr>
          <w:i/>
          <w:iCs/>
        </w:rPr>
      </w:pPr>
      <w:r w:rsidRPr="00AC13E7">
        <w:rPr>
          <w:i/>
          <w:iCs/>
        </w:rPr>
        <w:t>Activity estimation</w:t>
      </w:r>
    </w:p>
    <w:p w14:paraId="1B76BB58" w14:textId="77777777" w:rsidR="00182752" w:rsidRPr="00AC13E7" w:rsidRDefault="00182752" w:rsidP="00182752">
      <w:pPr>
        <w:jc w:val="both"/>
        <w:rPr>
          <w:rFonts w:eastAsia="Times New Roman"/>
        </w:rPr>
      </w:pPr>
    </w:p>
    <w:p w14:paraId="34FDF2AA" w14:textId="77777777" w:rsidR="00182752" w:rsidRPr="00AC13E7" w:rsidRDefault="00182752" w:rsidP="00182752">
      <w:pPr>
        <w:jc w:val="both"/>
      </w:pPr>
      <w:r w:rsidRPr="00AC13E7">
        <w:t>Next, we estimate the signature proportions. At each time point, the SNVs are classified into 96 types based on their trinucleotide context. Then we fit a mixture of multinomials, where each component multinomial describes one of the known active signature distributions over the 96 types. Derived mixture component coefficients correspond to the signature activities and sum to 1 for each time point. The activity value reflects the fraction of the mutations generated by the associated mutational process. For ease of interpretation, activities are given as percentage. By estimating the activities at each time point, a set of trajectories is obtained. Each trajectory represents the activity of the corresponding mutational process during the evolutionary history of the tumour sample.</w:t>
      </w:r>
    </w:p>
    <w:p w14:paraId="0D53397B" w14:textId="77777777" w:rsidR="00182752" w:rsidRPr="00AC13E7" w:rsidRDefault="00182752" w:rsidP="00182752">
      <w:pPr>
        <w:jc w:val="both"/>
        <w:rPr>
          <w:rFonts w:eastAsia="Times New Roman"/>
        </w:rPr>
      </w:pPr>
    </w:p>
    <w:p w14:paraId="4CD0CF5E" w14:textId="77777777" w:rsidR="00182752" w:rsidRPr="00AC13E7" w:rsidRDefault="00182752" w:rsidP="00182752">
      <w:pPr>
        <w:jc w:val="both"/>
        <w:rPr>
          <w:i/>
          <w:iCs/>
        </w:rPr>
      </w:pPr>
      <w:r w:rsidRPr="00AC13E7">
        <w:rPr>
          <w:i/>
          <w:iCs/>
        </w:rPr>
        <w:t>Detecting change points</w:t>
      </w:r>
    </w:p>
    <w:p w14:paraId="01B01F05" w14:textId="77777777" w:rsidR="00182752" w:rsidRPr="00AC13E7" w:rsidRDefault="00182752" w:rsidP="00182752">
      <w:pPr>
        <w:jc w:val="both"/>
        <w:rPr>
          <w:rFonts w:eastAsia="Times New Roman"/>
        </w:rPr>
      </w:pPr>
    </w:p>
    <w:p w14:paraId="5CA2BC6F" w14:textId="77777777" w:rsidR="00182752" w:rsidRPr="00AC13E7" w:rsidRDefault="00182752" w:rsidP="000E45B2">
      <w:pPr>
        <w:jc w:val="both"/>
      </w:pPr>
      <w:r w:rsidRPr="00AC13E7">
        <w:t>Finally, we seek to find the time points at which signature activities change substantially, as these represent changes in the activity of the different mutational processes. If certain mutational processes have become more or less active in a subclone when compared to the clone (e.g. inactivation of double strand break repair in the subclone), its emergence may be accompanied by a drastic shift in the trajectories. Otherwise, we expect the trajectories to remain relatively constant.</w:t>
      </w:r>
    </w:p>
    <w:p w14:paraId="6A23E250" w14:textId="77777777" w:rsidR="00182752" w:rsidRPr="00AC13E7" w:rsidRDefault="00182752" w:rsidP="00F721AE">
      <w:pPr>
        <w:jc w:val="both"/>
        <w:rPr>
          <w:rFonts w:eastAsia="Times New Roman"/>
        </w:rPr>
      </w:pPr>
    </w:p>
    <w:p w14:paraId="7DAE0ECB" w14:textId="4F587A83" w:rsidR="00182752" w:rsidRPr="00AC13E7" w:rsidRDefault="00182752" w:rsidP="00D86E26">
      <w:pPr>
        <w:widowControl w:val="0"/>
        <w:autoSpaceDE w:val="0"/>
        <w:autoSpaceDN w:val="0"/>
        <w:adjustRightInd w:val="0"/>
        <w:jc w:val="both"/>
      </w:pPr>
      <w:r w:rsidRPr="00AC13E7">
        <w:t>To detect the signature change points, we use Pruned Exact Linear Time (PELT) algorithm</w:t>
      </w:r>
      <w:r w:rsidR="005556F4" w:rsidRPr="00AC13E7">
        <w:fldChar w:fldCharType="begin"/>
      </w:r>
      <w:r w:rsidR="00D86E26">
        <w:instrText xml:space="preserve"> ADDIN EN.CITE &lt;EndNote&gt;&lt;Cite&gt;&lt;Author&gt;Killick&lt;/Author&gt;&lt;Year&gt;2012&lt;/Year&gt;&lt;RecNum&gt;71&lt;/RecNum&gt;&lt;DisplayText&gt;&lt;style face="superscript"&gt;54&lt;/style&gt;&lt;/DisplayText&gt;&lt;record&gt;&lt;rec-number&gt;71&lt;/rec-number&gt;&lt;foreign-keys&gt;&lt;key app="EN" db-id="xtaw29xt0drav5efdsppfrerarrd9tf9dfxd" timestamp="1522227653"&gt;71&lt;/key&gt;&lt;/foreign-keys&gt;&lt;ref-type name="Journal Article"&gt;17&lt;/ref-type&gt;&lt;contributors&gt;&lt;authors&gt;&lt;author&gt;Killick, R.&lt;/author&gt;&lt;author&gt;Fearnhead, P.&lt;/author&gt;&lt;author&gt;Eckley, I. A.&lt;/author&gt;&lt;/authors&gt;&lt;/contributors&gt;&lt;titles&gt;&lt;title&gt;Optimal Detection of Changepoints With a Linear Computational Cost&lt;/title&gt;&lt;secondary-title&gt;Journal of the American Statistical Association&lt;/secondary-title&gt;&lt;/titles&gt;&lt;periodical&gt;&lt;full-title&gt;Journal of the American Statistical Association&lt;/full-title&gt;&lt;/periodical&gt;&lt;pages&gt;1590-1598&lt;/pages&gt;&lt;volume&gt;107&lt;/volume&gt;&lt;number&gt;500&lt;/number&gt;&lt;dates&gt;&lt;year&gt;2012&lt;/year&gt;&lt;pub-dates&gt;&lt;date&gt;2012/12/01&lt;/date&gt;&lt;/pub-dates&gt;&lt;/dates&gt;&lt;publisher&gt;Taylor &amp;amp; Francis&lt;/publisher&gt;&lt;isbn&gt;0162-1459&lt;/isbn&gt;&lt;urls&gt;&lt;related-urls&gt;&lt;url&gt;https://doi.org/10.1080/01621459.2012.737745&lt;/url&gt;&lt;/related-urls&gt;&lt;/urls&gt;&lt;electronic-resource-num&gt;10.1080/01621459.2012.737745&lt;/electronic-resource-num&gt;&lt;/record&gt;&lt;/Cite&gt;&lt;/EndNote&gt;</w:instrText>
      </w:r>
      <w:r w:rsidR="005556F4" w:rsidRPr="00AC13E7">
        <w:fldChar w:fldCharType="separate"/>
      </w:r>
      <w:r w:rsidR="00D86E26" w:rsidRPr="00D86E26">
        <w:rPr>
          <w:noProof/>
          <w:vertAlign w:val="superscript"/>
        </w:rPr>
        <w:t>54</w:t>
      </w:r>
      <w:r w:rsidR="005556F4" w:rsidRPr="00AC13E7">
        <w:fldChar w:fldCharType="end"/>
      </w:r>
      <w:r w:rsidR="00225F85" w:rsidRPr="00AC13E7">
        <w:rPr>
          <w:b/>
          <w:bCs/>
        </w:rPr>
        <w:t xml:space="preserve">. </w:t>
      </w:r>
      <w:r w:rsidRPr="00AC13E7">
        <w:t>PELT is based on dynamic programming. The algorithm iterates over the time points and re-compute</w:t>
      </w:r>
      <w:r w:rsidR="00650D3D">
        <w:t>s</w:t>
      </w:r>
      <w:r w:rsidRPr="00AC13E7">
        <w:t xml:space="preserve"> the multinomial mixtures for all the mutations at both sides from the potential change point, treating each side as a single bin. We estimate the likelihood of the data split according to the potential change point. A point that maximises the likelihood is considered a new change point. The Bayesian Information Criterion (BIC) is used to determine the optimal number of change points: introducing </w:t>
      </w:r>
      <w:r w:rsidRPr="00AC13E7">
        <w:lastRenderedPageBreak/>
        <w:t>any new change point has to be accompanied by a sufficient increase in likelihood.</w:t>
      </w:r>
    </w:p>
    <w:p w14:paraId="197A8BFE" w14:textId="77777777" w:rsidR="00182752" w:rsidRPr="00AC13E7" w:rsidRDefault="00182752" w:rsidP="00182752">
      <w:pPr>
        <w:jc w:val="both"/>
        <w:rPr>
          <w:rFonts w:eastAsia="Times New Roman"/>
        </w:rPr>
      </w:pPr>
    </w:p>
    <w:p w14:paraId="0D5947B3" w14:textId="77777777" w:rsidR="00182752" w:rsidRPr="00AC13E7" w:rsidRDefault="00182752" w:rsidP="00182752">
      <w:pPr>
        <w:jc w:val="both"/>
      </w:pPr>
      <w:r w:rsidRPr="00AC13E7">
        <w:t xml:space="preserve">Note that change points are inferred without using any information from the subclonal reconstruction, allowing the method to make independent conclusions about signature behaviour and its relation to subclones. </w:t>
      </w:r>
    </w:p>
    <w:p w14:paraId="352048E3" w14:textId="77777777" w:rsidR="00182752" w:rsidRPr="00AC13E7" w:rsidRDefault="00182752" w:rsidP="00182752">
      <w:pPr>
        <w:jc w:val="both"/>
        <w:rPr>
          <w:rFonts w:eastAsia="Times New Roman"/>
        </w:rPr>
      </w:pPr>
    </w:p>
    <w:p w14:paraId="32990269" w14:textId="77777777" w:rsidR="00182752" w:rsidRPr="00AC13E7" w:rsidRDefault="00182752" w:rsidP="00182752">
      <w:pPr>
        <w:jc w:val="both"/>
      </w:pPr>
      <w:r w:rsidRPr="00AC13E7">
        <w:rPr>
          <w:b/>
          <w:bCs/>
        </w:rPr>
        <w:t>(iii) Evaluating uncertainty</w:t>
      </w:r>
    </w:p>
    <w:p w14:paraId="32FE36BC" w14:textId="77777777" w:rsidR="00182752" w:rsidRPr="00AC13E7" w:rsidRDefault="00182752" w:rsidP="00182752">
      <w:pPr>
        <w:jc w:val="both"/>
        <w:rPr>
          <w:rFonts w:eastAsia="Times New Roman"/>
        </w:rPr>
      </w:pPr>
    </w:p>
    <w:p w14:paraId="5D8693CD" w14:textId="77777777" w:rsidR="00182752" w:rsidRPr="00AC13E7" w:rsidRDefault="00182752" w:rsidP="00182752">
      <w:pPr>
        <w:jc w:val="both"/>
      </w:pPr>
      <w:r w:rsidRPr="00AC13E7">
        <w:t>To evaluate the uncertainty in activities, we resample the set of mutations 30 times and re-compute activity estimates. From our observations, the standard error across these bootstrapped activities does not exceed 5% absolute activity (with mean standard error 2%). Therefore, we omit change points with changes less than 5%. To evaluate overall signature changes in the tumours, we compute the maximal change of each signature as the difference between the maximum and minimum activity across pseudo-time. We consider that a tumour has a significant overall signature change if this difference exceeds 10%.</w:t>
      </w:r>
    </w:p>
    <w:p w14:paraId="0EE10095" w14:textId="77777777" w:rsidR="00182752" w:rsidRPr="00AC13E7" w:rsidRDefault="00182752" w:rsidP="00182752">
      <w:pPr>
        <w:jc w:val="both"/>
        <w:rPr>
          <w:rFonts w:eastAsia="Times New Roman"/>
        </w:rPr>
      </w:pPr>
    </w:p>
    <w:p w14:paraId="68E01730" w14:textId="77777777" w:rsidR="00182752" w:rsidRPr="00AC13E7" w:rsidRDefault="00182752" w:rsidP="00182752">
      <w:pPr>
        <w:jc w:val="both"/>
      </w:pPr>
      <w:r w:rsidRPr="00AC13E7">
        <w:rPr>
          <w:b/>
          <w:bCs/>
        </w:rPr>
        <w:t>(iv) Comparing change points to CCF clustering</w:t>
      </w:r>
    </w:p>
    <w:p w14:paraId="77E67C14" w14:textId="70767DC5" w:rsidR="00182752" w:rsidRPr="00AC13E7" w:rsidRDefault="00182752" w:rsidP="00182752">
      <w:pPr>
        <w:jc w:val="both"/>
        <w:rPr>
          <w:rFonts w:eastAsia="Times New Roman"/>
          <w:lang w:eastAsia="en-CA"/>
        </w:rPr>
      </w:pPr>
      <w:r w:rsidRPr="00AC13E7">
        <w:rPr>
          <w:rFonts w:eastAsia="Times New Roman"/>
        </w:rPr>
        <w:br/>
        <w:t xml:space="preserve">We investigate the relation between the signatures changes and CCF clustering. First, we determine where the CCF clustering boundaries map on our pseudo-timeline by dividing it according to the proportion of mutations per time point that belong to each CCF cluster. Distances in time are computed between those boundaries and our change points. </w:t>
      </w:r>
      <w:r w:rsidRPr="00AC13E7">
        <w:rPr>
          <w:rFonts w:eastAsia="Times New Roman"/>
          <w:color w:val="222222"/>
          <w:lang w:eastAsia="en-CA"/>
        </w:rPr>
        <w:t xml:space="preserve">To determine whether a subclonal boundary is supported by an activity change-point, we plotted the relative enrichment of change-points at a given offset from subclonal boundaries </w:t>
      </w:r>
      <w:r w:rsidRPr="00AC13E7">
        <w:rPr>
          <w:rFonts w:eastAsia="Times New Roman"/>
        </w:rPr>
        <w:t>(</w:t>
      </w:r>
      <w:r w:rsidR="0092409A" w:rsidRPr="00AC13E7">
        <w:rPr>
          <w:rFonts w:eastAsia="Times New Roman"/>
        </w:rPr>
        <w:fldChar w:fldCharType="begin"/>
      </w:r>
      <w:r w:rsidR="0092409A" w:rsidRPr="00AC13E7">
        <w:rPr>
          <w:rFonts w:eastAsia="Times New Roman"/>
        </w:rPr>
        <w:instrText xml:space="preserve"> REF _Ref383784749 \h </w:instrText>
      </w:r>
      <w:r w:rsidR="0092409A" w:rsidRPr="00AC13E7">
        <w:rPr>
          <w:rFonts w:eastAsia="Times New Roman"/>
        </w:rPr>
      </w:r>
      <w:r w:rsidR="0092409A" w:rsidRPr="00AC13E7">
        <w:rPr>
          <w:rFonts w:eastAsia="Times New Roman"/>
        </w:rPr>
        <w:fldChar w:fldCharType="separate"/>
      </w:r>
      <w:r w:rsidR="00673FBD" w:rsidRPr="00AC13E7">
        <w:t xml:space="preserve">Fig. </w:t>
      </w:r>
      <w:r w:rsidR="00673FBD">
        <w:rPr>
          <w:noProof/>
        </w:rPr>
        <w:t>38</w:t>
      </w:r>
      <w:r w:rsidR="0092409A" w:rsidRPr="00AC13E7">
        <w:rPr>
          <w:rFonts w:eastAsia="Times New Roman"/>
        </w:rPr>
        <w:fldChar w:fldCharType="end"/>
      </w:r>
      <w:r w:rsidRPr="00AC13E7">
        <w:rPr>
          <w:rFonts w:eastAsia="Times New Roman"/>
        </w:rPr>
        <w:t xml:space="preserve">). </w:t>
      </w:r>
      <w:r w:rsidRPr="00AC13E7">
        <w:rPr>
          <w:rFonts w:eastAsia="Times New Roman"/>
          <w:color w:val="222222"/>
          <w:lang w:eastAsia="en-CA"/>
        </w:rPr>
        <w:t>Using this figure, we deem a boundary to be supported if it has a change-point within 3 time points (tp).</w:t>
      </w:r>
    </w:p>
    <w:p w14:paraId="6032FDD4" w14:textId="77777777" w:rsidR="00182752" w:rsidRPr="00AC13E7" w:rsidRDefault="00182752" w:rsidP="00182752">
      <w:pPr>
        <w:jc w:val="both"/>
        <w:rPr>
          <w:rFonts w:eastAsia="Times New Roman"/>
          <w:lang w:eastAsia="en-CA"/>
        </w:rPr>
      </w:pPr>
    </w:p>
    <w:p w14:paraId="0DDBBDDE" w14:textId="77777777" w:rsidR="00182752" w:rsidRPr="00AC13E7" w:rsidRDefault="00182752" w:rsidP="00182752">
      <w:pPr>
        <w:jc w:val="both"/>
        <w:rPr>
          <w:rFonts w:eastAsia="Times New Roman"/>
        </w:rPr>
      </w:pPr>
    </w:p>
    <w:p w14:paraId="5BDB2364" w14:textId="77777777" w:rsidR="00182752" w:rsidRPr="00AC13E7" w:rsidRDefault="00182752" w:rsidP="00182752">
      <w:pPr>
        <w:keepNext/>
        <w:jc w:val="center"/>
      </w:pPr>
      <w:r w:rsidRPr="00AC13E7">
        <w:rPr>
          <w:rFonts w:eastAsia="Times New Roman"/>
          <w:noProof/>
          <w:lang w:eastAsia="en-GB"/>
        </w:rPr>
        <w:drawing>
          <wp:inline distT="0" distB="0" distL="0" distR="0" wp14:anchorId="16B998AE" wp14:editId="6922FED6">
            <wp:extent cx="2992120" cy="2169462"/>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ansition_point_distance.ratio.max_change0.1.pdf"/>
                    <pic:cNvPicPr/>
                  </pic:nvPicPr>
                  <pic:blipFill rotWithShape="1">
                    <a:blip r:embed="rId50"/>
                    <a:srcRect t="12997"/>
                    <a:stretch/>
                  </pic:blipFill>
                  <pic:spPr bwMode="auto">
                    <a:xfrm>
                      <a:off x="0" y="0"/>
                      <a:ext cx="3000794" cy="217575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20F99EE" w14:textId="15CEE8F1" w:rsidR="00182752" w:rsidRPr="00AC13E7" w:rsidRDefault="00182752" w:rsidP="004916C9">
      <w:pPr>
        <w:pStyle w:val="Caption"/>
        <w:rPr>
          <w:rFonts w:eastAsia="Times New Roman"/>
        </w:rPr>
      </w:pPr>
      <w:bookmarkStart w:id="267" w:name="_Ref383784749"/>
      <w:bookmarkStart w:id="268" w:name="_Toc384459611"/>
      <w:r w:rsidRPr="00AC13E7">
        <w:t xml:space="preserve">Fig. </w:t>
      </w:r>
      <w:r w:rsidR="001003E9">
        <w:fldChar w:fldCharType="begin"/>
      </w:r>
      <w:r w:rsidR="001003E9">
        <w:instrText xml:space="preserve"> SEQ Fig. \* ARABIC </w:instrText>
      </w:r>
      <w:r w:rsidR="001003E9">
        <w:fldChar w:fldCharType="separate"/>
      </w:r>
      <w:r w:rsidR="00673FBD">
        <w:rPr>
          <w:noProof/>
        </w:rPr>
        <w:t>38</w:t>
      </w:r>
      <w:r w:rsidR="001003E9">
        <w:rPr>
          <w:noProof/>
        </w:rPr>
        <w:fldChar w:fldCharType="end"/>
      </w:r>
      <w:bookmarkEnd w:id="267"/>
      <w:r w:rsidRPr="00AC13E7">
        <w:rPr>
          <w:rFonts w:eastAsia="Cambria" w:cs="Times New Roman"/>
          <w:color w:val="auto"/>
          <w:sz w:val="24"/>
          <w:szCs w:val="24"/>
        </w:rPr>
        <w:t xml:space="preserve"> </w:t>
      </w:r>
      <w:r w:rsidRPr="00AC13E7">
        <w:t xml:space="preserve">Changes in signature </w:t>
      </w:r>
      <w:r w:rsidR="009F44AE">
        <w:t>activitie</w:t>
      </w:r>
      <w:r w:rsidRPr="00AC13E7">
        <w:t xml:space="preserve">s occur near subclone boundaries. Plot displays relative enrichment (y-axis) versus random control of </w:t>
      </w:r>
      <w:r w:rsidR="009F44AE">
        <w:t>activity</w:t>
      </w:r>
      <w:r w:rsidRPr="00AC13E7">
        <w:t xml:space="preserve"> change points at given time point offset (x-axis) from subclone boundaries. The smoothing window used when computing </w:t>
      </w:r>
      <w:r w:rsidR="009F44AE">
        <w:t>activity</w:t>
      </w:r>
      <w:r w:rsidRPr="00AC13E7">
        <w:t xml:space="preserve"> trajectories spans three time points, so sub clone boundaries between offsets -3 to 3 are deemed coincident with the </w:t>
      </w:r>
      <w:r w:rsidR="009F44AE">
        <w:t>activity</w:t>
      </w:r>
      <w:r w:rsidRPr="00AC13E7">
        <w:t xml:space="preserve"> change points.</w:t>
      </w:r>
      <w:bookmarkEnd w:id="268"/>
    </w:p>
    <w:p w14:paraId="6B9126B6" w14:textId="77777777" w:rsidR="00182752" w:rsidRPr="00AC13E7" w:rsidRDefault="00182752" w:rsidP="00182752">
      <w:pPr>
        <w:jc w:val="both"/>
        <w:rPr>
          <w:rFonts w:eastAsia="Times New Roman"/>
        </w:rPr>
      </w:pPr>
    </w:p>
    <w:p w14:paraId="6BD4F280" w14:textId="454ADAFB" w:rsidR="00182752" w:rsidRPr="00AC13E7" w:rsidRDefault="00182752" w:rsidP="00182752">
      <w:pPr>
        <w:jc w:val="both"/>
        <w:rPr>
          <w:rFonts w:eastAsia="Times New Roman"/>
          <w:lang w:eastAsia="en-CA"/>
        </w:rPr>
      </w:pPr>
      <w:r w:rsidRPr="00AC13E7">
        <w:rPr>
          <w:rFonts w:eastAsia="Times New Roman"/>
        </w:rPr>
        <w:t xml:space="preserve">We compute the percentage of clonal/subclonal and subclonal/subclonal boundaries that are supported by signature change points. In total, </w:t>
      </w:r>
      <w:r w:rsidR="00C06777">
        <w:rPr>
          <w:rFonts w:eastAsia="Times New Roman"/>
          <w:lang w:eastAsia="en-CA"/>
        </w:rPr>
        <w:t>60</w:t>
      </w:r>
      <w:r w:rsidRPr="00AC13E7">
        <w:rPr>
          <w:rFonts w:eastAsia="Times New Roman"/>
          <w:lang w:eastAsia="en-CA"/>
        </w:rPr>
        <w:t>.</w:t>
      </w:r>
      <w:r w:rsidR="00C06777">
        <w:rPr>
          <w:rFonts w:eastAsia="Times New Roman"/>
          <w:lang w:eastAsia="en-CA"/>
        </w:rPr>
        <w:t>3</w:t>
      </w:r>
      <w:r w:rsidRPr="00AC13E7">
        <w:rPr>
          <w:rFonts w:eastAsia="Times New Roman"/>
          <w:lang w:eastAsia="en-CA"/>
        </w:rPr>
        <w:t xml:space="preserve">% of clonal-subclonal and </w:t>
      </w:r>
      <w:r w:rsidR="00C06777" w:rsidRPr="00AC13E7">
        <w:rPr>
          <w:rFonts w:eastAsia="Times New Roman"/>
          <w:lang w:eastAsia="en-CA"/>
        </w:rPr>
        <w:lastRenderedPageBreak/>
        <w:t>5</w:t>
      </w:r>
      <w:r w:rsidR="00C06777">
        <w:rPr>
          <w:rFonts w:eastAsia="Times New Roman"/>
          <w:lang w:eastAsia="en-CA"/>
        </w:rPr>
        <w:t>8.1</w:t>
      </w:r>
      <w:r w:rsidRPr="00AC13E7">
        <w:rPr>
          <w:rFonts w:eastAsia="Times New Roman"/>
          <w:lang w:eastAsia="en-CA"/>
        </w:rPr>
        <w:t xml:space="preserve">% of subclonal-subclonal boundaries in all tumours are supported by our change-points (red bars on </w:t>
      </w:r>
      <w:r w:rsidRPr="00AC13E7">
        <w:rPr>
          <w:rFonts w:eastAsia="Times New Roman"/>
          <w:b/>
          <w:lang w:eastAsia="en-CA"/>
        </w:rPr>
        <w:t>Fig. 6d</w:t>
      </w:r>
      <w:r w:rsidRPr="00AC13E7">
        <w:rPr>
          <w:rFonts w:eastAsia="Times New Roman"/>
          <w:lang w:eastAsia="en-CA"/>
        </w:rPr>
        <w:t xml:space="preserve"> in the main text). </w:t>
      </w:r>
      <w:r w:rsidRPr="00AC13E7">
        <w:rPr>
          <w:rFonts w:eastAsia="Times New Roman"/>
          <w:color w:val="222222"/>
          <w:lang w:eastAsia="en-CA"/>
        </w:rPr>
        <w:t>These estimates are upper bounds on the number of supported boundaries, because some of the boundaries would be supported even if the change-points were randomly assigned to a time point.</w:t>
      </w:r>
    </w:p>
    <w:p w14:paraId="636805BE" w14:textId="77777777" w:rsidR="00182752" w:rsidRPr="00AC13E7" w:rsidRDefault="00182752" w:rsidP="00182752">
      <w:pPr>
        <w:jc w:val="both"/>
        <w:rPr>
          <w:rFonts w:eastAsia="Times New Roman"/>
        </w:rPr>
      </w:pPr>
    </w:p>
    <w:p w14:paraId="28B143EF" w14:textId="44A933D0" w:rsidR="00182752" w:rsidRPr="00AC13E7" w:rsidRDefault="00182752" w:rsidP="00182752">
      <w:pPr>
        <w:jc w:val="both"/>
        <w:rPr>
          <w:rFonts w:eastAsia="Times New Roman"/>
          <w:lang w:eastAsia="en-CA"/>
        </w:rPr>
      </w:pPr>
      <w:r w:rsidRPr="00AC13E7">
        <w:rPr>
          <w:rFonts w:eastAsia="Times New Roman"/>
          <w:color w:val="222222"/>
          <w:lang w:eastAsia="en-CA"/>
        </w:rPr>
        <w:t>To determine a lower bound on these percentages</w:t>
      </w:r>
      <w:r w:rsidRPr="00AC13E7">
        <w:rPr>
          <w:rFonts w:eastAsia="Times New Roman"/>
        </w:rPr>
        <w:t xml:space="preserve">, we sample random points from the timeline and re-compute the distances between the boundaries and these random points. </w:t>
      </w:r>
      <w:r w:rsidRPr="00AC13E7">
        <w:rPr>
          <w:rFonts w:eastAsia="Times New Roman"/>
          <w:lang w:eastAsia="en-CA"/>
        </w:rPr>
        <w:t xml:space="preserve">On average, </w:t>
      </w:r>
      <w:r w:rsidR="00C06777">
        <w:rPr>
          <w:rFonts w:eastAsia="Times New Roman"/>
          <w:lang w:eastAsia="en-CA"/>
        </w:rPr>
        <w:t>32</w:t>
      </w:r>
      <w:r w:rsidRPr="00AC13E7">
        <w:rPr>
          <w:rFonts w:eastAsia="Times New Roman"/>
          <w:lang w:eastAsia="en-CA"/>
        </w:rPr>
        <w:t>.</w:t>
      </w:r>
      <w:r w:rsidR="00C06777">
        <w:rPr>
          <w:rFonts w:eastAsia="Times New Roman"/>
          <w:lang w:eastAsia="en-CA"/>
        </w:rPr>
        <w:t>6</w:t>
      </w:r>
      <w:r w:rsidRPr="00AC13E7">
        <w:rPr>
          <w:rFonts w:eastAsia="Times New Roman"/>
          <w:lang w:eastAsia="en-CA"/>
        </w:rPr>
        <w:t xml:space="preserve">% of clonal-subclonal and </w:t>
      </w:r>
      <w:r w:rsidR="00C06777">
        <w:rPr>
          <w:rFonts w:eastAsia="Times New Roman"/>
          <w:lang w:eastAsia="en-CA"/>
        </w:rPr>
        <w:t>32</w:t>
      </w:r>
      <w:r w:rsidRPr="00AC13E7">
        <w:rPr>
          <w:rFonts w:eastAsia="Times New Roman"/>
          <w:lang w:eastAsia="en-CA"/>
        </w:rPr>
        <w:t>.</w:t>
      </w:r>
      <w:r w:rsidR="00C06777">
        <w:rPr>
          <w:rFonts w:eastAsia="Times New Roman"/>
          <w:lang w:eastAsia="en-CA"/>
        </w:rPr>
        <w:t>4</w:t>
      </w:r>
      <w:r w:rsidRPr="00AC13E7">
        <w:rPr>
          <w:rFonts w:eastAsia="Times New Roman"/>
          <w:lang w:eastAsia="en-CA"/>
        </w:rPr>
        <w:t xml:space="preserve">% of subclonal-subclonal boundaries are supported across 1000 random samples (green bars on </w:t>
      </w:r>
      <w:r w:rsidRPr="00AC13E7">
        <w:rPr>
          <w:rFonts w:eastAsia="Times New Roman"/>
          <w:b/>
          <w:lang w:eastAsia="en-CA"/>
        </w:rPr>
        <w:t>Fig. 6d</w:t>
      </w:r>
      <w:r w:rsidRPr="00AC13E7">
        <w:rPr>
          <w:rFonts w:eastAsia="Times New Roman"/>
          <w:lang w:eastAsia="en-CA"/>
        </w:rPr>
        <w:t xml:space="preserve"> in the main text).</w:t>
      </w:r>
    </w:p>
    <w:p w14:paraId="3387EF9B" w14:textId="5045954C" w:rsidR="00182752" w:rsidRPr="00AC13E7" w:rsidRDefault="00182752" w:rsidP="00182752">
      <w:pPr>
        <w:jc w:val="both"/>
        <w:rPr>
          <w:rFonts w:eastAsia="Times New Roman"/>
          <w:color w:val="000000"/>
          <w:lang w:eastAsia="en-CA"/>
        </w:rPr>
      </w:pPr>
      <w:r w:rsidRPr="00AC13E7">
        <w:rPr>
          <w:rFonts w:eastAsia="Times New Roman"/>
        </w:rPr>
        <w:t xml:space="preserve">Finally, we report the fraction of clonal/subclonal boundaries and subclonal/subclonal boundaries that are unlikely to be explained by chance. This metric is computed as </w:t>
      </w:r>
      <w:r w:rsidRPr="00AC13E7">
        <w:rPr>
          <w:rFonts w:eastAsia="Times New Roman"/>
          <w:lang w:eastAsia="en-CA"/>
        </w:rPr>
        <w:t>(% supported by real points - % supported by random) / (1- % supported by random). We</w:t>
      </w:r>
      <w:r w:rsidRPr="00AC13E7">
        <w:rPr>
          <w:rFonts w:eastAsia="Times New Roman"/>
          <w:color w:val="000000"/>
          <w:lang w:eastAsia="en-CA"/>
        </w:rPr>
        <w:t xml:space="preserve"> find that support of </w:t>
      </w:r>
      <w:r w:rsidR="00C06777">
        <w:rPr>
          <w:rFonts w:eastAsia="Times New Roman"/>
          <w:color w:val="000000"/>
          <w:lang w:eastAsia="en-CA"/>
        </w:rPr>
        <w:t>41</w:t>
      </w:r>
      <w:r w:rsidRPr="00AC13E7">
        <w:rPr>
          <w:rFonts w:eastAsia="Times New Roman"/>
          <w:color w:val="000000"/>
          <w:lang w:eastAsia="en-CA"/>
        </w:rPr>
        <w:t>.</w:t>
      </w:r>
      <w:r w:rsidR="00C06777">
        <w:rPr>
          <w:rFonts w:eastAsia="Times New Roman"/>
          <w:color w:val="000000"/>
          <w:lang w:eastAsia="en-CA"/>
        </w:rPr>
        <w:t>0</w:t>
      </w:r>
      <w:r w:rsidRPr="00AC13E7">
        <w:rPr>
          <w:rFonts w:eastAsia="Times New Roman"/>
          <w:color w:val="000000"/>
          <w:lang w:eastAsia="en-CA"/>
        </w:rPr>
        <w:t xml:space="preserve">% of clonal–subclonal and </w:t>
      </w:r>
      <w:r w:rsidR="00C06777">
        <w:rPr>
          <w:rFonts w:eastAsia="Times New Roman"/>
          <w:color w:val="000000"/>
          <w:lang w:eastAsia="en-CA"/>
        </w:rPr>
        <w:t>44</w:t>
      </w:r>
      <w:r w:rsidRPr="00AC13E7">
        <w:rPr>
          <w:rFonts w:eastAsia="Times New Roman"/>
          <w:color w:val="000000"/>
          <w:lang w:eastAsia="en-CA"/>
        </w:rPr>
        <w:t>.</w:t>
      </w:r>
      <w:r w:rsidR="00C06777">
        <w:rPr>
          <w:rFonts w:eastAsia="Times New Roman"/>
          <w:color w:val="000000"/>
          <w:lang w:eastAsia="en-CA"/>
        </w:rPr>
        <w:t>5</w:t>
      </w:r>
      <w:r w:rsidRPr="00AC13E7">
        <w:rPr>
          <w:rFonts w:eastAsia="Times New Roman"/>
          <w:color w:val="000000"/>
          <w:lang w:eastAsia="en-CA"/>
        </w:rPr>
        <w:t>% of subclone-subclonal boundaries are not explained by random.</w:t>
      </w:r>
    </w:p>
    <w:p w14:paraId="00FFE79A" w14:textId="77777777" w:rsidR="00182752" w:rsidRPr="00AC13E7" w:rsidRDefault="00182752" w:rsidP="00182752">
      <w:pPr>
        <w:jc w:val="both"/>
        <w:rPr>
          <w:rFonts w:eastAsia="Times New Roman"/>
          <w:color w:val="000000"/>
          <w:lang w:eastAsia="en-CA"/>
        </w:rPr>
      </w:pPr>
    </w:p>
    <w:p w14:paraId="7464ADB3" w14:textId="77777777" w:rsidR="00182752" w:rsidRPr="00AC13E7" w:rsidRDefault="00182752" w:rsidP="00182752">
      <w:pPr>
        <w:jc w:val="both"/>
        <w:rPr>
          <w:rFonts w:eastAsia="Times New Roman"/>
          <w:lang w:eastAsia="en-CA"/>
        </w:rPr>
      </w:pPr>
      <w:r w:rsidRPr="00AC13E7">
        <w:rPr>
          <w:rFonts w:eastAsia="Times New Roman"/>
          <w:color w:val="222222"/>
          <w:lang w:eastAsia="en-CA"/>
        </w:rPr>
        <w:t>The results of this computation for the two boundary types is shown below:</w:t>
      </w:r>
    </w:p>
    <w:p w14:paraId="5568930E" w14:textId="77777777" w:rsidR="00182752" w:rsidRPr="00966AB6" w:rsidRDefault="00182752" w:rsidP="00182752">
      <w:pPr>
        <w:jc w:val="both"/>
        <w:rPr>
          <w:rFonts w:eastAsia="Times New Roman"/>
          <w:lang w:val="es-ES" w:eastAsia="en-CA"/>
        </w:rPr>
      </w:pPr>
      <w:r w:rsidRPr="00966AB6">
        <w:rPr>
          <w:rFonts w:eastAsia="Times New Roman"/>
          <w:color w:val="222222"/>
          <w:lang w:val="es-ES" w:eastAsia="en-CA"/>
        </w:rPr>
        <w:t>For clonal-subclonal:</w:t>
      </w:r>
    </w:p>
    <w:p w14:paraId="6E83F7FB" w14:textId="23EF5D53" w:rsidR="00FD35C6" w:rsidRPr="00966AB6" w:rsidRDefault="0036299C" w:rsidP="00182752">
      <w:pPr>
        <w:jc w:val="both"/>
        <w:rPr>
          <w:rFonts w:eastAsia="Times New Roman"/>
          <w:color w:val="222222"/>
          <w:lang w:val="es-ES" w:eastAsia="en-CA"/>
        </w:rPr>
      </w:pPr>
      <m:oMathPara>
        <m:oMath>
          <m:f>
            <m:fPr>
              <m:ctrlPr>
                <w:rPr>
                  <w:rFonts w:ascii="Cambria Math" w:eastAsia="Times New Roman" w:hAnsi="Cambria Math"/>
                  <w:i/>
                  <w:color w:val="222222"/>
                  <w:lang w:eastAsia="en-CA"/>
                </w:rPr>
              </m:ctrlPr>
            </m:fPr>
            <m:num>
              <m:r>
                <w:rPr>
                  <w:rFonts w:ascii="Cambria Math" w:eastAsia="Times New Roman" w:hAnsi="Cambria Math"/>
                  <w:color w:val="222222"/>
                  <w:lang w:val="es-ES" w:eastAsia="en-CA"/>
                </w:rPr>
                <m:t>0.603-0.326</m:t>
              </m:r>
            </m:num>
            <m:den>
              <m:r>
                <w:rPr>
                  <w:rFonts w:ascii="Cambria Math" w:eastAsia="Times New Roman" w:hAnsi="Cambria Math"/>
                  <w:color w:val="222222"/>
                  <w:lang w:val="es-ES" w:eastAsia="en-CA"/>
                </w:rPr>
                <m:t>1-0.326</m:t>
              </m:r>
            </m:den>
          </m:f>
          <m:r>
            <w:rPr>
              <w:rFonts w:ascii="Cambria Math" w:eastAsia="Times New Roman" w:hAnsi="Cambria Math"/>
              <w:color w:val="222222"/>
              <w:lang w:val="es-ES" w:eastAsia="en-CA"/>
            </w:rPr>
            <m:t>=0.410</m:t>
          </m:r>
        </m:oMath>
      </m:oMathPara>
    </w:p>
    <w:p w14:paraId="57CD3EC2" w14:textId="77777777" w:rsidR="00FD35C6" w:rsidRPr="00966AB6" w:rsidRDefault="00FD35C6" w:rsidP="00182752">
      <w:pPr>
        <w:jc w:val="both"/>
        <w:rPr>
          <w:rFonts w:eastAsia="Times New Roman"/>
          <w:lang w:val="es-ES" w:eastAsia="en-CA"/>
        </w:rPr>
      </w:pPr>
    </w:p>
    <w:p w14:paraId="1882E6E4" w14:textId="77777777" w:rsidR="00182752" w:rsidRPr="00966AB6" w:rsidRDefault="00182752" w:rsidP="00182752">
      <w:pPr>
        <w:jc w:val="both"/>
        <w:rPr>
          <w:rFonts w:eastAsia="Times New Roman"/>
          <w:lang w:val="es-ES" w:eastAsia="en-CA"/>
        </w:rPr>
      </w:pPr>
      <w:r w:rsidRPr="00966AB6">
        <w:rPr>
          <w:rFonts w:eastAsia="Times New Roman"/>
          <w:color w:val="222222"/>
          <w:lang w:val="es-ES" w:eastAsia="en-CA"/>
        </w:rPr>
        <w:t>For subclonal-subclonal:</w:t>
      </w:r>
    </w:p>
    <w:p w14:paraId="35CBAA89" w14:textId="3BCF3B14" w:rsidR="00FD35C6" w:rsidRPr="00F853C5" w:rsidRDefault="0036299C" w:rsidP="00182752">
      <w:pPr>
        <w:jc w:val="both"/>
        <w:rPr>
          <w:rFonts w:eastAsia="Times New Roman"/>
          <w:lang w:val="es-ES" w:eastAsia="en-CA"/>
        </w:rPr>
      </w:pPr>
      <m:oMathPara>
        <m:oMath>
          <m:f>
            <m:fPr>
              <m:ctrlPr>
                <w:rPr>
                  <w:rFonts w:ascii="Cambria Math" w:eastAsia="Times New Roman" w:hAnsi="Cambria Math"/>
                  <w:i/>
                  <w:lang w:eastAsia="en-CA"/>
                </w:rPr>
              </m:ctrlPr>
            </m:fPr>
            <m:num>
              <m:r>
                <w:rPr>
                  <w:rFonts w:ascii="Cambria Math" w:eastAsia="Times New Roman" w:hAnsi="Cambria Math"/>
                  <w:lang w:val="es-ES" w:eastAsia="en-CA"/>
                </w:rPr>
                <m:t>0.581-0.324</m:t>
              </m:r>
            </m:num>
            <m:den>
              <m:r>
                <w:rPr>
                  <w:rFonts w:ascii="Cambria Math" w:eastAsia="Times New Roman" w:hAnsi="Cambria Math"/>
                  <w:lang w:val="es-ES" w:eastAsia="en-CA"/>
                </w:rPr>
                <m:t>1-0.324</m:t>
              </m:r>
            </m:den>
          </m:f>
          <m:r>
            <w:rPr>
              <w:rFonts w:ascii="Cambria Math" w:eastAsia="Times New Roman" w:hAnsi="Cambria Math"/>
              <w:lang w:val="es-ES" w:eastAsia="en-CA"/>
            </w:rPr>
            <m:t>=0.380</m:t>
          </m:r>
        </m:oMath>
      </m:oMathPara>
    </w:p>
    <w:p w14:paraId="1CE78C49" w14:textId="77777777" w:rsidR="00182752" w:rsidRPr="00AC13E7" w:rsidRDefault="00182752" w:rsidP="00182752">
      <w:pPr>
        <w:keepNext/>
        <w:jc w:val="both"/>
      </w:pPr>
      <w:r w:rsidRPr="00AC13E7">
        <w:rPr>
          <w:rFonts w:eastAsia="Times New Roman"/>
          <w:noProof/>
          <w:lang w:eastAsia="en-GB"/>
        </w:rPr>
        <w:drawing>
          <wp:inline distT="0" distB="0" distL="0" distR="0" wp14:anchorId="7E973759" wp14:editId="0A3348D9">
            <wp:extent cx="2484755" cy="2484755"/>
            <wp:effectExtent l="0" t="0" r="444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istr_supported_boundaries_hist.cl_subcl.support_threshold3.pdf"/>
                    <pic:cNvPicPr/>
                  </pic:nvPicPr>
                  <pic:blipFill>
                    <a:blip r:embed="rId51"/>
                    <a:stretch>
                      <a:fillRect/>
                    </a:stretch>
                  </pic:blipFill>
                  <pic:spPr>
                    <a:xfrm>
                      <a:off x="0" y="0"/>
                      <a:ext cx="2487183" cy="2487183"/>
                    </a:xfrm>
                    <a:prstGeom prst="rect">
                      <a:avLst/>
                    </a:prstGeom>
                  </pic:spPr>
                </pic:pic>
              </a:graphicData>
            </a:graphic>
          </wp:inline>
        </w:drawing>
      </w:r>
      <w:r w:rsidRPr="00AC13E7">
        <w:rPr>
          <w:rFonts w:eastAsia="Times New Roman"/>
          <w:noProof/>
          <w:lang w:eastAsia="en-GB"/>
        </w:rPr>
        <w:drawing>
          <wp:inline distT="0" distB="0" distL="0" distR="0" wp14:anchorId="6C7E5584" wp14:editId="45A39AFE">
            <wp:extent cx="2495745" cy="2495745"/>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istr_supported_boundaries_hist.subcl_subcl.support_threshold3.pdf"/>
                    <pic:cNvPicPr/>
                  </pic:nvPicPr>
                  <pic:blipFill>
                    <a:blip r:embed="rId52"/>
                    <a:stretch>
                      <a:fillRect/>
                    </a:stretch>
                  </pic:blipFill>
                  <pic:spPr>
                    <a:xfrm>
                      <a:off x="0" y="0"/>
                      <a:ext cx="2523999" cy="2523999"/>
                    </a:xfrm>
                    <a:prstGeom prst="rect">
                      <a:avLst/>
                    </a:prstGeom>
                  </pic:spPr>
                </pic:pic>
              </a:graphicData>
            </a:graphic>
          </wp:inline>
        </w:drawing>
      </w:r>
    </w:p>
    <w:p w14:paraId="56035168" w14:textId="2429AC0A" w:rsidR="00182752" w:rsidRPr="00AC13E7" w:rsidRDefault="00182752" w:rsidP="004916C9">
      <w:pPr>
        <w:pStyle w:val="Caption"/>
        <w:rPr>
          <w:lang w:eastAsia="en-CA"/>
        </w:rPr>
      </w:pPr>
      <w:bookmarkStart w:id="269" w:name="_Ref383784028"/>
      <w:bookmarkStart w:id="270" w:name="_Toc384459612"/>
      <w:r w:rsidRPr="00AC13E7">
        <w:t xml:space="preserve">Fig. </w:t>
      </w:r>
      <w:r w:rsidR="001003E9">
        <w:fldChar w:fldCharType="begin"/>
      </w:r>
      <w:r w:rsidR="001003E9">
        <w:instrText xml:space="preserve"> SEQ Fig. \* ARABIC </w:instrText>
      </w:r>
      <w:r w:rsidR="001003E9">
        <w:fldChar w:fldCharType="separate"/>
      </w:r>
      <w:r w:rsidR="00673FBD">
        <w:rPr>
          <w:noProof/>
        </w:rPr>
        <w:t>39</w:t>
      </w:r>
      <w:r w:rsidR="001003E9">
        <w:rPr>
          <w:noProof/>
        </w:rPr>
        <w:fldChar w:fldCharType="end"/>
      </w:r>
      <w:bookmarkEnd w:id="269"/>
      <w:r w:rsidRPr="00AC13E7">
        <w:t xml:space="preserve"> </w:t>
      </w:r>
      <w:r w:rsidRPr="00AC13E7">
        <w:rPr>
          <w:lang w:eastAsia="en-CA"/>
        </w:rPr>
        <w:t xml:space="preserve">The distribution of the proportion of boundaries supported by randomly sampled points. The red line shows the proportion of boundaries supported by </w:t>
      </w:r>
      <w:r w:rsidRPr="00AC13E7">
        <w:rPr>
          <w:b/>
          <w:bCs/>
          <w:lang w:eastAsia="en-CA"/>
        </w:rPr>
        <w:t>real</w:t>
      </w:r>
      <w:r w:rsidRPr="00AC13E7">
        <w:rPr>
          <w:lang w:eastAsia="en-CA"/>
        </w:rPr>
        <w:t xml:space="preserve"> change-points.</w:t>
      </w:r>
      <w:bookmarkEnd w:id="270"/>
    </w:p>
    <w:p w14:paraId="20F224ED" w14:textId="77777777" w:rsidR="00182752" w:rsidRPr="00AC13E7" w:rsidRDefault="00182752" w:rsidP="00182752">
      <w:pPr>
        <w:jc w:val="both"/>
        <w:rPr>
          <w:rFonts w:eastAsia="Times New Roman"/>
          <w:i/>
          <w:lang w:eastAsia="en-CA"/>
        </w:rPr>
      </w:pPr>
    </w:p>
    <w:p w14:paraId="2DC86087" w14:textId="77777777" w:rsidR="007B1708" w:rsidRPr="00AC13E7" w:rsidRDefault="00182752" w:rsidP="0092409A">
      <w:pPr>
        <w:jc w:val="both"/>
        <w:rPr>
          <w:rFonts w:eastAsia="Times New Roman"/>
          <w:lang w:eastAsia="en-CA"/>
        </w:rPr>
      </w:pPr>
      <w:r w:rsidRPr="00AC13E7">
        <w:rPr>
          <w:rFonts w:eastAsia="Times New Roman"/>
          <w:lang w:eastAsia="en-CA"/>
        </w:rPr>
        <w:t xml:space="preserve">To estimate the significance of boundary support, we sample random points 1000 times for each tumour and show the distribution of proportions of supported boundaries on </w:t>
      </w:r>
      <w:r w:rsidRPr="00AC13E7">
        <w:rPr>
          <w:rFonts w:eastAsia="Times New Roman"/>
          <w:lang w:eastAsia="en-CA"/>
        </w:rPr>
        <w:fldChar w:fldCharType="begin"/>
      </w:r>
      <w:r w:rsidRPr="00AC13E7">
        <w:rPr>
          <w:rFonts w:eastAsia="Times New Roman"/>
          <w:lang w:eastAsia="en-CA"/>
        </w:rPr>
        <w:instrText xml:space="preserve"> REF _Ref383784028 \h </w:instrText>
      </w:r>
      <w:r w:rsidRPr="00AC13E7">
        <w:rPr>
          <w:rFonts w:eastAsia="Times New Roman"/>
          <w:lang w:eastAsia="en-CA"/>
        </w:rPr>
      </w:r>
      <w:r w:rsidRPr="00AC13E7">
        <w:rPr>
          <w:rFonts w:eastAsia="Times New Roman"/>
          <w:lang w:eastAsia="en-CA"/>
        </w:rPr>
        <w:fldChar w:fldCharType="separate"/>
      </w:r>
      <w:r w:rsidR="00673FBD" w:rsidRPr="00AC13E7">
        <w:t xml:space="preserve">Fig. </w:t>
      </w:r>
      <w:r w:rsidR="00673FBD">
        <w:rPr>
          <w:noProof/>
        </w:rPr>
        <w:t>39</w:t>
      </w:r>
      <w:r w:rsidRPr="00AC13E7">
        <w:rPr>
          <w:rFonts w:eastAsia="Times New Roman"/>
          <w:lang w:eastAsia="en-CA"/>
        </w:rPr>
        <w:fldChar w:fldCharType="end"/>
      </w:r>
      <w:r w:rsidRPr="00AC13E7">
        <w:rPr>
          <w:rFonts w:eastAsia="Times New Roman"/>
          <w:lang w:eastAsia="en-CA"/>
        </w:rPr>
        <w:t>. The empirical p-value is computed as the number of occurrences when then proportion of boundaries supported by random exceeds the then proportion of boundaries supported by real change points of signature activities.</w:t>
      </w:r>
    </w:p>
    <w:p w14:paraId="5DC371C7" w14:textId="77777777" w:rsidR="007B1708" w:rsidRPr="00AC13E7" w:rsidRDefault="007B1708" w:rsidP="0092409A">
      <w:pPr>
        <w:jc w:val="both"/>
        <w:rPr>
          <w:rFonts w:eastAsia="Times New Roman"/>
          <w:lang w:eastAsia="en-CA"/>
        </w:rPr>
      </w:pPr>
    </w:p>
    <w:p w14:paraId="3E439EE1" w14:textId="77777777" w:rsidR="00B12EFC" w:rsidRPr="00AC13E7" w:rsidRDefault="00B12EFC" w:rsidP="007B1708">
      <w:pPr>
        <w:jc w:val="both"/>
        <w:rPr>
          <w:rFonts w:asciiTheme="majorBidi" w:hAnsiTheme="majorBidi" w:cstheme="majorBidi"/>
          <w:b/>
          <w:sz w:val="36"/>
          <w:szCs w:val="36"/>
        </w:rPr>
      </w:pPr>
    </w:p>
    <w:p w14:paraId="42C05B25" w14:textId="174F30C7" w:rsidR="00CB4697" w:rsidRPr="00AC13E7" w:rsidRDefault="007B1708" w:rsidP="00B23F30">
      <w:pPr>
        <w:pStyle w:val="Heading2"/>
        <w:spacing w:before="320" w:after="80" w:line="276" w:lineRule="auto"/>
        <w:rPr>
          <w:rFonts w:ascii="Times New Roman" w:hAnsi="Times New Roman" w:cs="Times New Roman"/>
          <w:lang w:val="en-GB"/>
        </w:rPr>
      </w:pPr>
      <w:bookmarkStart w:id="271" w:name="_Toc391905048"/>
      <w:r w:rsidRPr="00AC13E7">
        <w:rPr>
          <w:rFonts w:ascii="Times New Roman" w:hAnsi="Times New Roman" w:cs="Times New Roman"/>
          <w:lang w:val="en-GB"/>
        </w:rPr>
        <w:lastRenderedPageBreak/>
        <w:t xml:space="preserve">5.3 </w:t>
      </w:r>
      <w:r w:rsidR="00B65CE8" w:rsidRPr="00AC13E7">
        <w:rPr>
          <w:rFonts w:ascii="Times New Roman" w:hAnsi="Times New Roman" w:cs="Times New Roman"/>
          <w:lang w:val="en-GB"/>
        </w:rPr>
        <w:t xml:space="preserve">Validation of </w:t>
      </w:r>
      <w:r w:rsidR="00450BB5" w:rsidRPr="00AC13E7">
        <w:rPr>
          <w:rFonts w:ascii="Times New Roman" w:hAnsi="Times New Roman" w:cs="Times New Roman"/>
          <w:lang w:val="en-GB"/>
        </w:rPr>
        <w:t xml:space="preserve">the </w:t>
      </w:r>
      <w:r w:rsidR="00B65CE8" w:rsidRPr="00AC13E7">
        <w:rPr>
          <w:rFonts w:ascii="Times New Roman" w:hAnsi="Times New Roman" w:cs="Times New Roman"/>
          <w:lang w:val="en-GB"/>
        </w:rPr>
        <w:t xml:space="preserve">low number of </w:t>
      </w:r>
      <w:r w:rsidRPr="00AC13E7">
        <w:rPr>
          <w:rFonts w:ascii="Times New Roman" w:hAnsi="Times New Roman" w:cs="Times New Roman"/>
          <w:lang w:val="en-GB"/>
        </w:rPr>
        <w:t>subclonal mutations in melanoma</w:t>
      </w:r>
      <w:r w:rsidR="007E20DD" w:rsidRPr="00AC13E7">
        <w:rPr>
          <w:rFonts w:ascii="Times New Roman" w:hAnsi="Times New Roman" w:cs="Times New Roman"/>
          <w:lang w:val="en-GB"/>
        </w:rPr>
        <w:t xml:space="preserve"> metastases</w:t>
      </w:r>
      <w:bookmarkEnd w:id="271"/>
    </w:p>
    <w:p w14:paraId="4BC1EE84" w14:textId="687577F3" w:rsidR="00CB4697" w:rsidRPr="00966AB6" w:rsidRDefault="00CB4697" w:rsidP="00906836">
      <w:pPr>
        <w:jc w:val="both"/>
        <w:rPr>
          <w:lang w:val="nl-NL"/>
        </w:rPr>
      </w:pPr>
      <w:r w:rsidRPr="00966AB6">
        <w:rPr>
          <w:lang w:val="nl-NL"/>
        </w:rPr>
        <w:t>Kerstin Haase, Stefan Dentro, Maxime Tarabichi, Peter Van Loo</w:t>
      </w:r>
    </w:p>
    <w:p w14:paraId="7A8B7A66" w14:textId="77777777" w:rsidR="000668D6" w:rsidRPr="00966AB6" w:rsidRDefault="000668D6" w:rsidP="00906836">
      <w:pPr>
        <w:jc w:val="both"/>
        <w:rPr>
          <w:rFonts w:asciiTheme="majorBidi" w:hAnsiTheme="majorBidi" w:cstheme="majorBidi"/>
          <w:sz w:val="36"/>
          <w:szCs w:val="36"/>
          <w:lang w:val="nl-NL"/>
        </w:rPr>
      </w:pPr>
    </w:p>
    <w:p w14:paraId="76C7CF60" w14:textId="181A44F6" w:rsidR="007B1708" w:rsidRPr="00AC13E7" w:rsidRDefault="007B1708" w:rsidP="00D86E26">
      <w:pPr>
        <w:jc w:val="both"/>
      </w:pPr>
      <w:r w:rsidRPr="00AC13E7">
        <w:t>The melanoma samples from the PCAWG cohort are an outgroup to the other cancer types analysed. On one hand because the majority of samples are metastatic (95/107) and on the other hand due to their extremely high mutation burden. The median number of mutations in the samples we analysed was 72,</w:t>
      </w:r>
      <w:r w:rsidR="00065E1F">
        <w:t>687</w:t>
      </w:r>
      <w:r w:rsidRPr="00AC13E7">
        <w:t xml:space="preserve">, </w:t>
      </w:r>
      <w:r w:rsidR="00450BB5" w:rsidRPr="00AC13E7">
        <w:t>almost twice as</w:t>
      </w:r>
      <w:r w:rsidRPr="00AC13E7">
        <w:t xml:space="preserve"> high </w:t>
      </w:r>
      <w:r w:rsidR="00450BB5" w:rsidRPr="00AC13E7">
        <w:t>as</w:t>
      </w:r>
      <w:r w:rsidRPr="00AC13E7">
        <w:t xml:space="preserve"> the second highest median value from lung squamous carcinoma</w:t>
      </w:r>
      <w:r w:rsidR="00450BB5" w:rsidRPr="00AC13E7">
        <w:t xml:space="preserve"> (43,005)</w:t>
      </w:r>
      <w:r w:rsidRPr="00AC13E7">
        <w:t xml:space="preserve">. Because of this high number of mutations, </w:t>
      </w:r>
      <w:r w:rsidR="007E20DD" w:rsidRPr="00AC13E7">
        <w:t xml:space="preserve">some </w:t>
      </w:r>
      <w:r w:rsidRPr="00AC13E7">
        <w:t xml:space="preserve">subclonal reconstruction algorithms </w:t>
      </w:r>
      <w:r w:rsidR="007E20DD" w:rsidRPr="00AC13E7">
        <w:t>required</w:t>
      </w:r>
      <w:r w:rsidRPr="00AC13E7">
        <w:t xml:space="preserve"> down-sampl</w:t>
      </w:r>
      <w:r w:rsidR="007E20DD" w:rsidRPr="00AC13E7">
        <w:t>ing</w:t>
      </w:r>
      <w:r w:rsidRPr="00AC13E7">
        <w:t xml:space="preserve"> </w:t>
      </w:r>
      <w:r w:rsidR="007E20DD" w:rsidRPr="00AC13E7">
        <w:t xml:space="preserve">of the </w:t>
      </w:r>
      <w:r w:rsidRPr="00AC13E7">
        <w:t>SNV</w:t>
      </w:r>
      <w:r w:rsidR="007E20DD" w:rsidRPr="00AC13E7">
        <w:t xml:space="preserve"> input</w:t>
      </w:r>
      <w:r w:rsidRPr="00AC13E7">
        <w:t xml:space="preserve"> to decrease run time. One concern when subsetting the amount of mutations in a sample is that subclonal mutations become </w:t>
      </w:r>
      <w:r w:rsidR="007E20DD" w:rsidRPr="00AC13E7">
        <w:t>too</w:t>
      </w:r>
      <w:r w:rsidRPr="00AC13E7">
        <w:t xml:space="preserve"> scarce</w:t>
      </w:r>
      <w:r w:rsidR="007E20DD" w:rsidRPr="00AC13E7">
        <w:t xml:space="preserve"> </w:t>
      </w:r>
      <w:r w:rsidRPr="00AC13E7">
        <w:t xml:space="preserve">and the reconstruction methods </w:t>
      </w:r>
      <w:r w:rsidR="00450BB5" w:rsidRPr="00AC13E7">
        <w:t xml:space="preserve">may </w:t>
      </w:r>
      <w:r w:rsidRPr="00AC13E7">
        <w:t xml:space="preserve">fail to detect the corresponding subclonal population. As our results showed </w:t>
      </w:r>
      <w:r w:rsidR="00122E76" w:rsidRPr="00AC13E7">
        <w:t>a</w:t>
      </w:r>
      <w:r w:rsidRPr="00AC13E7">
        <w:t xml:space="preserve"> high </w:t>
      </w:r>
      <w:r w:rsidR="00122E76" w:rsidRPr="00AC13E7">
        <w:t>proportion</w:t>
      </w:r>
      <w:r w:rsidRPr="00AC13E7">
        <w:t xml:space="preserve"> of clonal melanoma</w:t>
      </w:r>
      <w:r w:rsidR="00122E76" w:rsidRPr="00AC13E7">
        <w:t xml:space="preserve"> metastases</w:t>
      </w:r>
      <w:r w:rsidRPr="00AC13E7">
        <w:t xml:space="preserve"> (</w:t>
      </w:r>
      <w:r w:rsidR="00646AF7" w:rsidRPr="00AC13E7">
        <w:t xml:space="preserve">49%, </w:t>
      </w:r>
      <w:r w:rsidR="00CA4FB4" w:rsidRPr="00AC13E7">
        <w:t xml:space="preserve">main </w:t>
      </w:r>
      <w:r w:rsidRPr="00AC13E7">
        <w:rPr>
          <w:b/>
        </w:rPr>
        <w:t>Fig. 2</w:t>
      </w:r>
      <w:r w:rsidRPr="00AC13E7">
        <w:t>), we investigated additional evidence for subclonal expansions</w:t>
      </w:r>
      <w:r w:rsidR="005D457E" w:rsidRPr="00AC13E7">
        <w:t xml:space="preserve"> using the VAF of the somatic mutations</w:t>
      </w:r>
      <w:r w:rsidR="00C85764" w:rsidRPr="00AC13E7">
        <w:t xml:space="preserve"> as previously described</w:t>
      </w:r>
      <w:r w:rsidR="00B321C3" w:rsidRPr="00AC13E7">
        <w:rPr>
          <w:b/>
        </w:rPr>
        <w:fldChar w:fldCharType="begin">
          <w:fldData xml:space="preserve">PEVuZE5vdGU+PENpdGU+PEF1dGhvcj5BbGV4YW5kcm92PC9BdXRob3I+PFllYXI+MjAxNjwvWWVh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</w:fldData>
        </w:fldChar>
      </w:r>
      <w:r w:rsidR="00D86E26">
        <w:rPr>
          <w:b/>
        </w:rPr>
        <w:instrText xml:space="preserve"> ADDIN EN.CITE </w:instrText>
      </w:r>
      <w:r w:rsidR="00D86E26">
        <w:rPr>
          <w:b/>
        </w:rPr>
        <w:fldChar w:fldCharType="begin">
          <w:fldData xml:space="preserve">PEVuZE5vdGU+PENpdGU+PEF1dGhvcj5BbGV4YW5kcm92PC9BdXRob3I+PFllYXI+MjAxNjwvWWVh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</w:fldData>
        </w:fldChar>
      </w:r>
      <w:r w:rsidR="00D86E26">
        <w:rPr>
          <w:b/>
        </w:rPr>
        <w:instrText xml:space="preserve"> ADDIN EN.CITE.DATA </w:instrText>
      </w:r>
      <w:r w:rsidR="00D86E26">
        <w:rPr>
          <w:b/>
        </w:rPr>
      </w:r>
      <w:r w:rsidR="00D86E26">
        <w:rPr>
          <w:b/>
        </w:rPr>
        <w:fldChar w:fldCharType="end"/>
      </w:r>
      <w:r w:rsidR="00B321C3" w:rsidRPr="00AC13E7">
        <w:rPr>
          <w:b/>
        </w:rPr>
      </w:r>
      <w:r w:rsidR="00B321C3" w:rsidRPr="00AC13E7">
        <w:rPr>
          <w:b/>
        </w:rPr>
        <w:fldChar w:fldCharType="separate"/>
      </w:r>
      <w:r w:rsidR="00D86E26" w:rsidRPr="00D86E26">
        <w:rPr>
          <w:b/>
          <w:noProof/>
          <w:vertAlign w:val="superscript"/>
        </w:rPr>
        <w:t>55</w:t>
      </w:r>
      <w:r w:rsidR="00B321C3" w:rsidRPr="00AC13E7">
        <w:rPr>
          <w:b/>
        </w:rPr>
        <w:fldChar w:fldCharType="end"/>
      </w:r>
      <w:r w:rsidRPr="00AC13E7">
        <w:t>.</w:t>
      </w:r>
    </w:p>
    <w:p w14:paraId="3DF31D38" w14:textId="4EB91634" w:rsidR="007B1708" w:rsidRPr="00AC13E7" w:rsidRDefault="00C85764" w:rsidP="000668D6">
      <w:pPr>
        <w:jc w:val="both"/>
        <w:rPr>
          <w:rFonts w:asciiTheme="majorBidi" w:hAnsiTheme="majorBidi" w:cstheme="majorBidi"/>
        </w:rPr>
      </w:pPr>
      <w:r w:rsidRPr="00AC13E7">
        <w:rPr>
          <w:rFonts w:asciiTheme="majorBidi" w:hAnsiTheme="majorBidi" w:cstheme="majorBidi"/>
        </w:rPr>
        <w:t>The</w:t>
      </w:r>
      <w:r w:rsidR="007B1708" w:rsidRPr="00AC13E7">
        <w:rPr>
          <w:rFonts w:asciiTheme="majorBidi" w:hAnsiTheme="majorBidi" w:cstheme="majorBidi"/>
        </w:rPr>
        <w:t xml:space="preserve"> VAF</w:t>
      </w:r>
      <w:r w:rsidR="004757F0" w:rsidRPr="00AC13E7">
        <w:rPr>
          <w:rFonts w:asciiTheme="majorBidi" w:hAnsiTheme="majorBidi" w:cstheme="majorBidi"/>
        </w:rPr>
        <w:t xml:space="preserve"> (</w:t>
      </w:r>
      <w:r w:rsidR="004757F0" w:rsidRPr="00AC13E7">
        <w:rPr>
          <w:rFonts w:asciiTheme="majorBidi" w:hAnsiTheme="majorBidi" w:cstheme="majorBidi"/>
          <w:i/>
        </w:rPr>
        <w:t>f</w:t>
      </w:r>
      <w:r w:rsidR="004757F0" w:rsidRPr="00AC13E7">
        <w:rPr>
          <w:rFonts w:asciiTheme="majorBidi" w:hAnsiTheme="majorBidi" w:cstheme="majorBidi"/>
        </w:rPr>
        <w:t>)</w:t>
      </w:r>
      <w:r w:rsidR="007B1708" w:rsidRPr="00AC13E7">
        <w:rPr>
          <w:rFonts w:asciiTheme="majorBidi" w:hAnsiTheme="majorBidi" w:cstheme="majorBidi"/>
        </w:rPr>
        <w:t xml:space="preserve"> is transformed into mutation copy number (MCN</w:t>
      </w:r>
      <w:r w:rsidR="004757F0" w:rsidRPr="00AC13E7">
        <w:rPr>
          <w:rFonts w:asciiTheme="majorBidi" w:hAnsiTheme="majorBidi" w:cstheme="majorBidi"/>
        </w:rPr>
        <w:t xml:space="preserve">, </w:t>
      </w:r>
      <w:r w:rsidR="004757F0" w:rsidRPr="00AC13E7">
        <w:rPr>
          <w:rFonts w:asciiTheme="majorBidi" w:hAnsiTheme="majorBidi" w:cstheme="majorBidi"/>
          <w:i/>
        </w:rPr>
        <w:t>m</w:t>
      </w:r>
      <w:r w:rsidR="007B1708" w:rsidRPr="00AC13E7">
        <w:rPr>
          <w:rFonts w:asciiTheme="majorBidi" w:hAnsiTheme="majorBidi" w:cstheme="majorBidi"/>
        </w:rPr>
        <w:t xml:space="preserve">), </w:t>
      </w:r>
      <w:r w:rsidR="007B1708" w:rsidRPr="00AC13E7">
        <w:rPr>
          <w:rFonts w:asciiTheme="majorBidi" w:hAnsiTheme="majorBidi" w:cstheme="majorBidi"/>
          <w:i/>
        </w:rPr>
        <w:t>i.e.</w:t>
      </w:r>
      <w:r w:rsidR="007B1708" w:rsidRPr="00AC13E7">
        <w:rPr>
          <w:rFonts w:asciiTheme="majorBidi" w:hAnsiTheme="majorBidi" w:cstheme="majorBidi"/>
        </w:rPr>
        <w:t>, the number of genomic se</w:t>
      </w:r>
      <w:r w:rsidR="007A435B" w:rsidRPr="00AC13E7">
        <w:rPr>
          <w:rFonts w:asciiTheme="majorBidi" w:hAnsiTheme="majorBidi" w:cstheme="majorBidi"/>
        </w:rPr>
        <w:t>gments carrying a given variant:</w:t>
      </w:r>
      <w:r w:rsidR="007B1708" w:rsidRPr="00AC13E7">
        <w:rPr>
          <w:rFonts w:asciiTheme="majorBidi" w:hAnsiTheme="majorBidi" w:cstheme="majorBidi"/>
        </w:rPr>
        <w:t xml:space="preserve"> </w:t>
      </w:r>
    </w:p>
    <w:p w14:paraId="32B4D199" w14:textId="6A565837" w:rsidR="007B1708" w:rsidRPr="00AC13E7" w:rsidRDefault="00E41164" w:rsidP="000668D6">
      <w:pPr>
        <w:jc w:val="both"/>
        <w:rPr>
          <w:rFonts w:asciiTheme="majorBidi" w:hAnsiTheme="majorBidi" w:cstheme="majorBidi"/>
        </w:rPr>
      </w:pPr>
      <m:oMathPara>
        <m:oMath>
          <m:r>
            <w:rPr>
              <w:rFonts w:ascii="Cambria Math" w:hAnsi="Cambria Math" w:cstheme="majorBidi"/>
            </w:rPr>
            <m:t xml:space="preserve">m= </m:t>
          </m:r>
          <m:f>
            <m:fPr>
              <m:ctrlPr>
                <w:rPr>
                  <w:rFonts w:ascii="Cambria Math" w:hAnsi="Cambria Math" w:cstheme="majorBidi"/>
                  <w:i/>
                </w:rPr>
              </m:ctrlPr>
            </m:fPr>
            <m:num>
              <m:r>
                <w:rPr>
                  <w:rFonts w:ascii="Cambria Math" w:hAnsi="Cambria Math" w:cstheme="majorBidi"/>
                </w:rPr>
                <m:t>f</m:t>
              </m:r>
            </m:num>
            <m:den>
              <m:r>
                <w:rPr>
                  <w:rFonts w:ascii="Cambria Math" w:hAnsi="Cambria Math" w:cstheme="majorBidi"/>
                </w:rPr>
                <m:t>ρ</m:t>
              </m:r>
            </m:den>
          </m:f>
          <m:r>
            <w:rPr>
              <w:rFonts w:ascii="Cambria Math" w:hAnsi="Cambria Math" w:cstheme="majorBidi"/>
            </w:rPr>
            <m:t xml:space="preserve"> (ρ</m:t>
          </m:r>
          <m:sSub>
            <m:sSubPr>
              <m:ctrlPr>
                <w:rPr>
                  <w:rFonts w:ascii="Cambria Math" w:hAnsi="Cambria Math" w:cstheme="majorBidi"/>
                  <w:i/>
                </w:rPr>
              </m:ctrlPr>
            </m:sSubPr>
            <m:e>
              <m:r>
                <w:rPr>
                  <w:rFonts w:ascii="Cambria Math" w:hAnsi="Cambria Math" w:cstheme="majorBidi"/>
                </w:rPr>
                <m:t>ψ</m:t>
              </m:r>
            </m:e>
            <m:sub>
              <m:r>
                <w:rPr>
                  <w:rFonts w:ascii="Cambria Math" w:hAnsi="Cambria Math" w:cstheme="majorBidi"/>
                </w:rPr>
                <m:t>t</m:t>
              </m:r>
            </m:sub>
          </m:sSub>
          <m:r>
            <w:rPr>
              <w:rFonts w:ascii="Cambria Math" w:hAnsi="Cambria Math" w:cstheme="majorBidi"/>
            </w:rPr>
            <m:t>+</m:t>
          </m:r>
          <m:d>
            <m:dPr>
              <m:ctrlPr>
                <w:rPr>
                  <w:rFonts w:ascii="Cambria Math" w:hAnsi="Cambria Math" w:cstheme="majorBidi"/>
                  <w:i/>
                </w:rPr>
              </m:ctrlPr>
            </m:dPr>
            <m:e>
              <m:r>
                <w:rPr>
                  <w:rFonts w:ascii="Cambria Math" w:hAnsi="Cambria Math" w:cstheme="majorBidi"/>
                </w:rPr>
                <m:t>1-ρ</m:t>
              </m:r>
            </m:e>
          </m:d>
          <m:sSub>
            <m:sSubPr>
              <m:ctrlPr>
                <w:rPr>
                  <w:rFonts w:ascii="Cambria Math" w:hAnsi="Cambria Math" w:cstheme="majorBidi"/>
                  <w:i/>
                </w:rPr>
              </m:ctrlPr>
            </m:sSubPr>
            <m:e>
              <m:r>
                <w:rPr>
                  <w:rFonts w:ascii="Cambria Math" w:hAnsi="Cambria Math" w:cstheme="majorBidi"/>
                </w:rPr>
                <m:t>ψ</m:t>
              </m:r>
            </m:e>
            <m:sub>
              <m:r>
                <w:rPr>
                  <w:rFonts w:ascii="Cambria Math" w:hAnsi="Cambria Math" w:cstheme="majorBidi"/>
                </w:rPr>
                <m:t>n</m:t>
              </m:r>
            </m:sub>
          </m:sSub>
          <m:r>
            <w:rPr>
              <w:rFonts w:ascii="Cambria Math" w:hAnsi="Cambria Math" w:cstheme="majorBidi"/>
            </w:rPr>
            <m:t>)</m:t>
          </m:r>
        </m:oMath>
      </m:oMathPara>
    </w:p>
    <w:p w14:paraId="124C1507" w14:textId="77777777" w:rsidR="00194F3F" w:rsidRPr="00AC13E7" w:rsidRDefault="00B1270C" w:rsidP="000668D6">
      <w:pPr>
        <w:jc w:val="both"/>
        <w:rPr>
          <w:rFonts w:asciiTheme="majorBidi" w:hAnsiTheme="majorBidi" w:cstheme="majorBidi"/>
        </w:rPr>
      </w:pPr>
      <w:r w:rsidRPr="00AC13E7">
        <w:rPr>
          <w:rFonts w:asciiTheme="majorBidi" w:hAnsiTheme="majorBidi" w:cstheme="majorBidi"/>
        </w:rPr>
        <w:t xml:space="preserve">where </w:t>
      </w:r>
      <w:r w:rsidRPr="00AC13E7">
        <w:rPr>
          <w:rFonts w:asciiTheme="majorBidi" w:hAnsiTheme="majorBidi" w:cstheme="majorBidi"/>
          <w:color w:val="000000"/>
        </w:rPr>
        <w:t>ρ</w:t>
      </w:r>
      <w:r w:rsidR="007B1708" w:rsidRPr="00AC13E7">
        <w:rPr>
          <w:rFonts w:asciiTheme="majorBidi" w:hAnsiTheme="majorBidi" w:cstheme="majorBidi"/>
        </w:rPr>
        <w:t xml:space="preserve"> </w:t>
      </w:r>
      <w:r w:rsidRPr="00AC13E7">
        <w:rPr>
          <w:rFonts w:asciiTheme="majorBidi" w:hAnsiTheme="majorBidi" w:cstheme="majorBidi"/>
        </w:rPr>
        <w:t xml:space="preserve">represents a </w:t>
      </w:r>
      <w:r w:rsidR="007B1708" w:rsidRPr="00AC13E7">
        <w:rPr>
          <w:rFonts w:asciiTheme="majorBidi" w:hAnsiTheme="majorBidi" w:cstheme="majorBidi"/>
        </w:rPr>
        <w:t xml:space="preserve">sample’s purity and </w:t>
      </w:r>
      <w:r w:rsidR="00194F3F" w:rsidRPr="00AC13E7">
        <w:rPr>
          <w:rFonts w:asciiTheme="majorBidi" w:hAnsiTheme="majorBidi" w:cstheme="majorBidi"/>
        </w:rPr>
        <w:t>ψ</w:t>
      </w:r>
      <w:r w:rsidR="00194F3F" w:rsidRPr="00AC13E7">
        <w:rPr>
          <w:rFonts w:asciiTheme="majorBidi" w:hAnsiTheme="majorBidi" w:cstheme="majorBidi"/>
          <w:vertAlign w:val="subscript"/>
        </w:rPr>
        <w:t>t</w:t>
      </w:r>
      <w:r w:rsidR="00194F3F" w:rsidRPr="00AC13E7">
        <w:rPr>
          <w:rFonts w:asciiTheme="majorBidi" w:hAnsiTheme="majorBidi" w:cstheme="majorBidi"/>
        </w:rPr>
        <w:t xml:space="preserve"> </w:t>
      </w:r>
      <w:r w:rsidR="007B1708" w:rsidRPr="00AC13E7">
        <w:rPr>
          <w:rFonts w:asciiTheme="majorBidi" w:hAnsiTheme="majorBidi" w:cstheme="majorBidi"/>
        </w:rPr>
        <w:t xml:space="preserve">the copy number </w:t>
      </w:r>
      <w:r w:rsidR="000B5FFC" w:rsidRPr="00AC13E7">
        <w:rPr>
          <w:rFonts w:asciiTheme="majorBidi" w:hAnsiTheme="majorBidi" w:cstheme="majorBidi"/>
        </w:rPr>
        <w:t xml:space="preserve">of the </w:t>
      </w:r>
      <w:r w:rsidR="007B1708" w:rsidRPr="00AC13E7">
        <w:rPr>
          <w:rFonts w:asciiTheme="majorBidi" w:hAnsiTheme="majorBidi" w:cstheme="majorBidi"/>
        </w:rPr>
        <w:t>region</w:t>
      </w:r>
      <w:r w:rsidR="000B5FFC" w:rsidRPr="00AC13E7">
        <w:rPr>
          <w:rFonts w:asciiTheme="majorBidi" w:hAnsiTheme="majorBidi" w:cstheme="majorBidi"/>
        </w:rPr>
        <w:t xml:space="preserve"> carrying</w:t>
      </w:r>
      <w:r w:rsidR="007B1708" w:rsidRPr="00AC13E7">
        <w:rPr>
          <w:rFonts w:asciiTheme="majorBidi" w:hAnsiTheme="majorBidi" w:cstheme="majorBidi"/>
        </w:rPr>
        <w:t xml:space="preserve"> </w:t>
      </w:r>
      <w:r w:rsidR="000B5FFC" w:rsidRPr="00AC13E7">
        <w:rPr>
          <w:rFonts w:asciiTheme="majorBidi" w:hAnsiTheme="majorBidi" w:cstheme="majorBidi"/>
        </w:rPr>
        <w:t>the mutation</w:t>
      </w:r>
      <w:r w:rsidR="00194F3F" w:rsidRPr="00AC13E7">
        <w:rPr>
          <w:rFonts w:asciiTheme="majorBidi" w:hAnsiTheme="majorBidi" w:cstheme="majorBidi"/>
        </w:rPr>
        <w:t xml:space="preserve">. </w:t>
      </w:r>
      <w:r w:rsidR="007B1708" w:rsidRPr="00AC13E7">
        <w:rPr>
          <w:rFonts w:asciiTheme="majorBidi" w:hAnsiTheme="majorBidi" w:cstheme="majorBidi"/>
        </w:rPr>
        <w:t>ψ</w:t>
      </w:r>
      <w:r w:rsidR="007B1708" w:rsidRPr="00AC13E7">
        <w:rPr>
          <w:rFonts w:asciiTheme="majorBidi" w:hAnsiTheme="majorBidi" w:cstheme="majorBidi"/>
          <w:vertAlign w:val="subscript"/>
        </w:rPr>
        <w:t>n</w:t>
      </w:r>
      <w:r w:rsidR="007B1708" w:rsidRPr="00AC13E7">
        <w:rPr>
          <w:rFonts w:asciiTheme="majorBidi" w:hAnsiTheme="majorBidi" w:cstheme="majorBidi"/>
        </w:rPr>
        <w:t xml:space="preserve"> is assumed to be two, except for variants on sex chromosomes in male p</w:t>
      </w:r>
      <w:r w:rsidR="00194F3F" w:rsidRPr="00AC13E7">
        <w:rPr>
          <w:rFonts w:asciiTheme="majorBidi" w:hAnsiTheme="majorBidi" w:cstheme="majorBidi"/>
        </w:rPr>
        <w:t>atients where it is set to one.</w:t>
      </w:r>
    </w:p>
    <w:p w14:paraId="5DD9B5C5" w14:textId="211F247B" w:rsidR="007B1708" w:rsidRPr="00AC13E7" w:rsidRDefault="007B1708" w:rsidP="000668D6">
      <w:pPr>
        <w:jc w:val="both"/>
        <w:rPr>
          <w:rFonts w:asciiTheme="majorBidi" w:hAnsiTheme="majorBidi" w:cstheme="majorBidi"/>
        </w:rPr>
      </w:pPr>
      <w:r w:rsidRPr="00AC13E7">
        <w:rPr>
          <w:rFonts w:asciiTheme="majorBidi" w:hAnsiTheme="majorBidi" w:cstheme="majorBidi"/>
        </w:rPr>
        <w:t xml:space="preserve">Additionally, the expected VAF of a variant with a </w:t>
      </w:r>
      <w:r w:rsidR="00194F3F" w:rsidRPr="00AC13E7">
        <w:rPr>
          <w:rFonts w:asciiTheme="majorBidi" w:hAnsiTheme="majorBidi" w:cstheme="majorBidi"/>
        </w:rPr>
        <w:t>MCN</w:t>
      </w:r>
      <w:r w:rsidRPr="00AC13E7">
        <w:rPr>
          <w:rFonts w:asciiTheme="majorBidi" w:hAnsiTheme="majorBidi" w:cstheme="majorBidi"/>
        </w:rPr>
        <w:t xml:space="preserve"> of one that is located in the same genomic region than the o</w:t>
      </w:r>
      <w:r w:rsidR="00194F3F" w:rsidRPr="00AC13E7">
        <w:rPr>
          <w:rFonts w:asciiTheme="majorBidi" w:hAnsiTheme="majorBidi" w:cstheme="majorBidi"/>
        </w:rPr>
        <w:t xml:space="preserve">bserved mutation was calculated: </w:t>
      </w:r>
    </w:p>
    <w:p w14:paraId="041F2295" w14:textId="56A620E4" w:rsidR="007B1708" w:rsidRPr="00AC13E7" w:rsidRDefault="00A5551C" w:rsidP="000668D6">
      <w:pPr>
        <w:jc w:val="both"/>
        <w:rPr>
          <w:rFonts w:asciiTheme="majorBidi" w:hAnsiTheme="majorBidi" w:cstheme="majorBidi"/>
        </w:rPr>
      </w:pPr>
      <m:oMathPara>
        <m:oMath>
          <m:r>
            <m:rPr>
              <m:scr m:val="double-struck"/>
            </m:rP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m=1</m:t>
                  </m:r>
                </m:sub>
              </m:sSub>
            </m:e>
          </m:d>
          <m:r>
            <w:rPr>
              <w:rFonts w:ascii="Cambria Math" w:hAnsi="Cambria Math"/>
            </w:rPr>
            <m:t>=</m:t>
          </m:r>
          <m:f>
            <m:fPr>
              <m:ctrlPr>
                <w:rPr>
                  <w:rFonts w:ascii="Cambria Math" w:hAnsi="Cambria Math" w:cstheme="majorBidi"/>
                  <w:i/>
                </w:rPr>
              </m:ctrlPr>
            </m:fPr>
            <m:num>
              <m:r>
                <w:rPr>
                  <w:rFonts w:ascii="Cambria Math" w:hAnsi="Cambria Math" w:cstheme="majorBidi"/>
                </w:rPr>
                <m:t>ρ</m:t>
              </m:r>
            </m:num>
            <m:den>
              <m:r>
                <w:rPr>
                  <w:rFonts w:ascii="Cambria Math" w:hAnsi="Cambria Math" w:cstheme="majorBidi"/>
                </w:rPr>
                <m:t>ρ</m:t>
              </m:r>
              <m:sSub>
                <m:sSubPr>
                  <m:ctrlPr>
                    <w:rPr>
                      <w:rFonts w:ascii="Cambria Math" w:hAnsi="Cambria Math" w:cstheme="majorBidi"/>
                      <w:i/>
                    </w:rPr>
                  </m:ctrlPr>
                </m:sSubPr>
                <m:e>
                  <m:r>
                    <w:rPr>
                      <w:rFonts w:ascii="Cambria Math" w:hAnsi="Cambria Math" w:cstheme="majorBidi"/>
                    </w:rPr>
                    <m:t>ψ</m:t>
                  </m:r>
                </m:e>
                <m:sub>
                  <m:r>
                    <w:rPr>
                      <w:rFonts w:ascii="Cambria Math" w:hAnsi="Cambria Math" w:cstheme="majorBidi"/>
                    </w:rPr>
                    <m:t>t</m:t>
                  </m:r>
                </m:sub>
              </m:sSub>
              <m:r>
                <w:rPr>
                  <w:rFonts w:ascii="Cambria Math" w:hAnsi="Cambria Math" w:cstheme="majorBidi"/>
                </w:rPr>
                <m:t>+</m:t>
              </m:r>
              <m:d>
                <m:dPr>
                  <m:ctrlPr>
                    <w:rPr>
                      <w:rFonts w:ascii="Cambria Math" w:hAnsi="Cambria Math" w:cstheme="majorBidi"/>
                      <w:i/>
                    </w:rPr>
                  </m:ctrlPr>
                </m:dPr>
                <m:e>
                  <m:r>
                    <w:rPr>
                      <w:rFonts w:ascii="Cambria Math" w:hAnsi="Cambria Math" w:cstheme="majorBidi"/>
                    </w:rPr>
                    <m:t>1-ρ</m:t>
                  </m:r>
                </m:e>
              </m:d>
              <m:sSub>
                <m:sSubPr>
                  <m:ctrlPr>
                    <w:rPr>
                      <w:rFonts w:ascii="Cambria Math" w:hAnsi="Cambria Math" w:cstheme="majorBidi"/>
                      <w:i/>
                    </w:rPr>
                  </m:ctrlPr>
                </m:sSubPr>
                <m:e>
                  <m:r>
                    <w:rPr>
                      <w:rFonts w:ascii="Cambria Math" w:hAnsi="Cambria Math" w:cstheme="majorBidi"/>
                    </w:rPr>
                    <m:t>ψ</m:t>
                  </m:r>
                </m:e>
                <m:sub>
                  <m:r>
                    <w:rPr>
                      <w:rFonts w:ascii="Cambria Math" w:hAnsi="Cambria Math" w:cstheme="majorBidi"/>
                    </w:rPr>
                    <m:t>n</m:t>
                  </m:r>
                </m:sub>
              </m:sSub>
            </m:den>
          </m:f>
        </m:oMath>
      </m:oMathPara>
    </w:p>
    <w:p w14:paraId="617F1673" w14:textId="77777777" w:rsidR="005230EA" w:rsidRPr="00AC13E7" w:rsidRDefault="007B1708" w:rsidP="000668D6">
      <w:pPr>
        <w:jc w:val="both"/>
        <w:rPr>
          <w:rFonts w:asciiTheme="majorBidi" w:hAnsiTheme="majorBidi" w:cstheme="majorBidi"/>
        </w:rPr>
      </w:pPr>
      <w:r w:rsidRPr="00AC13E7">
        <w:rPr>
          <w:rFonts w:asciiTheme="majorBidi" w:hAnsiTheme="majorBidi" w:cstheme="majorBidi"/>
        </w:rPr>
        <w:t>To estimate if a given mutation is subclonal, a one-sided proportion test was applied by using the number of reads supporting the variant and the overall coverage of the locus as counts of succ</w:t>
      </w:r>
      <w:r w:rsidR="005230EA" w:rsidRPr="00AC13E7">
        <w:rPr>
          <w:rFonts w:asciiTheme="majorBidi" w:hAnsiTheme="majorBidi" w:cstheme="majorBidi"/>
        </w:rPr>
        <w:t xml:space="preserve">esses and trials, respectively. </w:t>
      </w:r>
      <w:r w:rsidRPr="00AC13E7">
        <w:rPr>
          <w:rFonts w:asciiTheme="majorBidi" w:hAnsiTheme="majorBidi" w:cstheme="majorBidi"/>
        </w:rPr>
        <w:t>The calculated expected VAF is used in the test</w:t>
      </w:r>
      <w:r w:rsidR="005230EA" w:rsidRPr="00AC13E7">
        <w:rPr>
          <w:rFonts w:asciiTheme="majorBidi" w:hAnsiTheme="majorBidi" w:cstheme="majorBidi"/>
        </w:rPr>
        <w:t xml:space="preserve"> as the probability of success.</w:t>
      </w:r>
    </w:p>
    <w:p w14:paraId="3B078E97" w14:textId="178C30C0" w:rsidR="005230EA" w:rsidRPr="00AC13E7" w:rsidRDefault="00C70DE9" w:rsidP="000668D6">
      <w:pPr>
        <w:jc w:val="both"/>
        <w:rPr>
          <w:rFonts w:asciiTheme="majorBidi" w:hAnsiTheme="majorBidi" w:cstheme="majorBidi"/>
        </w:rPr>
      </w:pPr>
      <w:r w:rsidRPr="00AC13E7">
        <w:rPr>
          <w:rFonts w:asciiTheme="majorBidi" w:hAnsiTheme="majorBidi" w:cstheme="majorBidi"/>
        </w:rPr>
        <w:t xml:space="preserve">Resulting p-values were </w:t>
      </w:r>
      <w:r w:rsidR="00C31E4A" w:rsidRPr="00AC13E7">
        <w:rPr>
          <w:rFonts w:asciiTheme="majorBidi" w:hAnsiTheme="majorBidi" w:cstheme="majorBidi"/>
        </w:rPr>
        <w:t>adjusted</w:t>
      </w:r>
      <w:r w:rsidRPr="00AC13E7">
        <w:rPr>
          <w:rFonts w:asciiTheme="majorBidi" w:hAnsiTheme="majorBidi" w:cstheme="majorBidi"/>
        </w:rPr>
        <w:t xml:space="preserve"> for multiple testing using Bonf</w:t>
      </w:r>
      <w:r w:rsidR="00C31E4A" w:rsidRPr="00AC13E7">
        <w:rPr>
          <w:rFonts w:asciiTheme="majorBidi" w:hAnsiTheme="majorBidi" w:cstheme="majorBidi"/>
        </w:rPr>
        <w:t xml:space="preserve">erroni’s </w:t>
      </w:r>
      <w:r w:rsidR="00812AC4" w:rsidRPr="00AC13E7">
        <w:rPr>
          <w:rFonts w:asciiTheme="majorBidi" w:hAnsiTheme="majorBidi" w:cstheme="majorBidi"/>
        </w:rPr>
        <w:t>correction.</w:t>
      </w:r>
    </w:p>
    <w:p w14:paraId="397E63B4" w14:textId="3CC83038" w:rsidR="007B1708" w:rsidRPr="00AC13E7" w:rsidRDefault="00812AC4" w:rsidP="000668D6">
      <w:pPr>
        <w:jc w:val="both"/>
        <w:rPr>
          <w:rFonts w:asciiTheme="majorBidi" w:hAnsiTheme="majorBidi" w:cstheme="majorBidi"/>
        </w:rPr>
      </w:pPr>
      <w:r w:rsidRPr="00AC13E7">
        <w:rPr>
          <w:rFonts w:asciiTheme="majorBidi" w:hAnsiTheme="majorBidi" w:cstheme="majorBidi"/>
        </w:rPr>
        <w:t>T</w:t>
      </w:r>
      <w:r w:rsidR="007B1708" w:rsidRPr="00AC13E7">
        <w:rPr>
          <w:rFonts w:asciiTheme="majorBidi" w:hAnsiTheme="majorBidi" w:cstheme="majorBidi"/>
        </w:rPr>
        <w:t>ested mutations that have a significantly lower VAF than expected for a variant with a mutation copy number of one (</w:t>
      </w:r>
      <w:r w:rsidRPr="00AC13E7">
        <w:rPr>
          <w:rFonts w:asciiTheme="majorBidi" w:hAnsiTheme="majorBidi" w:cstheme="majorBidi"/>
        </w:rPr>
        <w:t xml:space="preserve">adjusted </w:t>
      </w:r>
      <w:r w:rsidR="007B1708" w:rsidRPr="00AC13E7">
        <w:rPr>
          <w:rFonts w:asciiTheme="majorBidi" w:hAnsiTheme="majorBidi" w:cstheme="majorBidi"/>
        </w:rPr>
        <w:t xml:space="preserve">p-value&lt;0.05) are </w:t>
      </w:r>
      <w:r w:rsidR="00450BB5" w:rsidRPr="00AC13E7">
        <w:rPr>
          <w:rFonts w:asciiTheme="majorBidi" w:hAnsiTheme="majorBidi" w:cstheme="majorBidi"/>
        </w:rPr>
        <w:t>called</w:t>
      </w:r>
      <w:r w:rsidR="007B1708" w:rsidRPr="00AC13E7">
        <w:rPr>
          <w:rFonts w:asciiTheme="majorBidi" w:hAnsiTheme="majorBidi" w:cstheme="majorBidi"/>
        </w:rPr>
        <w:t xml:space="preserve"> subclonal.</w:t>
      </w:r>
    </w:p>
    <w:p w14:paraId="215D48F8" w14:textId="77777777" w:rsidR="00427C34" w:rsidRPr="00AC13E7" w:rsidRDefault="00427C34" w:rsidP="000668D6">
      <w:pPr>
        <w:jc w:val="both"/>
      </w:pPr>
    </w:p>
    <w:p w14:paraId="0E0F6244" w14:textId="048A91AD" w:rsidR="0002327A" w:rsidRPr="00AC13E7" w:rsidRDefault="0002327A" w:rsidP="000668D6">
      <w:pPr>
        <w:jc w:val="both"/>
      </w:pPr>
      <w:r w:rsidRPr="00AC13E7">
        <w:t xml:space="preserve">We applied the described procedure to verify that tumours identified as clonal through clustering of SNVs </w:t>
      </w:r>
      <w:r w:rsidR="006749F6" w:rsidRPr="00AC13E7">
        <w:t>(</w:t>
      </w:r>
      <w:r w:rsidR="006749F6" w:rsidRPr="00AC13E7">
        <w:rPr>
          <w:b/>
        </w:rPr>
        <w:t>Suppl. Fig. 3a</w:t>
      </w:r>
      <w:r w:rsidR="006749F6" w:rsidRPr="00AC13E7">
        <w:t xml:space="preserve">) </w:t>
      </w:r>
      <w:r w:rsidRPr="00AC13E7">
        <w:t>indeed contain fewer subclonal mutations</w:t>
      </w:r>
      <w:r w:rsidR="006749F6" w:rsidRPr="00AC13E7">
        <w:t xml:space="preserve">. </w:t>
      </w:r>
      <w:r w:rsidRPr="00AC13E7">
        <w:t>As expected, the tumours identified as clonal contain a significantly low</w:t>
      </w:r>
      <w:r w:rsidR="000C20DD" w:rsidRPr="00AC13E7">
        <w:t xml:space="preserve">er proportion of subclonal SNVs </w:t>
      </w:r>
      <w:r w:rsidRPr="00AC13E7">
        <w:t>(</w:t>
      </w:r>
      <w:r w:rsidR="00970447" w:rsidRPr="00AC13E7">
        <w:t>p</w:t>
      </w:r>
      <w:r w:rsidRPr="00AC13E7">
        <w:t>-value 8.4</w:t>
      </w:r>
      <w:r w:rsidR="00970447" w:rsidRPr="00AC13E7">
        <w:t>x10</w:t>
      </w:r>
      <w:r w:rsidRPr="00AC13E7">
        <w:rPr>
          <w:vertAlign w:val="superscript"/>
        </w:rPr>
        <w:t>-5</w:t>
      </w:r>
      <w:r w:rsidRPr="00AC13E7">
        <w:t>, Kolmogorov-Smirnov</w:t>
      </w:r>
      <w:r w:rsidR="00970447" w:rsidRPr="00AC13E7">
        <w:t xml:space="preserve"> test</w:t>
      </w:r>
      <w:r w:rsidR="000C20DD" w:rsidRPr="00AC13E7">
        <w:t xml:space="preserve">, </w:t>
      </w:r>
      <w:r w:rsidR="000C20DD" w:rsidRPr="00AC13E7">
        <w:rPr>
          <w:b/>
        </w:rPr>
        <w:t>Suppl. Fig. 3b</w:t>
      </w:r>
      <w:r w:rsidRPr="00AC13E7">
        <w:t>). This confirms that a high proportion of melanoma metastas</w:t>
      </w:r>
      <w:r w:rsidR="00755CDB" w:rsidRPr="00AC13E7">
        <w:t>e</w:t>
      </w:r>
      <w:r w:rsidRPr="00AC13E7">
        <w:t>s contain less subclonal signal, although it cannot be excluded that small subclones have been missed due to SNV</w:t>
      </w:r>
      <w:r w:rsidR="0088541A" w:rsidRPr="00AC13E7">
        <w:t xml:space="preserve"> falling below detection limits.</w:t>
      </w:r>
    </w:p>
    <w:p w14:paraId="2DDA7641" w14:textId="530347B4" w:rsidR="00CB0B2F" w:rsidRPr="00AC13E7" w:rsidRDefault="00CB0B2F" w:rsidP="0092409A">
      <w:pPr>
        <w:jc w:val="both"/>
      </w:pPr>
    </w:p>
    <w:p w14:paraId="2BAE80D5" w14:textId="77777777" w:rsidR="00427C34" w:rsidRPr="00AC13E7" w:rsidRDefault="00427C34" w:rsidP="0092409A">
      <w:pPr>
        <w:jc w:val="both"/>
        <w:rPr>
          <w:rFonts w:eastAsia="Times"/>
          <w:b/>
          <w:color w:val="000000"/>
          <w:sz w:val="48"/>
          <w:szCs w:val="48"/>
        </w:rPr>
      </w:pPr>
    </w:p>
    <w:p w14:paraId="5C4F36ED" w14:textId="6E1B7167" w:rsidR="0057073A" w:rsidRPr="00AC13E7" w:rsidRDefault="004D729A" w:rsidP="0057073A">
      <w:pPr>
        <w:pStyle w:val="Heading1"/>
        <w:rPr>
          <w:rFonts w:ascii="Times New Roman" w:hAnsi="Times New Roman" w:cs="Times New Roman"/>
          <w:lang w:val="en-GB"/>
        </w:rPr>
      </w:pPr>
      <w:bookmarkStart w:id="272" w:name="_Toc391905049"/>
      <w:r w:rsidRPr="00AC13E7">
        <w:rPr>
          <w:rFonts w:ascii="Times New Roman" w:hAnsi="Times New Roman" w:cs="Times New Roman"/>
          <w:lang w:val="en-GB"/>
        </w:rPr>
        <w:lastRenderedPageBreak/>
        <w:t>6</w:t>
      </w:r>
      <w:r w:rsidR="0057073A" w:rsidRPr="00AC13E7">
        <w:rPr>
          <w:rFonts w:ascii="Times New Roman" w:hAnsi="Times New Roman" w:cs="Times New Roman"/>
          <w:lang w:val="en-GB"/>
        </w:rPr>
        <w:t>. Analysis of drivers in clinically targetable genes</w:t>
      </w:r>
      <w:bookmarkEnd w:id="265"/>
      <w:bookmarkEnd w:id="266"/>
      <w:bookmarkEnd w:id="272"/>
      <w:r w:rsidR="0057073A" w:rsidRPr="00AC13E7">
        <w:rPr>
          <w:rFonts w:ascii="Times New Roman" w:hAnsi="Times New Roman" w:cs="Times New Roman"/>
          <w:lang w:val="en-GB"/>
        </w:rPr>
        <w:t xml:space="preserve"> </w:t>
      </w:r>
    </w:p>
    <w:p w14:paraId="75D643A7" w14:textId="77777777" w:rsidR="009800F9" w:rsidRPr="00AC13E7" w:rsidRDefault="009800F9" w:rsidP="009800F9">
      <w:pPr>
        <w:jc w:val="both"/>
      </w:pPr>
      <w:r w:rsidRPr="00AC13E7">
        <w:t>Stefan Dentro, David Wedge</w:t>
      </w:r>
    </w:p>
    <w:p w14:paraId="0905752B" w14:textId="77777777" w:rsidR="00955B28" w:rsidRPr="00AC13E7" w:rsidRDefault="00955B28" w:rsidP="008B6240">
      <w:pPr>
        <w:jc w:val="both"/>
      </w:pPr>
    </w:p>
    <w:p w14:paraId="1FAF7C1A" w14:textId="2D001DD7" w:rsidR="00325D3B" w:rsidRPr="00AC13E7" w:rsidRDefault="00325D3B" w:rsidP="00D86E26">
      <w:pPr>
        <w:jc w:val="both"/>
      </w:pPr>
      <w:r w:rsidRPr="00AC13E7">
        <w:t>To assess the potential clinical relevance of subclonal architecture inference, we considered driver mutations (SNVs and indels) in genes and pathways for which drugs have been developed or are currently in development. This allows us to estimate frequency of cases in which the only currently actionable mutation is subclonal. A list of targetable drivers was provided by the PCAWG driver group</w:t>
      </w:r>
      <w:r w:rsidRPr="00AC13E7">
        <w:fldChar w:fldCharType="begin"/>
      </w:r>
      <w:r w:rsidR="00D86E26">
        <w:instrText xml:space="preserve"> ADDIN EN.CITE &lt;EndNote&gt;&lt;Cite&gt;&lt;Author&gt;Sabarinathan&lt;/Author&gt;&lt;Year&gt;2017&lt;/Year&gt;&lt;RecNum&gt;44&lt;/RecNum&gt;&lt;DisplayText&gt;&lt;style face="superscript"&gt;3&lt;/style&gt;&lt;/DisplayText&gt;&lt;record&gt;&lt;rec-number&gt;44&lt;/rec-number&gt;&lt;foreign-keys&gt;&lt;key app="EN" db-id="swsz0f55g50w9yex0aqvtfdxarrpzt5z00pd" timestamp="1511194572"&gt;44&lt;/key&gt;&lt;/foreign-keys&gt;&lt;ref-type name="Journal Article"&gt;17&lt;/ref-type&gt;&lt;contributors&gt;&lt;authors&gt;&lt;author&gt;Sabarinathan, Radhakrishnan&lt;/author&gt;&lt;author&gt;Pich, Oriol&lt;/author&gt;&lt;author&gt;Martincorena, Inigo&lt;/author&gt;&lt;author&gt;Rubio-Perez, Carlota&lt;/author&gt;&lt;author&gt;Juul, Malene&lt;/author&gt;&lt;author&gt;Wala, Jeremiah&lt;/author&gt;&lt;author&gt;Schumacher, Steven&lt;/author&gt;&lt;author&gt;Shapira, Ofer&lt;/author&gt;&lt;author&gt;Sidiropoulos, Nikos&lt;/author&gt;&lt;author&gt;Waszak, Sebastian&lt;/author&gt;&lt;author&gt;Tamborero, David&lt;/author&gt;&lt;author&gt;Mularoni, Loris&lt;/author&gt;&lt;author&gt;Rheinbay, Esther&lt;/author&gt;&lt;author&gt;Hornshoj, Henrik&lt;/author&gt;&lt;author&gt;Deu-Pons, Jordi&lt;/author&gt;&lt;author&gt;Muinos, Ferran&lt;/author&gt;&lt;author&gt;Bertl, Johanna&lt;/author&gt;&lt;author&gt;Guo, Qianyun&lt;/author&gt;&lt;author&gt;Weischenfeldt, Joachim&lt;/author&gt;&lt;author&gt;Korbel, Jan O&lt;/author&gt;&lt;author&gt;Getz, Gad&lt;/author&gt;&lt;author&gt;Campbell, Peter J&lt;/author&gt;&lt;author&gt;Pedersen, Jakob S&lt;/author&gt;&lt;author&gt;Beroukhim, Rameen&lt;/author&gt;&lt;author&gt;Perez-Gonzalez, Abel&lt;/author&gt;&lt;author&gt;Lopez-Bigas, Nuria&lt;/author&gt;&lt;/authors&gt;&lt;/contributors&gt;&lt;titles&gt;&lt;title&gt;The whole-genome panorama of cancer drivers&lt;/title&gt;&lt;secondary-title&gt;bioRxiv&lt;/secondary-title&gt;&lt;/titles&gt;&lt;periodical&gt;&lt;full-title&gt;bioRxiv&lt;/full-title&gt;&lt;/periodical&gt;&lt;dates&gt;&lt;year&gt;2017&lt;/year&gt;&lt;/dates&gt;&lt;urls&gt;&lt;/urls&gt;&lt;electronic-resource-num&gt;10.1101/190330&lt;/electronic-resource-num&gt;&lt;/record&gt;&lt;/Cite&gt;&lt;/EndNote&gt;</w:instrText>
      </w:r>
      <w:r w:rsidRPr="00AC13E7">
        <w:fldChar w:fldCharType="separate"/>
      </w:r>
      <w:r w:rsidR="00CE1CA5" w:rsidRPr="00CE1CA5">
        <w:rPr>
          <w:noProof/>
          <w:vertAlign w:val="superscript"/>
        </w:rPr>
        <w:t>3</w:t>
      </w:r>
      <w:r w:rsidRPr="00AC13E7">
        <w:fldChar w:fldCharType="end"/>
      </w:r>
      <w:r w:rsidRPr="00AC13E7">
        <w:t>. In this analysis we excluded the relapse tumours and all metastases except for the melanomas. For multi-sample cases, we only considered the PCAWG provided preferred sample for each donor.</w:t>
      </w:r>
    </w:p>
    <w:p w14:paraId="67865EBB" w14:textId="77777777" w:rsidR="000637D3" w:rsidRPr="00AC13E7" w:rsidRDefault="000637D3" w:rsidP="008B6240">
      <w:pPr>
        <w:jc w:val="both"/>
      </w:pPr>
    </w:p>
    <w:p w14:paraId="28ED11C3" w14:textId="3E767E88" w:rsidR="000637D3" w:rsidRPr="00AC13E7" w:rsidRDefault="000637D3" w:rsidP="00214F42">
      <w:pPr>
        <w:jc w:val="both"/>
      </w:pPr>
      <w:r w:rsidRPr="00AC13E7">
        <w:t>Our consensus subclonal architecture approach produces probabilistic cluster assignments for each mutation. The procedure also identifie</w:t>
      </w:r>
      <w:r w:rsidR="00325D3B" w:rsidRPr="00AC13E7">
        <w:t>s</w:t>
      </w:r>
      <w:r w:rsidRPr="00AC13E7">
        <w:t xml:space="preserve"> a mutation cluster as clonal (CCF of 1), </w:t>
      </w:r>
      <w:r w:rsidR="00325D3B" w:rsidRPr="00AC13E7">
        <w:t>allowing</w:t>
      </w:r>
      <w:r w:rsidRPr="00AC13E7">
        <w:t xml:space="preserve"> </w:t>
      </w:r>
      <w:r w:rsidR="007E1719" w:rsidRPr="00AC13E7">
        <w:t xml:space="preserve">us to </w:t>
      </w:r>
      <w:r w:rsidRPr="00AC13E7">
        <w:t>establish the probabilit</w:t>
      </w:r>
      <w:r w:rsidR="00325D3B" w:rsidRPr="00AC13E7">
        <w:t>y</w:t>
      </w:r>
      <w:r w:rsidRPr="00AC13E7">
        <w:t xml:space="preserve"> that </w:t>
      </w:r>
      <w:r w:rsidR="00325D3B" w:rsidRPr="00AC13E7">
        <w:t xml:space="preserve">a </w:t>
      </w:r>
      <w:r w:rsidRPr="00AC13E7">
        <w:t xml:space="preserve">mutation is clonal </w:t>
      </w:r>
      <w:r w:rsidR="00325D3B" w:rsidRPr="00AC13E7">
        <w:t xml:space="preserve">or </w:t>
      </w:r>
      <w:r w:rsidRPr="00AC13E7">
        <w:t>subclonal. The procedure for driver mutations or protein</w:t>
      </w:r>
      <w:r w:rsidR="005A6E43" w:rsidRPr="00AC13E7">
        <w:t>-</w:t>
      </w:r>
      <w:r w:rsidRPr="00AC13E7">
        <w:t xml:space="preserve">altering mutations is as follows: </w:t>
      </w:r>
      <w:r w:rsidR="004D16BF" w:rsidRPr="00AC13E7">
        <w:t>f</w:t>
      </w:r>
      <w:r w:rsidRPr="00AC13E7">
        <w:t>or each sample</w:t>
      </w:r>
      <w:r w:rsidR="007E1719" w:rsidRPr="00AC13E7">
        <w:t>,</w:t>
      </w:r>
      <w:r w:rsidRPr="00AC13E7">
        <w:t xml:space="preserve"> establish the probability that all </w:t>
      </w:r>
      <w:r w:rsidR="00072ECB" w:rsidRPr="00AC13E7">
        <w:t xml:space="preserve">such </w:t>
      </w:r>
      <w:r w:rsidRPr="00AC13E7">
        <w:t xml:space="preserve">mutations are clonal, </w:t>
      </w:r>
      <w:r w:rsidR="00A6583B" w:rsidRPr="00AC13E7">
        <w:t xml:space="preserve">that they </w:t>
      </w:r>
      <w:r w:rsidRPr="00AC13E7">
        <w:t>are subclonal</w:t>
      </w:r>
      <w:r w:rsidR="00AA0F46" w:rsidRPr="00AC13E7">
        <w:t>,</w:t>
      </w:r>
      <w:r w:rsidRPr="00AC13E7">
        <w:t xml:space="preserve"> and </w:t>
      </w:r>
      <w:r w:rsidR="00214F42" w:rsidRPr="00AC13E7">
        <w:t>that there is at least one pair where one is clonal and one is subclonal.</w:t>
      </w:r>
    </w:p>
    <w:p w14:paraId="29CF39E9" w14:textId="77777777" w:rsidR="000637D3" w:rsidRPr="00AC13E7" w:rsidRDefault="000637D3" w:rsidP="008B6240">
      <w:pPr>
        <w:jc w:val="both"/>
      </w:pPr>
    </w:p>
    <w:p w14:paraId="0DED71D8" w14:textId="6DE152A3" w:rsidR="000637D3" w:rsidRPr="00AC13E7" w:rsidRDefault="000637D3" w:rsidP="008B6240">
      <w:pPr>
        <w:jc w:val="both"/>
      </w:pPr>
      <w:r w:rsidRPr="00AC13E7">
        <w:t>The probability (</w:t>
      </w:r>
      <m:oMath>
        <m:r>
          <w:rPr>
            <w:rFonts w:ascii="Cambria Math" w:hAnsi="Cambria Math"/>
          </w:rPr>
          <m:t>p</m:t>
        </m:r>
      </m:oMath>
      <w:r w:rsidRPr="00AC13E7">
        <w:t xml:space="preserve">) of observing all </w:t>
      </w:r>
      <m:oMath>
        <m:r>
          <w:rPr>
            <w:rFonts w:ascii="Cambria Math" w:hAnsi="Cambria Math"/>
          </w:rPr>
          <m:t>n</m:t>
        </m:r>
      </m:oMath>
      <w:r w:rsidRPr="00AC13E7">
        <w:t xml:space="preserve"> </w:t>
      </w:r>
      <w:r w:rsidR="00635AA2" w:rsidRPr="00AC13E7">
        <w:t xml:space="preserve">such </w:t>
      </w:r>
      <w:r w:rsidRPr="00AC13E7">
        <w:t>mutations as clonal is:</w:t>
      </w:r>
    </w:p>
    <w:p w14:paraId="693528E8" w14:textId="5D25F909" w:rsidR="000637D3" w:rsidRPr="00AC13E7" w:rsidRDefault="0036299C" w:rsidP="000637D3">
      <m:oMathPara>
        <m:oMath>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p</m:t>
                  </m:r>
                </m:e>
                <m:sub>
                  <m:r>
                    <w:rPr>
                      <w:rFonts w:ascii="Cambria Math" w:hAnsi="Cambria Math"/>
                    </w:rPr>
                    <m:t>i,clonal</m:t>
                  </m:r>
                </m:sub>
              </m:sSub>
            </m:e>
          </m:nary>
        </m:oMath>
      </m:oMathPara>
    </w:p>
    <w:p w14:paraId="376F4A63" w14:textId="77777777" w:rsidR="000637D3" w:rsidRPr="00AC13E7" w:rsidRDefault="000637D3" w:rsidP="000637D3"/>
    <w:p w14:paraId="43858657" w14:textId="00DA7164" w:rsidR="000637D3" w:rsidRPr="00AC13E7" w:rsidRDefault="000637D3" w:rsidP="000637D3">
      <w:r w:rsidRPr="00AC13E7">
        <w:t>The probability of (</w:t>
      </w:r>
      <m:oMath>
        <m:r>
          <w:rPr>
            <w:rFonts w:ascii="Cambria Math" w:hAnsi="Cambria Math"/>
          </w:rPr>
          <m:t>p</m:t>
        </m:r>
      </m:oMath>
      <w:r w:rsidRPr="00AC13E7">
        <w:t xml:space="preserve">) of observing all </w:t>
      </w:r>
      <m:oMath>
        <m:r>
          <w:rPr>
            <w:rFonts w:ascii="Cambria Math" w:hAnsi="Cambria Math"/>
          </w:rPr>
          <m:t>n</m:t>
        </m:r>
      </m:oMath>
      <w:r w:rsidRPr="00AC13E7">
        <w:t xml:space="preserve"> mutations as subclonal is:</w:t>
      </w:r>
    </w:p>
    <w:p w14:paraId="747F914B" w14:textId="307E81EC" w:rsidR="000637D3" w:rsidRPr="00AC13E7" w:rsidRDefault="0036299C" w:rsidP="000637D3">
      <m:oMathPara>
        <m:oMath>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p</m:t>
                  </m:r>
                </m:e>
                <m:sub>
                  <m:r>
                    <w:rPr>
                      <w:rFonts w:ascii="Cambria Math" w:hAnsi="Cambria Math"/>
                    </w:rPr>
                    <m:t>i,subclonal</m:t>
                  </m:r>
                </m:sub>
              </m:sSub>
            </m:e>
          </m:nary>
        </m:oMath>
      </m:oMathPara>
    </w:p>
    <w:p w14:paraId="5CF5D458" w14:textId="77777777" w:rsidR="000637D3" w:rsidRPr="00AC13E7" w:rsidRDefault="000637D3" w:rsidP="000637D3"/>
    <w:p w14:paraId="5DE01599" w14:textId="77777777" w:rsidR="000637D3" w:rsidRPr="00AC13E7" w:rsidRDefault="000637D3" w:rsidP="000637D3">
      <w:r w:rsidRPr="00AC13E7">
        <w:t>Then the probability of observing at least one pair of mutations where one is clonal and one is subclonal is:</w:t>
      </w:r>
    </w:p>
    <w:p w14:paraId="78A9826B" w14:textId="31313213" w:rsidR="000637D3" w:rsidRPr="00AC13E7" w:rsidRDefault="0032764D" w:rsidP="000637D3">
      <m:oMathPara>
        <m:oMath>
          <m:r>
            <w:rPr>
              <w:rFonts w:ascii="Cambria Math" w:hAnsi="Cambria Math"/>
            </w:rPr>
            <m:t xml:space="preserve">1- </m:t>
          </m:r>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p</m:t>
                      </m:r>
                    </m:e>
                    <m:sub>
                      <m:r>
                        <w:rPr>
                          <w:rFonts w:ascii="Cambria Math" w:hAnsi="Cambria Math"/>
                        </w:rPr>
                        <m:t>i,clonal</m:t>
                      </m:r>
                    </m:sub>
                  </m:sSub>
                </m:e>
              </m:nary>
              <m:r>
                <w:rPr>
                  <w:rFonts w:ascii="Cambria Math" w:hAnsi="Cambria Math"/>
                </w:rPr>
                <m:t xml:space="preserve">+ </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p</m:t>
                      </m:r>
                    </m:e>
                    <m:sub>
                      <m:r>
                        <w:rPr>
                          <w:rFonts w:ascii="Cambria Math" w:hAnsi="Cambria Math"/>
                        </w:rPr>
                        <m:t>i,subclonal</m:t>
                      </m:r>
                    </m:sub>
                  </m:sSub>
                </m:e>
              </m:nary>
            </m:e>
          </m:d>
        </m:oMath>
      </m:oMathPara>
    </w:p>
    <w:p w14:paraId="19FD3C08" w14:textId="77777777" w:rsidR="000637D3" w:rsidRPr="00AC13E7" w:rsidRDefault="000637D3" w:rsidP="000637D3"/>
    <w:p w14:paraId="22F4CDCF" w14:textId="77777777" w:rsidR="000637D3" w:rsidRPr="00AC13E7" w:rsidRDefault="000637D3" w:rsidP="000637D3"/>
    <w:p w14:paraId="24883BF1" w14:textId="389A55F0" w:rsidR="000637D3" w:rsidRPr="00AC13E7" w:rsidRDefault="000637D3" w:rsidP="000637D3">
      <w:r w:rsidRPr="00AC13E7">
        <w:t xml:space="preserve">The three probabilities were summed to create the three classes shown in the figures: </w:t>
      </w:r>
      <w:r w:rsidR="007E1719" w:rsidRPr="00AC13E7">
        <w:rPr>
          <w:i/>
        </w:rPr>
        <w:t>C</w:t>
      </w:r>
      <w:r w:rsidRPr="00AC13E7">
        <w:rPr>
          <w:i/>
        </w:rPr>
        <w:t>lonal</w:t>
      </w:r>
      <w:r w:rsidRPr="00AC13E7">
        <w:t xml:space="preserve">, </w:t>
      </w:r>
      <w:r w:rsidR="007E1719" w:rsidRPr="00AC13E7">
        <w:rPr>
          <w:i/>
        </w:rPr>
        <w:t>S</w:t>
      </w:r>
      <w:r w:rsidRPr="00AC13E7">
        <w:rPr>
          <w:i/>
        </w:rPr>
        <w:t>ubclonal</w:t>
      </w:r>
      <w:r w:rsidRPr="00AC13E7">
        <w:t xml:space="preserve"> and </w:t>
      </w:r>
      <w:r w:rsidR="007E1719" w:rsidRPr="00AC13E7">
        <w:rPr>
          <w:i/>
        </w:rPr>
        <w:t>B</w:t>
      </w:r>
      <w:r w:rsidRPr="00AC13E7">
        <w:rPr>
          <w:i/>
        </w:rPr>
        <w:t>oth</w:t>
      </w:r>
      <w:r w:rsidRPr="00AC13E7">
        <w:t>.</w:t>
      </w:r>
    </w:p>
    <w:p w14:paraId="197059CE" w14:textId="3BD5BC2A" w:rsidR="00623F1C" w:rsidRPr="00AC13E7" w:rsidRDefault="00623F1C">
      <w:r w:rsidRPr="00AC13E7">
        <w:br w:type="page"/>
      </w:r>
    </w:p>
    <w:p w14:paraId="512B7441" w14:textId="6F06F35B" w:rsidR="00623F1C" w:rsidRPr="00AC13E7" w:rsidRDefault="00E62029" w:rsidP="00E62029">
      <w:pPr>
        <w:pStyle w:val="Heading1"/>
        <w:rPr>
          <w:rFonts w:ascii="Times New Roman" w:hAnsi="Times New Roman" w:cs="Times New Roman"/>
          <w:lang w:val="en-GB"/>
        </w:rPr>
      </w:pPr>
      <w:bookmarkStart w:id="273" w:name="_Toc391905050"/>
      <w:r w:rsidRPr="00AC13E7">
        <w:rPr>
          <w:rFonts w:ascii="Times New Roman" w:hAnsi="Times New Roman" w:cs="Times New Roman"/>
          <w:lang w:val="en-GB"/>
        </w:rPr>
        <w:lastRenderedPageBreak/>
        <w:t xml:space="preserve">7. </w:t>
      </w:r>
      <w:r w:rsidR="00623F1C" w:rsidRPr="00AC13E7">
        <w:rPr>
          <w:rFonts w:ascii="Times New Roman" w:hAnsi="Times New Roman" w:cs="Times New Roman"/>
          <w:lang w:val="en-GB"/>
        </w:rPr>
        <w:t>SV analysis a</w:t>
      </w:r>
      <w:r w:rsidR="008D5498" w:rsidRPr="00AC13E7">
        <w:rPr>
          <w:rFonts w:ascii="Times New Roman" w:hAnsi="Times New Roman" w:cs="Times New Roman"/>
          <w:lang w:val="en-GB"/>
        </w:rPr>
        <w:t>nd f</w:t>
      </w:r>
      <w:r w:rsidR="00623F1C" w:rsidRPr="00AC13E7">
        <w:rPr>
          <w:rFonts w:ascii="Times New Roman" w:hAnsi="Times New Roman" w:cs="Times New Roman"/>
          <w:lang w:val="en-GB"/>
        </w:rPr>
        <w:t>usion clonality detection</w:t>
      </w:r>
      <w:bookmarkEnd w:id="273"/>
    </w:p>
    <w:p w14:paraId="61EF7BDB" w14:textId="77777777" w:rsidR="008D5498" w:rsidRPr="00AC13E7" w:rsidRDefault="00745A72" w:rsidP="008D5498">
      <w:pPr>
        <w:pStyle w:val="Heading2"/>
        <w:spacing w:before="320" w:after="80" w:line="276" w:lineRule="auto"/>
        <w:rPr>
          <w:bCs/>
          <w:lang w:val="en-GB"/>
        </w:rPr>
      </w:pPr>
      <w:bookmarkStart w:id="274" w:name="_Toc391905051"/>
      <w:r w:rsidRPr="00AC13E7">
        <w:rPr>
          <w:rFonts w:ascii="Times New Roman" w:hAnsi="Times New Roman" w:cs="Times New Roman"/>
          <w:lang w:val="en-GB"/>
        </w:rPr>
        <w:t>7</w:t>
      </w:r>
      <w:r w:rsidR="00623F1C" w:rsidRPr="00AC13E7">
        <w:rPr>
          <w:rFonts w:ascii="Times New Roman" w:hAnsi="Times New Roman" w:cs="Times New Roman"/>
          <w:lang w:val="en-GB"/>
        </w:rPr>
        <w:t xml:space="preserve">.1 </w:t>
      </w:r>
      <w:r w:rsidR="008D5498" w:rsidRPr="00AC13E7">
        <w:rPr>
          <w:lang w:val="en-GB"/>
        </w:rPr>
        <w:t>Clonality analysis of recurrent structural variants</w:t>
      </w:r>
      <w:bookmarkEnd w:id="274"/>
    </w:p>
    <w:p w14:paraId="3B6F7286" w14:textId="77777777" w:rsidR="008D5498" w:rsidRPr="00AC13E7" w:rsidRDefault="008D5498" w:rsidP="008D5498">
      <w:pPr>
        <w:jc w:val="both"/>
        <w:outlineLvl w:val="0"/>
      </w:pPr>
      <w:r w:rsidRPr="00AC13E7">
        <w:t>Geoff Macintyre, Ruben Drews, Florian Markowetz</w:t>
      </w:r>
    </w:p>
    <w:p w14:paraId="3D896316" w14:textId="77777777" w:rsidR="008D5498" w:rsidRPr="00AC13E7" w:rsidRDefault="008D5498" w:rsidP="008D5498">
      <w:pPr>
        <w:rPr>
          <w:b/>
        </w:rPr>
      </w:pPr>
    </w:p>
    <w:p w14:paraId="5AAB05C1" w14:textId="36622525" w:rsidR="008D5498" w:rsidRPr="00AC13E7" w:rsidRDefault="008D5498" w:rsidP="00D86E26">
      <w:pPr>
        <w:jc w:val="both"/>
      </w:pPr>
      <w:r w:rsidRPr="00AC13E7">
        <w:t>The PCAWG Structural Variation Working Group identified 52 genomic regions containing significantly recurrent breakpoints (SRBs) and significantly recurrently juxtaposed regions (SRJs)</w:t>
      </w:r>
      <w:r w:rsidR="00F721AE" w:rsidRPr="00AC13E7">
        <w:fldChar w:fldCharType="begin"/>
      </w:r>
      <w:r w:rsidR="00D86E26">
        <w:instrText xml:space="preserve"> ADDIN EN.CITE &lt;EndNote&gt;&lt;Cite&gt;&lt;Author&gt;Wala&lt;/Author&gt;&lt;Year&gt;2017&lt;/Year&gt;&lt;RecNum&gt;59&lt;/RecNum&gt;&lt;DisplayText&gt;&lt;style face="superscript"&gt;56&lt;/style&gt;&lt;/DisplayText&gt;&lt;record&gt;&lt;rec-number&gt;59&lt;/rec-number&gt;&lt;foreign-keys&gt;&lt;key app="EN" db-id="xtaw29xt0drav5efdsppfrerarrd9tf9dfxd" timestamp="1522144646"&gt;59&lt;/key&gt;&lt;/foreign-keys&gt;&lt;ref-type name="Journal Article"&gt;17&lt;/ref-type&gt;&lt;contributors&gt;&lt;authors&gt;&lt;author&gt;Wala, Jeremiah Anthony&lt;/author&gt;&lt;author&gt;Shapira, Ofer&lt;/author&gt;&lt;author&gt;Li, Yilong&lt;/author&gt;&lt;author&gt;Craft, David&lt;/author&gt;&lt;author&gt;Schumacher, Steven E.&lt;/author&gt;&lt;author&gt;Imielinski, Marcin&lt;/author&gt;&lt;author&gt;Haber, James E.&lt;/author&gt;&lt;author&gt;Roberts, Nicola&lt;/author&gt;&lt;author&gt;Yao, Xiaotong&lt;/author&gt;&lt;author&gt;Stewart, Chip&lt;/author&gt;&lt;author&gt;Zhang, Cheng-Zhong&lt;/author&gt;&lt;author&gt;Tubio, Jose&lt;/author&gt;&lt;author&gt;Ju, Young Seok&lt;/author&gt;&lt;author&gt;Campbell, Peter&lt;/author&gt;&lt;author&gt;Weischenfeldt, Joachim&lt;/author&gt;&lt;author&gt;Beroukhim, Rameen&lt;/author&gt;&lt;/authors&gt;&lt;/contributors&gt;&lt;titles&gt;&lt;title&gt;Selective and mechanistic sources of recurrent rearrangements across the cancer genome&lt;/title&gt;&lt;secondary-title&gt;bioRxiv&lt;/secondary-title&gt;&lt;/titles&gt;&lt;periodical&gt;&lt;full-title&gt;bioRxiv&lt;/full-title&gt;&lt;/periodical&gt;&lt;dates&gt;&lt;year&gt;2017&lt;/year&gt;&lt;/dates&gt;&lt;urls&gt;&lt;related-urls&gt;&lt;url&gt;https://www.biorxiv.org/content/biorxiv/early/2017/09/14/187609.full.pdf&lt;/url&gt;&lt;/related-urls&gt;&lt;/urls&gt;&lt;electronic-resource-num&gt;10.1101/187609&lt;/electronic-resource-num&gt;&lt;/record&gt;&lt;/Cite&gt;&lt;/EndNote&gt;</w:instrText>
      </w:r>
      <w:r w:rsidR="00F721AE" w:rsidRPr="00AC13E7">
        <w:fldChar w:fldCharType="separate"/>
      </w:r>
      <w:r w:rsidR="00D86E26" w:rsidRPr="00D86E26">
        <w:rPr>
          <w:noProof/>
          <w:vertAlign w:val="superscript"/>
        </w:rPr>
        <w:t>56</w:t>
      </w:r>
      <w:r w:rsidR="00F721AE" w:rsidRPr="00AC13E7">
        <w:fldChar w:fldCharType="end"/>
      </w:r>
      <w:r w:rsidR="00F721AE" w:rsidRPr="00AC13E7">
        <w:t xml:space="preserve">. </w:t>
      </w:r>
      <w:r w:rsidRPr="00AC13E7">
        <w:t xml:space="preserve">As SRJs were mostly observed in small numbers of patients across individual tumour types, we focussed our analysis here on SRBs, which were observed in larger numbers of patients across multiple tumour types. </w:t>
      </w:r>
    </w:p>
    <w:p w14:paraId="6E0890E1" w14:textId="77777777" w:rsidR="008D5498" w:rsidRPr="00AC13E7" w:rsidRDefault="008D5498" w:rsidP="008D5498">
      <w:pPr>
        <w:jc w:val="both"/>
      </w:pPr>
    </w:p>
    <w:p w14:paraId="59AB0AC9" w14:textId="5EC0C252" w:rsidR="008D5498" w:rsidRPr="00AC13E7" w:rsidRDefault="008D5498" w:rsidP="00D86E26">
      <w:pPr>
        <w:jc w:val="both"/>
      </w:pPr>
      <w:r w:rsidRPr="00AC13E7">
        <w:t>Regions of SRBs ranged in size from 451 kb up to 5,651 kb (mean: 739 kb; median: 501 kb). 20 of the regions were enriched for amplifications, 9 for deletions, 9 for fusion events, and 5 for neutral rearrangements. Another 9 regions were characterised by general genomic instability and were therefore labelled “fragile”</w:t>
      </w:r>
      <w:r w:rsidR="00DE246D" w:rsidRPr="00AC13E7">
        <w:fldChar w:fldCharType="begin"/>
      </w:r>
      <w:r w:rsidR="00D86E26">
        <w:instrText xml:space="preserve"> ADDIN EN.CITE &lt;EndNote&gt;&lt;Cite&gt;&lt;Author&gt;Wala&lt;/Author&gt;&lt;Year&gt;2017&lt;/Year&gt;&lt;RecNum&gt;59&lt;/RecNum&gt;&lt;DisplayText&gt;&lt;style face="superscript"&gt;56&lt;/style&gt;&lt;/DisplayText&gt;&lt;record&gt;&lt;rec-number&gt;59&lt;/rec-number&gt;&lt;foreign-keys&gt;&lt;key app="EN" db-id="xtaw29xt0drav5efdsppfrerarrd9tf9dfxd" timestamp="1522144646"&gt;59&lt;/key&gt;&lt;/foreign-keys&gt;&lt;ref-type name="Journal Article"&gt;17&lt;/ref-type&gt;&lt;contributors&gt;&lt;authors&gt;&lt;author&gt;Wala, Jeremiah Anthony&lt;/author&gt;&lt;author&gt;Shapira, Ofer&lt;/author&gt;&lt;author&gt;Li, Yilong&lt;/author&gt;&lt;author&gt;Craft, David&lt;/author&gt;&lt;author&gt;Schumacher, Steven E.&lt;/author&gt;&lt;author&gt;Imielinski, Marcin&lt;/author&gt;&lt;author&gt;Haber, James E.&lt;/author&gt;&lt;author&gt;Roberts, Nicola&lt;/author&gt;&lt;author&gt;Yao, Xiaotong&lt;/author&gt;&lt;author&gt;Stewart, Chip&lt;/author&gt;&lt;author&gt;Zhang, Cheng-Zhong&lt;/author&gt;&lt;author&gt;Tubio, Jose&lt;/author&gt;&lt;author&gt;Ju, Young Seok&lt;/author&gt;&lt;author&gt;Campbell, Peter&lt;/author&gt;&lt;author&gt;Weischenfeldt, Joachim&lt;/author&gt;&lt;author&gt;Beroukhim, Rameen&lt;/author&gt;&lt;/authors&gt;&lt;/contributors&gt;&lt;titles&gt;&lt;title&gt;Selective and mechanistic sources of recurrent rearrangements across the cancer genome&lt;/title&gt;&lt;secondary-title&gt;bioRxiv&lt;/secondary-title&gt;&lt;/titles&gt;&lt;periodical&gt;&lt;full-title&gt;bioRxiv&lt;/full-title&gt;&lt;/periodical&gt;&lt;dates&gt;&lt;year&gt;2017&lt;/year&gt;&lt;/dates&gt;&lt;urls&gt;&lt;related-urls&gt;&lt;url&gt;https://www.biorxiv.org/content/biorxiv/early/2017/09/14/187609.full.pdf&lt;/url&gt;&lt;/related-urls&gt;&lt;/urls&gt;&lt;electronic-resource-num&gt;10.1101/187609&lt;/electronic-resource-num&gt;&lt;/record&gt;&lt;/Cite&gt;&lt;/EndNote&gt;</w:instrText>
      </w:r>
      <w:r w:rsidR="00DE246D" w:rsidRPr="00AC13E7">
        <w:fldChar w:fldCharType="separate"/>
      </w:r>
      <w:r w:rsidR="00D86E26" w:rsidRPr="00D86E26">
        <w:rPr>
          <w:noProof/>
          <w:vertAlign w:val="superscript"/>
        </w:rPr>
        <w:t>56</w:t>
      </w:r>
      <w:r w:rsidR="00DE246D" w:rsidRPr="00AC13E7">
        <w:fldChar w:fldCharType="end"/>
      </w:r>
      <w:r w:rsidR="00DE246D" w:rsidRPr="00AC13E7">
        <w:t>.</w:t>
      </w:r>
    </w:p>
    <w:p w14:paraId="11C9B563" w14:textId="04A2DF53" w:rsidR="008D5498" w:rsidRPr="00AC13E7" w:rsidRDefault="008D5498" w:rsidP="008D5498">
      <w:pPr>
        <w:jc w:val="both"/>
      </w:pPr>
      <w:r w:rsidRPr="00AC13E7">
        <w:t xml:space="preserve">SVs in fragile sites were considered candidate passengers rather than candidate driver events as they most likely arose due to genomic instability. To test this, we compared the difference in means of the number of subclonal SVs observed in fragile and the non-fragile loci with a Wilcoxon rank sum test. With a p-value of 0.024, we confirmed an enrichment of subclonal SRBs in fragile </w:t>
      </w:r>
      <w:r w:rsidR="00650D3D" w:rsidRPr="00AC13E7">
        <w:t>loci, which</w:t>
      </w:r>
      <w:r w:rsidRPr="00AC13E7">
        <w:t xml:space="preserve"> supports the model that SRBs in fragile sites are indeed likely </w:t>
      </w:r>
      <w:r w:rsidR="000E7E55" w:rsidRPr="00AC13E7">
        <w:t>passenger</w:t>
      </w:r>
      <w:r w:rsidRPr="00AC13E7">
        <w:t xml:space="preserve"> events (</w:t>
      </w:r>
      <w:r w:rsidRPr="00AC13E7">
        <w:fldChar w:fldCharType="begin"/>
      </w:r>
      <w:r w:rsidRPr="00AC13E7">
        <w:instrText xml:space="preserve"> REF _Ref383785376 \h </w:instrText>
      </w:r>
      <w:r w:rsidRPr="00AC13E7">
        <w:fldChar w:fldCharType="separate"/>
      </w:r>
      <w:r w:rsidR="00673FBD" w:rsidRPr="00AC13E7">
        <w:t xml:space="preserve">Fig. </w:t>
      </w:r>
      <w:r w:rsidR="00673FBD">
        <w:rPr>
          <w:noProof/>
        </w:rPr>
        <w:t>40</w:t>
      </w:r>
      <w:r w:rsidRPr="00AC13E7">
        <w:fldChar w:fldCharType="end"/>
      </w:r>
      <w:r w:rsidRPr="00AC13E7">
        <w:t xml:space="preserve">). Hence, fragile SRB loci were excluded from our analysis. </w:t>
      </w:r>
    </w:p>
    <w:p w14:paraId="02404DD1" w14:textId="77777777" w:rsidR="008D5498" w:rsidRPr="00AC13E7" w:rsidRDefault="008D5498" w:rsidP="008D5498">
      <w:pPr>
        <w:jc w:val="both"/>
      </w:pPr>
    </w:p>
    <w:p w14:paraId="10EF9E41" w14:textId="77777777" w:rsidR="008D5498" w:rsidRPr="00AC13E7" w:rsidRDefault="008D5498" w:rsidP="008D5498">
      <w:pPr>
        <w:keepNext/>
        <w:jc w:val="center"/>
      </w:pPr>
      <w:r w:rsidRPr="00AC13E7">
        <w:rPr>
          <w:noProof/>
          <w:lang w:eastAsia="en-GB"/>
        </w:rPr>
        <w:drawing>
          <wp:inline distT="0" distB="0" distL="0" distR="0" wp14:anchorId="5AF2CDAA" wp14:editId="2FC8EA0C">
            <wp:extent cx="2313543" cy="231354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uppmethodsfigure_1a.pdf"/>
                    <pic:cNvPicPr/>
                  </pic:nvPicPr>
                  <pic:blipFill>
                    <a:blip r:embed="rId53"/>
                    <a:stretch>
                      <a:fillRect/>
                    </a:stretch>
                  </pic:blipFill>
                  <pic:spPr>
                    <a:xfrm>
                      <a:off x="0" y="0"/>
                      <a:ext cx="2317308" cy="2317308"/>
                    </a:xfrm>
                    <a:prstGeom prst="rect">
                      <a:avLst/>
                    </a:prstGeom>
                  </pic:spPr>
                </pic:pic>
              </a:graphicData>
            </a:graphic>
          </wp:inline>
        </w:drawing>
      </w:r>
    </w:p>
    <w:p w14:paraId="57242802" w14:textId="3F1EC932" w:rsidR="008D5498" w:rsidRPr="00AC13E7" w:rsidRDefault="008D5498" w:rsidP="004916C9">
      <w:pPr>
        <w:pStyle w:val="Caption"/>
      </w:pPr>
      <w:bookmarkStart w:id="275" w:name="_Ref383785376"/>
      <w:bookmarkStart w:id="276" w:name="_Toc384459613"/>
      <w:r w:rsidRPr="00AC13E7">
        <w:t xml:space="preserve">Fig. </w:t>
      </w:r>
      <w:r w:rsidR="001003E9">
        <w:fldChar w:fldCharType="begin"/>
      </w:r>
      <w:r w:rsidR="001003E9">
        <w:instrText xml:space="preserve"> SEQ Fig. \* ARABIC </w:instrText>
      </w:r>
      <w:r w:rsidR="001003E9">
        <w:fldChar w:fldCharType="separate"/>
      </w:r>
      <w:r w:rsidR="00673FBD">
        <w:rPr>
          <w:noProof/>
        </w:rPr>
        <w:t>40</w:t>
      </w:r>
      <w:r w:rsidR="001003E9">
        <w:rPr>
          <w:noProof/>
        </w:rPr>
        <w:fldChar w:fldCharType="end"/>
      </w:r>
      <w:bookmarkEnd w:id="275"/>
      <w:r w:rsidRPr="00AC13E7">
        <w:t xml:space="preserve"> Comparison of the number of subclonal SVs observed in SRB loci annotated as fragile or non-fragile. * represents a significant difference (p&lt;0.05) using the Wilcoxon rank sum test.</w:t>
      </w:r>
      <w:bookmarkEnd w:id="276"/>
    </w:p>
    <w:p w14:paraId="211FBFBA" w14:textId="4A306856" w:rsidR="008D5498" w:rsidRPr="00AC13E7" w:rsidRDefault="008D5498" w:rsidP="008D5498">
      <w:pPr>
        <w:jc w:val="both"/>
      </w:pPr>
      <w:r w:rsidRPr="00AC13E7">
        <w:t xml:space="preserve">The remaining 43 SRBs, covering 31,843 kb of the human genome, were used to determine which SVs were recurrent, and thus considered candidate driver SVs, and which were not recurrent, therefore considered candidate passenger SVs. For simplicity, SRBs were labelled by the name of the likely target gene lying within the SRB. Note: this did not imply that this particular gene was mutated or altered in any way. A minimum overlap of at least 1bp with an SV was required. A SV having both </w:t>
      </w:r>
      <w:r w:rsidRPr="00AC13E7">
        <w:lastRenderedPageBreak/>
        <w:t>breakpoints inside a SRB was counted as one hit. An SV with one breakpoint outside and one inside was also considered as one hit for this particular SRB and the breakpoint outside was not used.</w:t>
      </w:r>
    </w:p>
    <w:p w14:paraId="5A0B04BB" w14:textId="77777777" w:rsidR="008D5498" w:rsidRPr="00AC13E7" w:rsidRDefault="008D5498" w:rsidP="008D5498">
      <w:pPr>
        <w:jc w:val="both"/>
      </w:pPr>
    </w:p>
    <w:p w14:paraId="73C162AE" w14:textId="77777777" w:rsidR="008D5498" w:rsidRPr="00AC13E7" w:rsidRDefault="008D5498" w:rsidP="008D5498">
      <w:pPr>
        <w:jc w:val="both"/>
      </w:pPr>
      <w:r w:rsidRPr="00AC13E7">
        <w:t>From 2,658 samples originating from 37 cancer histotypes, we filtered samples using the following criteria: samples classified as greylisted or excluded (75 samples)</w:t>
      </w:r>
      <w:r w:rsidRPr="00AC13E7">
        <w:rPr>
          <w:color w:val="FF0000"/>
        </w:rPr>
        <w:t xml:space="preserve"> </w:t>
      </w:r>
      <w:r w:rsidRPr="00AC13E7">
        <w:t xml:space="preserve">were excluded from analysis. For patients with multiple specimens, the preferred sample was chosen as determined by the latest PCAWG metadata file (36 samples excluded). Samples with NRPCC (number of reads per chromosome copy) values of less than 10 were excluded as they showed a strong bias towards clonal SVs. Within each of the 36 tumour histotypes, samples having total SV counts more than two standard deviations from the mean were considered “mutator phenotypes” and excluded from further analysis (77 samples). Cancer types with less than 10 patients were also excluded (8). The final filtered set of SVs contained 129,219 SVs from 28 tumour histotypes originating from 1,517 patients. </w:t>
      </w:r>
    </w:p>
    <w:p w14:paraId="5CF3AADD" w14:textId="77777777" w:rsidR="008D5498" w:rsidRPr="00AC13E7" w:rsidRDefault="008D5498" w:rsidP="008D5498">
      <w:pPr>
        <w:jc w:val="both"/>
      </w:pPr>
    </w:p>
    <w:p w14:paraId="0AEED1A8" w14:textId="77777777" w:rsidR="008D5498" w:rsidRPr="00AC13E7" w:rsidRDefault="008D5498" w:rsidP="008D5498">
      <w:pPr>
        <w:jc w:val="both"/>
        <w:rPr>
          <w:b/>
          <w:bCs/>
          <w:sz w:val="36"/>
          <w:szCs w:val="36"/>
        </w:rPr>
      </w:pPr>
      <w:r w:rsidRPr="00AC13E7">
        <w:rPr>
          <w:b/>
        </w:rPr>
        <w:t>Testing for differences in SRB and passenger SV clonality</w:t>
      </w:r>
    </w:p>
    <w:p w14:paraId="06EDC6B1" w14:textId="04FC565E" w:rsidR="008D5498" w:rsidRPr="00AC13E7" w:rsidRDefault="008D5498" w:rsidP="00D86E26">
      <w:pPr>
        <w:jc w:val="both"/>
      </w:pPr>
      <w:r w:rsidRPr="00AC13E7">
        <w:t xml:space="preserve">We hypothesised that candidate driver SVs differed in their subclonal probability compared to passenger SVs. We used 1 - the probability of an SV being clonal as output by </w:t>
      </w:r>
      <w:r w:rsidRPr="00AC13E7">
        <w:rPr>
          <w:i/>
          <w:iCs/>
        </w:rPr>
        <w:t>mutationTimer</w:t>
      </w:r>
      <w:r w:rsidR="00312D10" w:rsidRPr="00AC13E7">
        <w:rPr>
          <w:i/>
          <w:iCs/>
        </w:rPr>
        <w:fldChar w:fldCharType="begin">
          <w:fldData xml:space="preserve">PEVuZE5vdGU+PENpdGU+PEF1dGhvcj5HZXJzdHVuZzwvQXV0aG9yPjxZZWFyPjIwMTc8L1llYXI+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</w:fldData>
        </w:fldChar>
      </w:r>
      <w:r w:rsidR="00D86E26">
        <w:rPr>
          <w:i/>
          <w:iCs/>
        </w:rPr>
        <w:instrText xml:space="preserve"> ADDIN EN.CITE </w:instrText>
      </w:r>
      <w:r w:rsidR="00D86E26">
        <w:rPr>
          <w:i/>
          <w:iCs/>
        </w:rPr>
        <w:fldChar w:fldCharType="begin">
          <w:fldData xml:space="preserve">PEVuZE5vdGU+PENpdGU+PEF1dGhvcj5HZXJzdHVuZzwvQXV0aG9yPjxZZWFyPjIwMTc8L1llYXI+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</w:fldData>
        </w:fldChar>
      </w:r>
      <w:r w:rsidR="00D86E26">
        <w:rPr>
          <w:i/>
          <w:iCs/>
        </w:rPr>
        <w:instrText xml:space="preserve"> ADDIN EN.CITE.DATA </w:instrText>
      </w:r>
      <w:r w:rsidR="00D86E26">
        <w:rPr>
          <w:i/>
          <w:iCs/>
        </w:rPr>
      </w:r>
      <w:r w:rsidR="00D86E26">
        <w:rPr>
          <w:i/>
          <w:iCs/>
        </w:rPr>
        <w:fldChar w:fldCharType="end"/>
      </w:r>
      <w:r w:rsidR="00312D10" w:rsidRPr="00AC13E7">
        <w:rPr>
          <w:i/>
          <w:iCs/>
        </w:rPr>
      </w:r>
      <w:r w:rsidR="00312D10" w:rsidRPr="00AC13E7">
        <w:rPr>
          <w:i/>
          <w:iCs/>
        </w:rPr>
        <w:fldChar w:fldCharType="separate"/>
      </w:r>
      <w:r w:rsidR="00D86E26" w:rsidRPr="00D86E26">
        <w:rPr>
          <w:i/>
          <w:iCs/>
          <w:noProof/>
          <w:vertAlign w:val="superscript"/>
        </w:rPr>
        <w:t>5</w:t>
      </w:r>
      <w:r w:rsidR="00312D10" w:rsidRPr="00AC13E7">
        <w:rPr>
          <w:i/>
          <w:iCs/>
        </w:rPr>
        <w:fldChar w:fldCharType="end"/>
      </w:r>
      <w:r w:rsidR="00312D10" w:rsidRPr="00AC13E7">
        <w:t xml:space="preserve"> </w:t>
      </w:r>
      <w:r w:rsidRPr="00AC13E7">
        <w:t xml:space="preserve">for SVs preprocessed by </w:t>
      </w:r>
      <w:r w:rsidRPr="00AC13E7">
        <w:rPr>
          <w:i/>
          <w:iCs/>
        </w:rPr>
        <w:t>SVclone</w:t>
      </w:r>
      <w:r w:rsidR="002F1E56" w:rsidRPr="00AC13E7">
        <w:rPr>
          <w:i/>
          <w:iCs/>
        </w:rPr>
        <w:fldChar w:fldCharType="begin"/>
      </w:r>
      <w:r w:rsidR="00D86E26">
        <w:rPr>
          <w:i/>
          <w:iCs/>
        </w:rPr>
        <w:instrText xml:space="preserve"> ADDIN EN.CITE &lt;EndNote&gt;&lt;Cite&gt;&lt;Author&gt;Cmero&lt;/Author&gt;&lt;Year&gt;2017&lt;/Year&gt;&lt;RecNum&gt;41&lt;/RecNum&gt;&lt;DisplayText&gt;&lt;style face="superscript"&gt;41&lt;/style&gt;&lt;/DisplayText&gt;&lt;record&gt;&lt;rec-number&gt;41&lt;/rec-number&gt;&lt;foreign-keys&gt;&lt;key app="EN" db-id="swsz0f55g50w9yex0aqvtfdxarrpzt5z00pd" timestamp="1511190869"&gt;41&lt;/key&gt;&lt;/foreign-keys&gt;&lt;ref-type name="Journal Article"&gt;17&lt;/ref-type&gt;&lt;contributors&gt;&lt;authors&gt;&lt;author&gt;Cmero, Marek&lt;/author&gt;&lt;author&gt;Ong, Cheng Soon&lt;/author&gt;&lt;author&gt;Yuan, Ke&lt;/author&gt;&lt;author&gt;Schröder, Jan&lt;/author&gt;&lt;author&gt;Mo, Kangbo&lt;/author&gt;&lt;author&gt;Corcoran, Niall M.&lt;/author&gt;&lt;author&gt;Papenfuss, Anthony Troy&lt;/author&gt;&lt;author&gt;Hovens, Christopher M.&lt;/author&gt;&lt;author&gt;Markowetz, Florian&lt;/author&gt;&lt;author&gt;Macintyre, Geoff&lt;/author&gt;&lt;/authors&gt;&lt;/contributors&gt;&lt;titles&gt;&lt;title&gt;SVclone: inferring structural variant cancer cell fraction&lt;/title&gt;&lt;secondary-title&gt;bioRxiv&lt;/secondary-title&gt;&lt;/titles&gt;&lt;periodical&gt;&lt;full-title&gt;bioRxiv&lt;/full-title&gt;&lt;/periodical&gt;&lt;dates&gt;&lt;year&gt;2017&lt;/year&gt;&lt;/dates&gt;&lt;urls&gt;&lt;/urls&gt;&lt;electronic-resource-num&gt;10.1101/172486&lt;/electronic-resource-num&gt;&lt;/record&gt;&lt;/Cite&gt;&lt;/EndNote&gt;</w:instrText>
      </w:r>
      <w:r w:rsidR="002F1E56" w:rsidRPr="00AC13E7">
        <w:rPr>
          <w:i/>
          <w:iCs/>
        </w:rPr>
        <w:fldChar w:fldCharType="separate"/>
      </w:r>
      <w:r w:rsidR="00D86E26" w:rsidRPr="00D86E26">
        <w:rPr>
          <w:i/>
          <w:iCs/>
          <w:noProof/>
          <w:vertAlign w:val="superscript"/>
        </w:rPr>
        <w:t>41</w:t>
      </w:r>
      <w:r w:rsidR="002F1E56" w:rsidRPr="00AC13E7">
        <w:rPr>
          <w:i/>
          <w:iCs/>
        </w:rPr>
        <w:fldChar w:fldCharType="end"/>
      </w:r>
      <w:r w:rsidR="002F1E56" w:rsidRPr="00AC13E7">
        <w:rPr>
          <w:i/>
          <w:iCs/>
        </w:rPr>
        <w:t xml:space="preserve">. </w:t>
      </w:r>
      <w:r w:rsidRPr="00AC13E7">
        <w:t>As the distribution of clonal probabilities was assumed to be of non-parametric character and non-identical, we decided to infer the significance of the difference in subclonal probability by permutation testing. Since we discarded overly mutated samples, we assumed that the distribution of subclonal probabilities of SVs were independent of the samples.</w:t>
      </w:r>
    </w:p>
    <w:p w14:paraId="6AEC31AA" w14:textId="77777777" w:rsidR="008D5498" w:rsidRPr="00AC13E7" w:rsidRDefault="008D5498" w:rsidP="008D5498">
      <w:pPr>
        <w:jc w:val="both"/>
      </w:pPr>
    </w:p>
    <w:p w14:paraId="023A3DE6" w14:textId="77777777" w:rsidR="008D5498" w:rsidRPr="00AC13E7" w:rsidRDefault="008D5498" w:rsidP="008D5498">
      <w:pPr>
        <w:jc w:val="both"/>
      </w:pPr>
      <w:r w:rsidRPr="00AC13E7">
        <w:t xml:space="preserve">When calculating medians, we weighted them linearly by a sample’s individual NRPCC value by using the </w:t>
      </w:r>
      <w:r w:rsidRPr="00AC13E7">
        <w:rPr>
          <w:i/>
          <w:iCs/>
        </w:rPr>
        <w:t>weightedMedian</w:t>
      </w:r>
      <w:r w:rsidRPr="00AC13E7">
        <w:t xml:space="preserve"> function of the R package </w:t>
      </w:r>
      <w:r w:rsidRPr="00AC13E7">
        <w:rPr>
          <w:i/>
          <w:iCs/>
        </w:rPr>
        <w:t xml:space="preserve">matrixStats. </w:t>
      </w:r>
      <w:r w:rsidRPr="00AC13E7">
        <w:t>This function allowed for the interpolation of results when ties arose.</w:t>
      </w:r>
    </w:p>
    <w:p w14:paraId="0F654CD7" w14:textId="77777777" w:rsidR="008D5498" w:rsidRPr="00AC13E7" w:rsidRDefault="008D5498" w:rsidP="008D5498">
      <w:pPr>
        <w:jc w:val="both"/>
      </w:pPr>
    </w:p>
    <w:p w14:paraId="3C4194FF" w14:textId="2D541C6B" w:rsidR="008D5498" w:rsidRPr="00AC13E7" w:rsidRDefault="008D5498" w:rsidP="00D86E26">
      <w:pPr>
        <w:jc w:val="both"/>
      </w:pPr>
      <w:r w:rsidRPr="00AC13E7">
        <w:t xml:space="preserve">The alternative hypothesis </w:t>
      </w:r>
      <w:r w:rsidRPr="00AC13E7">
        <w:rPr>
          <w:b/>
          <w:bCs/>
          <w:i/>
          <w:iCs/>
        </w:rPr>
        <w:t>H</w:t>
      </w:r>
      <w:r w:rsidRPr="00AC13E7">
        <w:rPr>
          <w:rFonts w:ascii="Cambria Math" w:hAnsi="Cambria Math" w:cs="Cambria Math"/>
          <w:sz w:val="13"/>
          <w:szCs w:val="13"/>
          <w:vertAlign w:val="subscript"/>
        </w:rPr>
        <w:t>𝞪</w:t>
      </w:r>
      <w:r w:rsidRPr="00AC13E7">
        <w:t xml:space="preserve"> was formed by taking the difference in weighted medians of the subclonal probabilities of candidate drivers and passengers. The permutation testing established a null distribution </w:t>
      </w:r>
      <w:r w:rsidRPr="00AC13E7">
        <w:rPr>
          <w:b/>
          <w:bCs/>
          <w:i/>
          <w:iCs/>
        </w:rPr>
        <w:t>H</w:t>
      </w:r>
      <w:r w:rsidRPr="00AC13E7">
        <w:rPr>
          <w:b/>
          <w:bCs/>
          <w:i/>
          <w:iCs/>
          <w:sz w:val="13"/>
          <w:szCs w:val="13"/>
          <w:vertAlign w:val="subscript"/>
        </w:rPr>
        <w:t>0</w:t>
      </w:r>
      <w:r w:rsidRPr="00AC13E7">
        <w:t xml:space="preserve"> of weighted differences between candidate driver and passenger probabilities by randomly assigning classification labels 10,000 times and taking the difference of the resulting medians. A p-value was generated by taking the proportion of the alternative hypothesis lying outside the generated null distribution. The resulting p-values were corrected for multiple hypothesis testing by multiplicity correction as proposed by Benjamini and Hochberg</w:t>
      </w:r>
      <w:r w:rsidR="00901D02" w:rsidRPr="00AC13E7">
        <w:fldChar w:fldCharType="begin"/>
      </w:r>
      <w:r w:rsidR="00D86E26">
        <w:instrText xml:space="preserve"> ADDIN EN.CITE &lt;EndNote&gt;&lt;Cite&gt;&lt;Author&gt;Benjamini&lt;/Author&gt;&lt;Year&gt;1995&lt;/Year&gt;&lt;RecNum&gt;72&lt;/RecNum&gt;&lt;DisplayText&gt;&lt;style face="superscript"&gt;46&lt;/style&gt;&lt;/DisplayText&gt;&lt;record&gt;&lt;rec-number&gt;72&lt;/rec-number&gt;&lt;foreign-keys&gt;&lt;key app="EN" db-id="xtaw29xt0drav5efdsppfrerarrd9tf9dfxd" timestamp="1522228023"&gt;72&lt;/key&gt;&lt;/foreign-keys&gt;&lt;ref-type name="Journal Article"&gt;17&lt;/ref-type&gt;&lt;contributors&gt;&lt;authors&gt;&lt;author&gt;Benjamini, Yoav&lt;/author&gt;&lt;author&gt;Hochberg, Yosef&lt;/author&gt;&lt;/authors&gt;&lt;/contributors&gt;&lt;titles&gt;&lt;title&gt;Controlling the False Discovery Rate: A Practical and Powerful Approach to Multiple Testing&lt;/title&gt;&lt;secondary-title&gt;Journal of the Royal Statistical Society. Series B (Methodological)&lt;/secondary-title&gt;&lt;/titles&gt;&lt;periodical&gt;&lt;full-title&gt;Journal of the Royal Statistical Society. Series B (Methodological)&lt;/full-title&gt;&lt;/periodical&gt;&lt;pages&gt;289-300&lt;/pages&gt;&lt;volume&gt;57&lt;/volume&gt;&lt;number&gt;1&lt;/number&gt;&lt;keywords&gt;&lt;keyword&gt;multiple-testing&lt;/keyword&gt;&lt;keyword&gt;significance&lt;/keyword&gt;&lt;/keywords&gt;&lt;dates&gt;&lt;year&gt;1995&lt;/year&gt;&lt;pub-dates&gt;&lt;date&gt;//&lt;/date&gt;&lt;/pub-dates&gt;&lt;/dates&gt;&lt;publisher&gt;Blackwell Publishing for the Royal Statistical Society&lt;/publisher&gt;&lt;isbn&gt;00359246&lt;/isbn&gt;&lt;urls&gt;&lt;related-urls&gt;&lt;url&gt;http://dx.doi.org/10.2307/2346101&lt;/url&gt;&lt;/related-urls&gt;&lt;/urls&gt;&lt;electronic-resource-num&gt;citeulike-article-id:1042553&amp;#xD;doi: 10.2307/2346101&lt;/electronic-resource-num&gt;&lt;/record&gt;&lt;/Cite&gt;&lt;/EndNote&gt;</w:instrText>
      </w:r>
      <w:r w:rsidR="00901D02" w:rsidRPr="00AC13E7">
        <w:fldChar w:fldCharType="separate"/>
      </w:r>
      <w:r w:rsidR="00D86E26" w:rsidRPr="00D86E26">
        <w:rPr>
          <w:noProof/>
          <w:vertAlign w:val="superscript"/>
        </w:rPr>
        <w:t>46</w:t>
      </w:r>
      <w:r w:rsidR="00901D02" w:rsidRPr="00AC13E7">
        <w:fldChar w:fldCharType="end"/>
      </w:r>
      <w:r w:rsidR="00901D02" w:rsidRPr="00AC13E7">
        <w:t>.</w:t>
      </w:r>
    </w:p>
    <w:p w14:paraId="3AFDD0A8" w14:textId="77777777" w:rsidR="008D5498" w:rsidRPr="00AC13E7" w:rsidRDefault="008D5498" w:rsidP="008D5498">
      <w:pPr>
        <w:jc w:val="both"/>
      </w:pPr>
    </w:p>
    <w:p w14:paraId="363A8497" w14:textId="51EF7677" w:rsidR="008D5498" w:rsidRPr="00AC13E7" w:rsidRDefault="008D5498" w:rsidP="00D86E26">
      <w:pPr>
        <w:jc w:val="both"/>
      </w:pPr>
      <w:r w:rsidRPr="00AC13E7">
        <w:t xml:space="preserve">When plotting </w:t>
      </w:r>
      <w:r w:rsidR="00CA4FB4" w:rsidRPr="00AC13E7">
        <w:t xml:space="preserve">main </w:t>
      </w:r>
      <w:r w:rsidRPr="00AC13E7">
        <w:rPr>
          <w:b/>
        </w:rPr>
        <w:t>Figure 5,</w:t>
      </w:r>
      <w:r w:rsidRPr="00AC13E7">
        <w:t xml:space="preserve"> the weighted interquartile ranges were used with the same linear weighing method applied as explained above. The IQRs were used as to represent the probabilities more closely to their density functions than the 95% confidence intervals as they tend to be very large due to the inherent noise of SV VAFs determined using short-read sequencing data</w:t>
      </w:r>
      <w:r w:rsidR="00100E9D" w:rsidRPr="00AC13E7">
        <w:fldChar w:fldCharType="begin"/>
      </w:r>
      <w:r w:rsidR="00D86E26">
        <w:instrText xml:space="preserve"> ADDIN EN.CITE &lt;EndNote&gt;&lt;Cite&gt;&lt;Author&gt;Cmero&lt;/Author&gt;&lt;Year&gt;2017&lt;/Year&gt;&lt;RecNum&gt;41&lt;/RecNum&gt;&lt;DisplayText&gt;&lt;style face="superscript"&gt;41&lt;/style&gt;&lt;/DisplayText&gt;&lt;record&gt;&lt;rec-number&gt;41&lt;/rec-number&gt;&lt;foreign-keys&gt;&lt;key app="EN" db-id="swsz0f55g50w9yex0aqvtfdxarrpzt5z00pd" timestamp="1511190869"&gt;41&lt;/key&gt;&lt;/foreign-keys&gt;&lt;ref-type name="Journal Article"&gt;17&lt;/ref-type&gt;&lt;contributors&gt;&lt;authors&gt;&lt;author&gt;Cmero, Marek&lt;/author&gt;&lt;author&gt;Ong, Cheng Soon&lt;/author&gt;&lt;author&gt;Yuan, Ke&lt;/author&gt;&lt;author&gt;Schröder, Jan&lt;/author&gt;&lt;author&gt;Mo, Kangbo&lt;/author&gt;&lt;author&gt;Corcoran, Niall M.&lt;/author&gt;&lt;author&gt;Papenfuss, Anthony Troy&lt;/author&gt;&lt;author&gt;Hovens, Christopher M.&lt;/author&gt;&lt;author&gt;Markowetz, Florian&lt;/author&gt;&lt;author&gt;Macintyre, Geoff&lt;/author&gt;&lt;/authors&gt;&lt;/contributors&gt;&lt;titles&gt;&lt;title&gt;SVclone: inferring structural variant cancer cell fraction&lt;/title&gt;&lt;secondary-title&gt;bioRxiv&lt;/secondary-title&gt;&lt;/titles&gt;&lt;periodical&gt;&lt;full-title&gt;bioRxiv&lt;/full-title&gt;&lt;/periodical&gt;&lt;dates&gt;&lt;year&gt;2017&lt;/year&gt;&lt;/dates&gt;&lt;urls&gt;&lt;/urls&gt;&lt;electronic-resource-num&gt;10.1101/172486&lt;/electronic-resource-num&gt;&lt;/record&gt;&lt;/Cite&gt;&lt;/EndNote&gt;</w:instrText>
      </w:r>
      <w:r w:rsidR="00100E9D" w:rsidRPr="00AC13E7">
        <w:fldChar w:fldCharType="separate"/>
      </w:r>
      <w:r w:rsidR="00D86E26" w:rsidRPr="00D86E26">
        <w:rPr>
          <w:noProof/>
          <w:vertAlign w:val="superscript"/>
        </w:rPr>
        <w:t>41</w:t>
      </w:r>
      <w:r w:rsidR="00100E9D" w:rsidRPr="00AC13E7">
        <w:fldChar w:fldCharType="end"/>
      </w:r>
      <w:r w:rsidR="00100E9D" w:rsidRPr="00AC13E7">
        <w:t>.</w:t>
      </w:r>
    </w:p>
    <w:p w14:paraId="7DFD5A3C" w14:textId="77777777" w:rsidR="008D5498" w:rsidRPr="00AC13E7" w:rsidRDefault="008D5498" w:rsidP="008D5498">
      <w:pPr>
        <w:jc w:val="both"/>
      </w:pPr>
    </w:p>
    <w:p w14:paraId="7B7BB7A3" w14:textId="77777777" w:rsidR="008D5498" w:rsidRPr="00AC13E7" w:rsidRDefault="008D5498" w:rsidP="008D5498">
      <w:pPr>
        <w:jc w:val="both"/>
        <w:rPr>
          <w:b/>
          <w:bCs/>
          <w:sz w:val="36"/>
          <w:szCs w:val="36"/>
        </w:rPr>
      </w:pPr>
      <w:r w:rsidRPr="00AC13E7">
        <w:rPr>
          <w:b/>
        </w:rPr>
        <w:t xml:space="preserve">Testing for clonal and subclonal SRB enrichment </w:t>
      </w:r>
    </w:p>
    <w:p w14:paraId="5440F48E" w14:textId="09D0F4FE" w:rsidR="008D5498" w:rsidRPr="00AC13E7" w:rsidRDefault="008D5498" w:rsidP="00D86E26">
      <w:pPr>
        <w:jc w:val="both"/>
      </w:pPr>
      <w:r w:rsidRPr="00AC13E7">
        <w:t xml:space="preserve">We used a GSEA-like test to see if any of the 43 SRB loci were enriched for clonal or subclonal SVs. For each SV, we transformed the subclonal probability, scaling by a weight vector representing the “detection power” of the sample in which each SV was observed. The weight vector was defined as the number of reads per chromosome </w:t>
      </w:r>
      <w:r w:rsidRPr="00AC13E7">
        <w:lastRenderedPageBreak/>
        <w:t>copy for the sample, divided by the total across the dataset. All SVs were then ranked by their scaled subclonal probability. Using the fgsea package in R</w:t>
      </w:r>
      <w:r w:rsidR="003A6424" w:rsidRPr="00AC13E7">
        <w:fldChar w:fldCharType="begin"/>
      </w:r>
      <w:r w:rsidR="00D86E26">
        <w:instrText xml:space="preserve"> ADDIN EN.CITE &lt;EndNote&gt;&lt;Cite&gt;&lt;Author&gt;Sergushichev&lt;/Author&gt;&lt;Year&gt;2016&lt;/Year&gt;&lt;RecNum&gt;73&lt;/RecNum&gt;&lt;DisplayText&gt;&lt;style face="superscript"&gt;57&lt;/style&gt;&lt;/DisplayText&gt;&lt;record&gt;&lt;rec-number&gt;73&lt;/rec-number&gt;&lt;foreign-keys&gt;&lt;key app="EN" db-id="xtaw29xt0drav5efdsppfrerarrd9tf9dfxd" timestamp="1522228142"&gt;73&lt;/key&gt;&lt;/foreign-keys&gt;&lt;ref-type name="Journal Article"&gt;17&lt;/ref-type&gt;&lt;contributors&gt;&lt;authors&gt;&lt;author&gt;Sergushichev, Alexey&lt;/author&gt;&lt;/authors&gt;&lt;/contributors&gt;&lt;titles&gt;&lt;title&gt;An algorithm for fast preranked gene set enrichment analysis using cumulative statistic calculation&lt;/title&gt;&lt;secondary-title&gt;bioRxiv&lt;/secondary-title&gt;&lt;/titles&gt;&lt;periodical&gt;&lt;full-title&gt;bioRxiv&lt;/full-title&gt;&lt;/periodical&gt;&lt;dates&gt;&lt;year&gt;2016&lt;/year&gt;&lt;/dates&gt;&lt;urls&gt;&lt;related-urls&gt;&lt;url&gt;https://www.biorxiv.org/content/biorxiv/early/2016/06/20/060012.full.pdf&lt;/url&gt;&lt;/related-urls&gt;&lt;/urls&gt;&lt;electronic-resource-num&gt;10.1101/060012&lt;/electronic-resource-num&gt;&lt;/record&gt;&lt;/Cite&gt;&lt;/EndNote&gt;</w:instrText>
      </w:r>
      <w:r w:rsidR="003A6424" w:rsidRPr="00AC13E7">
        <w:fldChar w:fldCharType="separate"/>
      </w:r>
      <w:r w:rsidR="00D86E26" w:rsidRPr="00D86E26">
        <w:rPr>
          <w:noProof/>
          <w:vertAlign w:val="superscript"/>
        </w:rPr>
        <w:t>57</w:t>
      </w:r>
      <w:r w:rsidR="003A6424" w:rsidRPr="00AC13E7">
        <w:fldChar w:fldCharType="end"/>
      </w:r>
      <w:r w:rsidR="00C50EAB" w:rsidRPr="00AC13E7">
        <w:t>,</w:t>
      </w:r>
      <w:r w:rsidR="003A6424" w:rsidRPr="00AC13E7">
        <w:t xml:space="preserve"> </w:t>
      </w:r>
      <w:r w:rsidRPr="00AC13E7">
        <w:t>we computed an enrichment score for hits across the ranking for each SRB locus. The significance of the observed enrichment score was computed using a GSEA-like permutation test. p-values were corrected for multiple testing correction using the Benjamini and Hochberg method</w:t>
      </w:r>
      <w:r w:rsidR="003970C8" w:rsidRPr="00AC13E7">
        <w:fldChar w:fldCharType="begin"/>
      </w:r>
      <w:r w:rsidR="00D86E26">
        <w:instrText xml:space="preserve"> ADDIN EN.CITE &lt;EndNote&gt;&lt;Cite&gt;&lt;Author&gt;Benjamini&lt;/Author&gt;&lt;Year&gt;1995&lt;/Year&gt;&lt;RecNum&gt;72&lt;/RecNum&gt;&lt;DisplayText&gt;&lt;style face="superscript"&gt;46&lt;/style&gt;&lt;/DisplayText&gt;&lt;record&gt;&lt;rec-number&gt;72&lt;/rec-number&gt;&lt;foreign-keys&gt;&lt;key app="EN" db-id="xtaw29xt0drav5efdsppfrerarrd9tf9dfxd" timestamp="1522228023"&gt;72&lt;/key&gt;&lt;/foreign-keys&gt;&lt;ref-type name="Journal Article"&gt;17&lt;/ref-type&gt;&lt;contributors&gt;&lt;authors&gt;&lt;author&gt;Benjamini, Yoav&lt;/author&gt;&lt;author&gt;Hochberg, Yosef&lt;/author&gt;&lt;/authors&gt;&lt;/contributors&gt;&lt;titles&gt;&lt;title&gt;Controlling the False Discovery Rate: A Practical and Powerful Approach to Multiple Testing&lt;/title&gt;&lt;secondary-title&gt;Journal of the Royal Statistical Society. Series B (Methodological)&lt;/secondary-title&gt;&lt;/titles&gt;&lt;periodical&gt;&lt;full-title&gt;Journal of the Royal Statistical Society. Series B (Methodological)&lt;/full-title&gt;&lt;/periodical&gt;&lt;pages&gt;289-300&lt;/pages&gt;&lt;volume&gt;57&lt;/volume&gt;&lt;number&gt;1&lt;/number&gt;&lt;keywords&gt;&lt;keyword&gt;multiple-testing&lt;/keyword&gt;&lt;keyword&gt;significance&lt;/keyword&gt;&lt;/keywords&gt;&lt;dates&gt;&lt;year&gt;1995&lt;/year&gt;&lt;pub-dates&gt;&lt;date&gt;//&lt;/date&gt;&lt;/pub-dates&gt;&lt;/dates&gt;&lt;publisher&gt;Blackwell Publishing for the Royal Statistical Society&lt;/publisher&gt;&lt;isbn&gt;00359246&lt;/isbn&gt;&lt;urls&gt;&lt;related-urls&gt;&lt;url&gt;http://dx.doi.org/10.2307/2346101&lt;/url&gt;&lt;/related-urls&gt;&lt;/urls&gt;&lt;electronic-resource-num&gt;citeulike-article-id:1042553&amp;#xD;doi: 10.2307/2346101&lt;/electronic-resource-num&gt;&lt;/record&gt;&lt;/Cite&gt;&lt;/EndNote&gt;</w:instrText>
      </w:r>
      <w:r w:rsidR="003970C8" w:rsidRPr="00AC13E7">
        <w:fldChar w:fldCharType="separate"/>
      </w:r>
      <w:r w:rsidR="00D86E26" w:rsidRPr="00D86E26">
        <w:rPr>
          <w:noProof/>
          <w:vertAlign w:val="superscript"/>
        </w:rPr>
        <w:t>46</w:t>
      </w:r>
      <w:r w:rsidR="003970C8" w:rsidRPr="00AC13E7">
        <w:fldChar w:fldCharType="end"/>
      </w:r>
      <w:r w:rsidR="003970C8" w:rsidRPr="00AC13E7">
        <w:t xml:space="preserve">. </w:t>
      </w:r>
      <w:r w:rsidRPr="00AC13E7">
        <w:t xml:space="preserve">Significantly enriched loci appear in </w:t>
      </w:r>
      <w:r w:rsidRPr="00AC13E7">
        <w:rPr>
          <w:b/>
          <w:bCs/>
        </w:rPr>
        <w:t>Figure 5d</w:t>
      </w:r>
      <w:r w:rsidRPr="00AC13E7">
        <w:t xml:space="preserve"> and the proportion of tumour types contributing to the enrichment appear in </w:t>
      </w:r>
      <w:r w:rsidR="00CA4FB4" w:rsidRPr="00AC13E7">
        <w:rPr>
          <w:b/>
          <w:bCs/>
        </w:rPr>
        <w:t>Supplementary Figure 5</w:t>
      </w:r>
      <w:r w:rsidRPr="00AC13E7">
        <w:rPr>
          <w:b/>
          <w:bCs/>
        </w:rPr>
        <w:t>b</w:t>
      </w:r>
      <w:r w:rsidRPr="00AC13E7">
        <w:t>.</w:t>
      </w:r>
    </w:p>
    <w:p w14:paraId="181F50E8" w14:textId="77777777" w:rsidR="00623F1C" w:rsidRPr="00AC13E7" w:rsidRDefault="00623F1C" w:rsidP="00623F1C">
      <w:pPr>
        <w:jc w:val="both"/>
        <w:outlineLvl w:val="0"/>
        <w:rPr>
          <w:b/>
          <w:bCs/>
          <w:sz w:val="40"/>
          <w:szCs w:val="40"/>
        </w:rPr>
      </w:pPr>
    </w:p>
    <w:p w14:paraId="046F8B6F" w14:textId="3A022F90" w:rsidR="00623F1C" w:rsidRPr="00AC13E7" w:rsidRDefault="00745A72" w:rsidP="00E62029">
      <w:pPr>
        <w:pStyle w:val="Heading2"/>
        <w:spacing w:before="320" w:after="80" w:line="276" w:lineRule="auto"/>
        <w:rPr>
          <w:rFonts w:ascii="Times New Roman" w:hAnsi="Times New Roman" w:cs="Times New Roman"/>
          <w:lang w:val="en-GB"/>
        </w:rPr>
      </w:pPr>
      <w:bookmarkStart w:id="277" w:name="_Toc391905052"/>
      <w:r w:rsidRPr="00AC13E7">
        <w:rPr>
          <w:rFonts w:ascii="Times New Roman" w:hAnsi="Times New Roman" w:cs="Times New Roman"/>
          <w:lang w:val="en-GB"/>
        </w:rPr>
        <w:t>7</w:t>
      </w:r>
      <w:r w:rsidR="00623F1C" w:rsidRPr="00AC13E7">
        <w:rPr>
          <w:rFonts w:ascii="Times New Roman" w:hAnsi="Times New Roman" w:cs="Times New Roman"/>
          <w:lang w:val="en-GB"/>
        </w:rPr>
        <w:t>.2 Fusion clonality analysis</w:t>
      </w:r>
      <w:bookmarkEnd w:id="277"/>
    </w:p>
    <w:p w14:paraId="4644C8D0" w14:textId="77777777" w:rsidR="00623F1C" w:rsidRPr="00AC13E7" w:rsidRDefault="00623F1C" w:rsidP="00623F1C">
      <w:pPr>
        <w:rPr>
          <w:rFonts w:eastAsia="Times New Roman"/>
        </w:rPr>
      </w:pPr>
      <w:r w:rsidRPr="00AC13E7">
        <w:rPr>
          <w:rFonts w:eastAsia="Times New Roman"/>
        </w:rPr>
        <w:t>Ignaty Leshchiner, Daniel Rosebrock, Gad Getz</w:t>
      </w:r>
    </w:p>
    <w:p w14:paraId="57D8A2D6" w14:textId="77777777" w:rsidR="00623F1C" w:rsidRPr="00AC13E7" w:rsidRDefault="00623F1C" w:rsidP="00623F1C">
      <w:pPr>
        <w:rPr>
          <w:rFonts w:eastAsia="Times New Roman"/>
        </w:rPr>
      </w:pPr>
    </w:p>
    <w:p w14:paraId="11A06410" w14:textId="54D3B9D0" w:rsidR="000637D3" w:rsidRPr="00AC13E7" w:rsidRDefault="00623F1C" w:rsidP="00D86E26">
      <w:pPr>
        <w:jc w:val="both"/>
      </w:pPr>
      <w:r w:rsidRPr="00AC13E7">
        <w:t>A list of known driver fusions</w:t>
      </w:r>
      <w:r w:rsidR="00CF5510" w:rsidRPr="00AC13E7">
        <w:t xml:space="preserve"> was curated by subsetting to </w:t>
      </w:r>
      <w:r w:rsidRPr="00AC13E7">
        <w:t>fusions which appeared in at least 3 cases across the Jackson Lab fusion data set (</w:t>
      </w:r>
      <w:hyperlink r:id="rId54" w:tgtFrame="_blank" w:history="1">
        <w:r w:rsidRPr="00AC13E7">
          <w:t>http://www.tumorfusions.org/</w:t>
        </w:r>
      </w:hyperlink>
      <w:r w:rsidRPr="00AC13E7">
        <w:t>), or</w:t>
      </w:r>
      <w:r w:rsidR="00CF5510" w:rsidRPr="00AC13E7">
        <w:t xml:space="preserve"> which were</w:t>
      </w:r>
      <w:r w:rsidRPr="00AC13E7">
        <w:t xml:space="preserve"> recorded as drivers in the COSMIC Fusion data set</w:t>
      </w:r>
      <w:r w:rsidR="00CF5510" w:rsidRPr="00AC13E7">
        <w:t xml:space="preserve"> (</w:t>
      </w:r>
      <w:hyperlink r:id="rId55" w:tgtFrame="_blank" w:history="1">
        <w:r w:rsidRPr="00AC13E7">
          <w:t>http://cancer.sanger.ac.uk/cosmic/fusion</w:t>
        </w:r>
      </w:hyperlink>
      <w:r w:rsidRPr="00AC13E7">
        <w:t>) with at least 5 previously identified patient samples</w:t>
      </w:r>
      <w:r w:rsidR="00CF5510" w:rsidRPr="00AC13E7">
        <w:t>. </w:t>
      </w:r>
      <w:r w:rsidRPr="00AC13E7">
        <w:t>N</w:t>
      </w:r>
      <w:r w:rsidR="00CF5510" w:rsidRPr="00AC13E7">
        <w:t>on-</w:t>
      </w:r>
      <w:r w:rsidRPr="00AC13E7">
        <w:t>driver fusions were chosen by subsetting to fusions not classified as in-frame with known fusion partners from above. SV breakpoints were genotyped with BreakPointer</w:t>
      </w:r>
      <w:r w:rsidR="00986F8B" w:rsidRPr="00AC13E7">
        <w:fldChar w:fldCharType="begin"/>
      </w:r>
      <w:r w:rsidR="00D86E26">
        <w:instrText xml:space="preserve"> ADDIN EN.CITE &lt;EndNote&gt;&lt;Cite&gt;&lt;Author&gt;Drier&lt;/Author&gt;&lt;Year&gt;2013&lt;/Year&gt;&lt;RecNum&gt;54&lt;/RecNum&gt;&lt;DisplayText&gt;&lt;style face="superscript"&gt;58&lt;/style&gt;&lt;/DisplayText&gt;&lt;record&gt;&lt;rec-number&gt;54&lt;/rec-number&gt;&lt;foreign-keys&gt;&lt;key app="EN" db-id="swsz0f55g50w9yex0aqvtfdxarrpzt5z00pd" timestamp="1522228325"&gt;54&lt;/key&gt;&lt;/foreign-keys&gt;&lt;ref-type name="Journal Article"&gt;17&lt;/ref-type&gt;&lt;contributors&gt;&lt;authors&gt;&lt;author&gt;Drier, Y.&lt;/author&gt;&lt;author&gt;Lawrence, M. S.&lt;/author&gt;&lt;author&gt;Carter, S. L.&lt;/author&gt;&lt;author&gt;Stewart, C.&lt;/author&gt;&lt;author&gt;Gabriel, S. B.&lt;/author&gt;&lt;author&gt;Lander, E. S.&lt;/author&gt;&lt;author&gt;Meyerson, M.&lt;/author&gt;&lt;author&gt;Beroukhim, R.&lt;/author&gt;&lt;author&gt;Getz, G.&lt;/author&gt;&lt;/authors&gt;&lt;/contributors&gt;&lt;auth-address&gt;Department of Physics of Complex Systems, Weizmann Institute of Science, Rehovot 76100, Israel.&lt;/auth-address&gt;&lt;titles&gt;&lt;title&gt;Somatic rearrangements across cancer reveal classes of samples with distinct patterns of DNA breakage and rearrangement-induced hypermutability&lt;/title&gt;&lt;secondary-title&gt;Genome Res&lt;/secondary-title&gt;&lt;/titles&gt;&lt;periodical&gt;&lt;full-title&gt;Genome Res&lt;/full-title&gt;&lt;/periodical&gt;&lt;pages&gt;228-35&lt;/pages&gt;&lt;volume&gt;23&lt;/volume&gt;&lt;number&gt;2&lt;/number&gt;&lt;edition&gt;2012/11/06&lt;/edition&gt;&lt;keywords&gt;&lt;keyword&gt;Base Composition&lt;/keyword&gt;&lt;keyword&gt;*Chromosome Breakage&lt;/keyword&gt;&lt;keyword&gt;Chromosome Breakpoints&lt;/keyword&gt;&lt;keyword&gt;Computational Biology/methods&lt;/keyword&gt;&lt;keyword&gt;DNA Replication&lt;/keyword&gt;&lt;keyword&gt;Humans&lt;/keyword&gt;&lt;keyword&gt;*Mutation&lt;/keyword&gt;&lt;keyword&gt;Mutation Rate&lt;/keyword&gt;&lt;keyword&gt;Neoplasms/*genetics&lt;/keyword&gt;&lt;keyword&gt;*Recombination, Genetic&lt;/keyword&gt;&lt;keyword&gt;Transcription, Genetic&lt;/keyword&gt;&lt;/keywords&gt;&lt;dates&gt;&lt;year&gt;2013&lt;/year&gt;&lt;pub-dates&gt;&lt;date&gt;Feb&lt;/date&gt;&lt;/pub-dates&gt;&lt;/dates&gt;&lt;isbn&gt;1549-5469 (Electronic)&amp;#xD;1088-9051 (Linking)&lt;/isbn&gt;&lt;accession-num&gt;23124520&lt;/accession-num&gt;&lt;urls&gt;&lt;related-urls&gt;&lt;url&gt;https://www.ncbi.nlm.nih.gov/pubmed/23124520&lt;/url&gt;&lt;/related-urls&gt;&lt;/urls&gt;&lt;custom2&gt;PMC3561864&lt;/custom2&gt;&lt;electronic-resource-num&gt;10.1101/gr.141382.112&lt;/electronic-resource-num&gt;&lt;/record&gt;&lt;/Cite&gt;&lt;/EndNote&gt;</w:instrText>
      </w:r>
      <w:r w:rsidR="00986F8B" w:rsidRPr="00AC13E7">
        <w:fldChar w:fldCharType="separate"/>
      </w:r>
      <w:r w:rsidR="00D86E26" w:rsidRPr="00D86E26">
        <w:rPr>
          <w:noProof/>
          <w:vertAlign w:val="superscript"/>
        </w:rPr>
        <w:t>58</w:t>
      </w:r>
      <w:r w:rsidR="00986F8B" w:rsidRPr="00AC13E7">
        <w:fldChar w:fldCharType="end"/>
      </w:r>
      <w:r w:rsidRPr="00AC13E7">
        <w:t xml:space="preserve"> and SVClone, where mutant allele count was estimated by aggregating both chimeric read and read pair support of the fused</w:t>
      </w:r>
      <w:r w:rsidR="00CF5510" w:rsidRPr="00AC13E7">
        <w:t xml:space="preserve"> allele, </w:t>
      </w:r>
      <w:r w:rsidRPr="00AC13E7">
        <w:t>while reference allele count was estimated by summing both breakpoint spanning reads and read pairs supporting</w:t>
      </w:r>
      <w:r w:rsidR="00CF5510" w:rsidRPr="00AC13E7">
        <w:t xml:space="preserve"> the reference allele. </w:t>
      </w:r>
      <w:r w:rsidRPr="00AC13E7">
        <w:t>The likelihood of a fusion originating from a clonal or a subclonal cell population was then estimated with correction for local copy number and purity, according to Phylogic</w:t>
      </w:r>
      <w:r w:rsidR="002A63F9" w:rsidRPr="00AC13E7">
        <w:t>NDT</w:t>
      </w:r>
      <w:r w:rsidRPr="00AC13E7">
        <w:t xml:space="preserve"> model described above. </w:t>
      </w:r>
    </w:p>
    <w:p w14:paraId="771CF638" w14:textId="77777777" w:rsidR="00720570" w:rsidRPr="00AC13E7" w:rsidRDefault="00720570">
      <w:pPr>
        <w:ind w:left="45"/>
        <w:rPr>
          <w:b/>
          <w:sz w:val="36"/>
          <w:szCs w:val="36"/>
        </w:rPr>
      </w:pPr>
    </w:p>
    <w:p w14:paraId="483A367E" w14:textId="77777777" w:rsidR="00F54EF5" w:rsidRPr="00AC13E7" w:rsidRDefault="00F54EF5" w:rsidP="00724471">
      <w:pPr>
        <w:rPr>
          <w:b/>
          <w:bCs/>
          <w:sz w:val="40"/>
          <w:szCs w:val="40"/>
        </w:rPr>
      </w:pPr>
    </w:p>
    <w:p w14:paraId="7C4952B7" w14:textId="77777777" w:rsidR="00F54EF5" w:rsidRPr="00AC13E7" w:rsidRDefault="00F54EF5" w:rsidP="00724471">
      <w:pPr>
        <w:rPr>
          <w:b/>
          <w:bCs/>
          <w:sz w:val="40"/>
          <w:szCs w:val="40"/>
        </w:rPr>
      </w:pPr>
    </w:p>
    <w:p w14:paraId="23F7399B" w14:textId="77777777" w:rsidR="00F54EF5" w:rsidRPr="00AC13E7" w:rsidRDefault="00F54EF5" w:rsidP="00724471">
      <w:pPr>
        <w:rPr>
          <w:b/>
          <w:bCs/>
          <w:sz w:val="40"/>
          <w:szCs w:val="40"/>
        </w:rPr>
      </w:pPr>
    </w:p>
    <w:p w14:paraId="7FE2A2DF" w14:textId="77777777" w:rsidR="00B7431A" w:rsidRPr="00AC13E7" w:rsidRDefault="00B7431A" w:rsidP="00724471">
      <w:pPr>
        <w:rPr>
          <w:b/>
          <w:bCs/>
          <w:sz w:val="40"/>
          <w:szCs w:val="40"/>
        </w:rPr>
      </w:pPr>
    </w:p>
    <w:p w14:paraId="67C7B1D5" w14:textId="77777777" w:rsidR="00623F1C" w:rsidRPr="00AC13E7" w:rsidRDefault="00623F1C">
      <w:pPr>
        <w:rPr>
          <w:b/>
          <w:bCs/>
          <w:sz w:val="40"/>
          <w:szCs w:val="40"/>
        </w:rPr>
      </w:pPr>
      <w:bookmarkStart w:id="278" w:name="_Toc499571774"/>
      <w:r w:rsidRPr="00AC13E7">
        <w:rPr>
          <w:b/>
          <w:bCs/>
          <w:sz w:val="40"/>
          <w:szCs w:val="40"/>
        </w:rPr>
        <w:br w:type="page"/>
      </w:r>
    </w:p>
    <w:p w14:paraId="7DAC87FC" w14:textId="43BDEA06" w:rsidR="00892E17" w:rsidRPr="00CE1CA5" w:rsidRDefault="00E30AD6" w:rsidP="002E3119">
      <w:pPr>
        <w:jc w:val="both"/>
        <w:outlineLvl w:val="0"/>
        <w:rPr>
          <w:b/>
          <w:bCs/>
          <w:sz w:val="40"/>
          <w:szCs w:val="40"/>
        </w:rPr>
      </w:pPr>
      <w:r w:rsidRPr="00CE1CA5">
        <w:rPr>
          <w:b/>
          <w:bCs/>
          <w:sz w:val="40"/>
          <w:szCs w:val="40"/>
        </w:rPr>
        <w:lastRenderedPageBreak/>
        <w:t>References</w:t>
      </w:r>
      <w:bookmarkEnd w:id="278"/>
    </w:p>
    <w:p w14:paraId="4ACFEBF2" w14:textId="77777777" w:rsidR="00892E17" w:rsidRPr="00CE1CA5" w:rsidRDefault="00892E17" w:rsidP="00B7431A">
      <w:pPr>
        <w:ind w:left="720"/>
        <w:jc w:val="both"/>
      </w:pPr>
    </w:p>
    <w:p w14:paraId="4962C604" w14:textId="77777777" w:rsidR="00D86E26" w:rsidRPr="00D86E26" w:rsidRDefault="00892E17" w:rsidP="00D86E26">
      <w:pPr>
        <w:pStyle w:val="EndNoteBibliography"/>
        <w:ind w:left="720" w:hanging="720"/>
        <w:rPr>
          <w:noProof/>
        </w:rPr>
      </w:pPr>
      <w:r w:rsidRPr="00AC13E7">
        <w:rPr>
          <w:rFonts w:asciiTheme="majorBidi" w:hAnsiTheme="majorBidi" w:cstheme="majorBidi"/>
          <w:sz w:val="24"/>
          <w:lang w:val="en-GB"/>
        </w:rPr>
        <w:fldChar w:fldCharType="begin"/>
      </w:r>
      <w:r w:rsidRPr="00CE1CA5">
        <w:rPr>
          <w:rFonts w:asciiTheme="majorBidi" w:hAnsiTheme="majorBidi" w:cstheme="majorBidi"/>
          <w:sz w:val="24"/>
          <w:lang w:val="en-GB"/>
        </w:rPr>
        <w:instrText xml:space="preserve"> ADDIN EN.REFLIST </w:instrText>
      </w:r>
      <w:r w:rsidRPr="00AC13E7">
        <w:rPr>
          <w:rFonts w:asciiTheme="majorBidi" w:hAnsiTheme="majorBidi" w:cstheme="majorBidi"/>
          <w:sz w:val="24"/>
          <w:lang w:val="en-GB"/>
        </w:rPr>
        <w:fldChar w:fldCharType="separate"/>
      </w:r>
      <w:r w:rsidR="00D86E26" w:rsidRPr="00D86E26">
        <w:rPr>
          <w:noProof/>
        </w:rPr>
        <w:t>1</w:t>
      </w:r>
      <w:r w:rsidR="00D86E26" w:rsidRPr="00D86E26">
        <w:rPr>
          <w:noProof/>
        </w:rPr>
        <w:tab/>
        <w:t xml:space="preserve">Campbell, P. J., Getz, G., Stuart, J. M., Korbel, J. O. &amp; Stein, L. D. Pan-cancer analysis of whole genomes. </w:t>
      </w:r>
      <w:r w:rsidR="00D86E26" w:rsidRPr="00D86E26">
        <w:rPr>
          <w:i/>
          <w:noProof/>
        </w:rPr>
        <w:t>bioRxiv</w:t>
      </w:r>
      <w:r w:rsidR="00D86E26" w:rsidRPr="00D86E26">
        <w:rPr>
          <w:noProof/>
        </w:rPr>
        <w:t>, doi:10.1101/162784 (2017).</w:t>
      </w:r>
    </w:p>
    <w:p w14:paraId="4585C1D9" w14:textId="77777777" w:rsidR="00D86E26" w:rsidRPr="00D86E26" w:rsidRDefault="00D86E26" w:rsidP="00D86E26">
      <w:pPr>
        <w:pStyle w:val="EndNoteBibliography"/>
        <w:ind w:left="720" w:hanging="720"/>
        <w:rPr>
          <w:noProof/>
        </w:rPr>
      </w:pPr>
      <w:r w:rsidRPr="00D86E26">
        <w:rPr>
          <w:noProof/>
        </w:rPr>
        <w:t>2</w:t>
      </w:r>
      <w:r w:rsidRPr="00D86E26">
        <w:rPr>
          <w:noProof/>
        </w:rPr>
        <w:tab/>
        <w:t>Rheinbay, E.</w:t>
      </w:r>
      <w:r w:rsidRPr="00D86E26">
        <w:rPr>
          <w:i/>
          <w:noProof/>
        </w:rPr>
        <w:t xml:space="preserve"> et al.</w:t>
      </w:r>
      <w:r w:rsidRPr="00D86E26">
        <w:rPr>
          <w:noProof/>
        </w:rPr>
        <w:t xml:space="preserve"> Discovery and characterization of coding and non-coding driver mutations in more than 2,500 whole cancer genomes. </w:t>
      </w:r>
      <w:r w:rsidRPr="00D86E26">
        <w:rPr>
          <w:i/>
          <w:noProof/>
        </w:rPr>
        <w:t>bioRxiv</w:t>
      </w:r>
      <w:r w:rsidRPr="00D86E26">
        <w:rPr>
          <w:noProof/>
        </w:rPr>
        <w:t>, doi:10.1101/237313 (2017).</w:t>
      </w:r>
    </w:p>
    <w:p w14:paraId="0981F965" w14:textId="77777777" w:rsidR="00D86E26" w:rsidRPr="00D86E26" w:rsidRDefault="00D86E26" w:rsidP="00D86E26">
      <w:pPr>
        <w:pStyle w:val="EndNoteBibliography"/>
        <w:ind w:left="720" w:hanging="720"/>
        <w:rPr>
          <w:noProof/>
        </w:rPr>
      </w:pPr>
      <w:r w:rsidRPr="00D86E26">
        <w:rPr>
          <w:noProof/>
        </w:rPr>
        <w:t>3</w:t>
      </w:r>
      <w:r w:rsidRPr="00D86E26">
        <w:rPr>
          <w:noProof/>
        </w:rPr>
        <w:tab/>
        <w:t>Sabarinathan, R.</w:t>
      </w:r>
      <w:r w:rsidRPr="00D86E26">
        <w:rPr>
          <w:i/>
          <w:noProof/>
        </w:rPr>
        <w:t xml:space="preserve"> et al.</w:t>
      </w:r>
      <w:r w:rsidRPr="00D86E26">
        <w:rPr>
          <w:noProof/>
        </w:rPr>
        <w:t xml:space="preserve"> The whole-genome panorama of cancer drivers. </w:t>
      </w:r>
      <w:r w:rsidRPr="00D86E26">
        <w:rPr>
          <w:i/>
          <w:noProof/>
        </w:rPr>
        <w:t>bioRxiv</w:t>
      </w:r>
      <w:r w:rsidRPr="00D86E26">
        <w:rPr>
          <w:noProof/>
        </w:rPr>
        <w:t>, doi:10.1101/190330 (2017).</w:t>
      </w:r>
    </w:p>
    <w:p w14:paraId="7AEEDB17" w14:textId="77777777" w:rsidR="00D86E26" w:rsidRPr="00D86E26" w:rsidRDefault="00D86E26" w:rsidP="00D86E26">
      <w:pPr>
        <w:pStyle w:val="EndNoteBibliography"/>
        <w:ind w:left="720" w:hanging="720"/>
        <w:rPr>
          <w:noProof/>
        </w:rPr>
      </w:pPr>
      <w:r w:rsidRPr="00D86E26">
        <w:rPr>
          <w:noProof/>
        </w:rPr>
        <w:t>4</w:t>
      </w:r>
      <w:r w:rsidRPr="00D86E26">
        <w:rPr>
          <w:noProof/>
        </w:rPr>
        <w:tab/>
        <w:t>Alexandrov, L.</w:t>
      </w:r>
      <w:r w:rsidRPr="00D86E26">
        <w:rPr>
          <w:i/>
          <w:noProof/>
        </w:rPr>
        <w:t xml:space="preserve"> et al.</w:t>
      </w:r>
      <w:r w:rsidRPr="00D86E26">
        <w:rPr>
          <w:noProof/>
        </w:rPr>
        <w:t xml:space="preserve"> The Repertoire of Mutational Signatures in Human Cancer. </w:t>
      </w:r>
      <w:r w:rsidRPr="00D86E26">
        <w:rPr>
          <w:i/>
          <w:noProof/>
        </w:rPr>
        <w:t>bioRxiv</w:t>
      </w:r>
      <w:r w:rsidRPr="00D86E26">
        <w:rPr>
          <w:noProof/>
        </w:rPr>
        <w:t>, doi:10.1101/322859 (2018).</w:t>
      </w:r>
    </w:p>
    <w:p w14:paraId="1FA30657" w14:textId="77777777" w:rsidR="00D86E26" w:rsidRPr="00D86E26" w:rsidRDefault="00D86E26" w:rsidP="00D86E26">
      <w:pPr>
        <w:pStyle w:val="EndNoteBibliography"/>
        <w:ind w:left="720" w:hanging="720"/>
        <w:rPr>
          <w:noProof/>
        </w:rPr>
      </w:pPr>
      <w:r w:rsidRPr="00D86E26">
        <w:rPr>
          <w:noProof/>
        </w:rPr>
        <w:t>5</w:t>
      </w:r>
      <w:r w:rsidRPr="00D86E26">
        <w:rPr>
          <w:noProof/>
        </w:rPr>
        <w:tab/>
        <w:t>Gerstung, M.</w:t>
      </w:r>
      <w:r w:rsidRPr="00D86E26">
        <w:rPr>
          <w:i/>
          <w:noProof/>
        </w:rPr>
        <w:t xml:space="preserve"> et al.</w:t>
      </w:r>
      <w:r w:rsidRPr="00D86E26">
        <w:rPr>
          <w:noProof/>
        </w:rPr>
        <w:t xml:space="preserve"> The evolutionary history of 2,658 cancers. </w:t>
      </w:r>
      <w:r w:rsidRPr="00D86E26">
        <w:rPr>
          <w:i/>
          <w:noProof/>
        </w:rPr>
        <w:t>bioRxiv</w:t>
      </w:r>
      <w:r w:rsidRPr="00D86E26">
        <w:rPr>
          <w:noProof/>
        </w:rPr>
        <w:t>, doi:10.1101/161562 (2017).</w:t>
      </w:r>
    </w:p>
    <w:p w14:paraId="172B88D5" w14:textId="77777777" w:rsidR="00D86E26" w:rsidRPr="00D86E26" w:rsidRDefault="00D86E26" w:rsidP="00D86E26">
      <w:pPr>
        <w:pStyle w:val="EndNoteBibliography"/>
        <w:ind w:left="720" w:hanging="720"/>
        <w:rPr>
          <w:noProof/>
        </w:rPr>
      </w:pPr>
      <w:r w:rsidRPr="001173FB">
        <w:rPr>
          <w:noProof/>
          <w:lang w:val="da-DK"/>
        </w:rPr>
        <w:t>6</w:t>
      </w:r>
      <w:r w:rsidRPr="001173FB">
        <w:rPr>
          <w:noProof/>
          <w:lang w:val="da-DK"/>
        </w:rPr>
        <w:tab/>
        <w:t>Carter, S. L.</w:t>
      </w:r>
      <w:r w:rsidRPr="001173FB">
        <w:rPr>
          <w:i/>
          <w:noProof/>
          <w:lang w:val="da-DK"/>
        </w:rPr>
        <w:t xml:space="preserve"> et al.</w:t>
      </w:r>
      <w:r w:rsidRPr="001173FB">
        <w:rPr>
          <w:noProof/>
          <w:lang w:val="da-DK"/>
        </w:rPr>
        <w:t xml:space="preserve"> </w:t>
      </w:r>
      <w:r w:rsidRPr="00D86E26">
        <w:rPr>
          <w:noProof/>
        </w:rPr>
        <w:t xml:space="preserve">Absolute quantification of somatic DNA alterations in human cancer. </w:t>
      </w:r>
      <w:r w:rsidRPr="00D86E26">
        <w:rPr>
          <w:i/>
          <w:noProof/>
        </w:rPr>
        <w:t>Nat Biotechnol</w:t>
      </w:r>
      <w:r w:rsidRPr="00D86E26">
        <w:rPr>
          <w:noProof/>
        </w:rPr>
        <w:t xml:space="preserve"> </w:t>
      </w:r>
      <w:r w:rsidRPr="00D86E26">
        <w:rPr>
          <w:b/>
          <w:noProof/>
        </w:rPr>
        <w:t>30</w:t>
      </w:r>
      <w:r w:rsidRPr="00D86E26">
        <w:rPr>
          <w:noProof/>
        </w:rPr>
        <w:t>, 413-421, doi:10.1038/nbt.2203 (2012).</w:t>
      </w:r>
    </w:p>
    <w:p w14:paraId="694CB01F" w14:textId="77777777" w:rsidR="00D86E26" w:rsidRPr="00D86E26" w:rsidRDefault="00D86E26" w:rsidP="00D86E26">
      <w:pPr>
        <w:pStyle w:val="EndNoteBibliography"/>
        <w:ind w:left="720" w:hanging="720"/>
        <w:rPr>
          <w:noProof/>
        </w:rPr>
      </w:pPr>
      <w:r w:rsidRPr="00D86E26">
        <w:rPr>
          <w:noProof/>
        </w:rPr>
        <w:t>7</w:t>
      </w:r>
      <w:r w:rsidRPr="00D86E26">
        <w:rPr>
          <w:noProof/>
        </w:rPr>
        <w:tab/>
        <w:t>Kleinheinz, K.</w:t>
      </w:r>
      <w:r w:rsidRPr="00D86E26">
        <w:rPr>
          <w:i/>
          <w:noProof/>
        </w:rPr>
        <w:t xml:space="preserve"> et al.</w:t>
      </w:r>
      <w:r w:rsidRPr="00D86E26">
        <w:rPr>
          <w:noProof/>
        </w:rPr>
        <w:t xml:space="preserve"> ACEseq - allele specific copy number estimation from whole genome sequencing. </w:t>
      </w:r>
      <w:r w:rsidRPr="00D86E26">
        <w:rPr>
          <w:i/>
          <w:noProof/>
        </w:rPr>
        <w:t>bioRxiv</w:t>
      </w:r>
      <w:r w:rsidRPr="00D86E26">
        <w:rPr>
          <w:noProof/>
        </w:rPr>
        <w:t>, doi:10.1101/210807 (2017).</w:t>
      </w:r>
    </w:p>
    <w:p w14:paraId="6D1D36BC" w14:textId="77777777" w:rsidR="00D86E26" w:rsidRPr="00D86E26" w:rsidRDefault="00D86E26" w:rsidP="00D86E26">
      <w:pPr>
        <w:pStyle w:val="EndNoteBibliography"/>
        <w:ind w:left="720" w:hanging="720"/>
        <w:rPr>
          <w:noProof/>
        </w:rPr>
      </w:pPr>
      <w:r w:rsidRPr="00D86E26">
        <w:rPr>
          <w:noProof/>
        </w:rPr>
        <w:t>8</w:t>
      </w:r>
      <w:r w:rsidRPr="00D86E26">
        <w:rPr>
          <w:noProof/>
        </w:rPr>
        <w:tab/>
        <w:t xml:space="preserve"> Vol. (dbSNP Build ID: 135)   (Bethesda (MD): National Center for Biotechnology Information, National Library of Medicine).</w:t>
      </w:r>
    </w:p>
    <w:p w14:paraId="0FB8C480" w14:textId="77777777" w:rsidR="00D86E26" w:rsidRPr="00D86E26" w:rsidRDefault="00D86E26" w:rsidP="00D86E26">
      <w:pPr>
        <w:pStyle w:val="EndNoteBibliography"/>
        <w:ind w:left="720" w:hanging="720"/>
        <w:rPr>
          <w:noProof/>
        </w:rPr>
      </w:pPr>
      <w:r w:rsidRPr="00D86E26">
        <w:rPr>
          <w:noProof/>
        </w:rPr>
        <w:t>9</w:t>
      </w:r>
      <w:r w:rsidRPr="00D86E26">
        <w:rPr>
          <w:noProof/>
        </w:rPr>
        <w:tab/>
        <w:t xml:space="preserve">Howie, B. N., Donnelly, P. &amp; Marchini, J. A flexible and accurate genotype imputation method for the next generation of genome-wide association studies. </w:t>
      </w:r>
      <w:r w:rsidRPr="00D86E26">
        <w:rPr>
          <w:i/>
          <w:noProof/>
        </w:rPr>
        <w:t>PLoS Genet</w:t>
      </w:r>
      <w:r w:rsidRPr="00D86E26">
        <w:rPr>
          <w:noProof/>
        </w:rPr>
        <w:t xml:space="preserve"> </w:t>
      </w:r>
      <w:r w:rsidRPr="00D86E26">
        <w:rPr>
          <w:b/>
          <w:noProof/>
        </w:rPr>
        <w:t>5</w:t>
      </w:r>
      <w:r w:rsidRPr="00D86E26">
        <w:rPr>
          <w:noProof/>
        </w:rPr>
        <w:t>, e1000529, doi:10.1371/journal.pgen.1000529 (2009).</w:t>
      </w:r>
    </w:p>
    <w:p w14:paraId="30C18929" w14:textId="77777777" w:rsidR="00D86E26" w:rsidRPr="00D86E26" w:rsidRDefault="00D86E26" w:rsidP="00D86E26">
      <w:pPr>
        <w:pStyle w:val="EndNoteBibliography"/>
        <w:ind w:left="720" w:hanging="720"/>
        <w:rPr>
          <w:noProof/>
        </w:rPr>
      </w:pPr>
      <w:r w:rsidRPr="00D86E26">
        <w:rPr>
          <w:noProof/>
        </w:rPr>
        <w:t>10</w:t>
      </w:r>
      <w:r w:rsidRPr="00D86E26">
        <w:rPr>
          <w:noProof/>
        </w:rPr>
        <w:tab/>
        <w:t>Olshen, A. B.</w:t>
      </w:r>
      <w:r w:rsidRPr="00D86E26">
        <w:rPr>
          <w:i/>
          <w:noProof/>
        </w:rPr>
        <w:t xml:space="preserve"> et al.</w:t>
      </w:r>
      <w:r w:rsidRPr="00D86E26">
        <w:rPr>
          <w:noProof/>
        </w:rPr>
        <w:t xml:space="preserve"> Parent-specific copy number in paired tumor-normal studies using circular binary segmentation. </w:t>
      </w:r>
      <w:r w:rsidRPr="00D86E26">
        <w:rPr>
          <w:i/>
          <w:noProof/>
        </w:rPr>
        <w:t>Bioinformatics</w:t>
      </w:r>
      <w:r w:rsidRPr="00D86E26">
        <w:rPr>
          <w:noProof/>
        </w:rPr>
        <w:t xml:space="preserve"> </w:t>
      </w:r>
      <w:r w:rsidRPr="00D86E26">
        <w:rPr>
          <w:b/>
          <w:noProof/>
        </w:rPr>
        <w:t>27</w:t>
      </w:r>
      <w:r w:rsidRPr="00D86E26">
        <w:rPr>
          <w:noProof/>
        </w:rPr>
        <w:t>, 2038-2046, doi:10.1093/bioinformatics/btr329 (2011).</w:t>
      </w:r>
    </w:p>
    <w:p w14:paraId="3497280D" w14:textId="77777777" w:rsidR="00D86E26" w:rsidRPr="00D86E26" w:rsidRDefault="00D86E26" w:rsidP="00D86E26">
      <w:pPr>
        <w:pStyle w:val="EndNoteBibliography"/>
        <w:ind w:left="720" w:hanging="720"/>
        <w:rPr>
          <w:noProof/>
        </w:rPr>
      </w:pPr>
      <w:r w:rsidRPr="00D86E26">
        <w:rPr>
          <w:noProof/>
        </w:rPr>
        <w:t>11</w:t>
      </w:r>
      <w:r w:rsidRPr="00D86E26">
        <w:rPr>
          <w:noProof/>
        </w:rPr>
        <w:tab/>
        <w:t xml:space="preserve">Dentro, S. C., Wedge, D. C. &amp; Van Loo, P. Principles of Reconstructing the Subclonal Architecture of Cancers. </w:t>
      </w:r>
      <w:r w:rsidRPr="00D86E26">
        <w:rPr>
          <w:i/>
          <w:noProof/>
        </w:rPr>
        <w:t>Cold Spring Harb Perspect Med</w:t>
      </w:r>
      <w:r w:rsidRPr="00D86E26">
        <w:rPr>
          <w:noProof/>
        </w:rPr>
        <w:t>, doi:10.1101/cshperspect.a026625 (2017).</w:t>
      </w:r>
    </w:p>
    <w:p w14:paraId="5954F446" w14:textId="77777777" w:rsidR="00D86E26" w:rsidRPr="00D86E26" w:rsidRDefault="00D86E26" w:rsidP="00D86E26">
      <w:pPr>
        <w:pStyle w:val="EndNoteBibliography"/>
        <w:ind w:left="720" w:hanging="720"/>
        <w:rPr>
          <w:noProof/>
        </w:rPr>
      </w:pPr>
      <w:r w:rsidRPr="00D86E26">
        <w:rPr>
          <w:noProof/>
        </w:rPr>
        <w:t>12</w:t>
      </w:r>
      <w:r w:rsidRPr="00D86E26">
        <w:rPr>
          <w:noProof/>
        </w:rPr>
        <w:tab/>
        <w:t>Nik-Zainal, S.</w:t>
      </w:r>
      <w:r w:rsidRPr="00D86E26">
        <w:rPr>
          <w:i/>
          <w:noProof/>
        </w:rPr>
        <w:t xml:space="preserve"> et al.</w:t>
      </w:r>
      <w:r w:rsidRPr="00D86E26">
        <w:rPr>
          <w:noProof/>
        </w:rPr>
        <w:t xml:space="preserve"> The life history of 21 breast cancers. </w:t>
      </w:r>
      <w:r w:rsidRPr="00D86E26">
        <w:rPr>
          <w:i/>
          <w:noProof/>
        </w:rPr>
        <w:t>Cell</w:t>
      </w:r>
      <w:r w:rsidRPr="00D86E26">
        <w:rPr>
          <w:noProof/>
        </w:rPr>
        <w:t xml:space="preserve"> </w:t>
      </w:r>
      <w:r w:rsidRPr="00D86E26">
        <w:rPr>
          <w:b/>
          <w:noProof/>
        </w:rPr>
        <w:t>149</w:t>
      </w:r>
      <w:r w:rsidRPr="00D86E26">
        <w:rPr>
          <w:noProof/>
        </w:rPr>
        <w:t>, 994-1007, doi:10.1016/j.cell.2012.04.023 (2012).</w:t>
      </w:r>
    </w:p>
    <w:p w14:paraId="6F942E99" w14:textId="77777777" w:rsidR="00D86E26" w:rsidRPr="00D86E26" w:rsidRDefault="00D86E26" w:rsidP="00D86E26">
      <w:pPr>
        <w:pStyle w:val="EndNoteBibliography"/>
        <w:ind w:left="720" w:hanging="720"/>
        <w:rPr>
          <w:noProof/>
        </w:rPr>
      </w:pPr>
      <w:r w:rsidRPr="00D86E26">
        <w:rPr>
          <w:noProof/>
        </w:rPr>
        <w:t>13</w:t>
      </w:r>
      <w:r w:rsidRPr="00D86E26">
        <w:rPr>
          <w:noProof/>
        </w:rPr>
        <w:tab/>
        <w:t xml:space="preserve">Benjamini, Y. &amp; Speed, T. P. Summarizing and correcting the GC content bias in high-throughput sequencing. </w:t>
      </w:r>
      <w:r w:rsidRPr="00D86E26">
        <w:rPr>
          <w:i/>
          <w:noProof/>
        </w:rPr>
        <w:t>Nucleic Acids Res</w:t>
      </w:r>
      <w:r w:rsidRPr="00D86E26">
        <w:rPr>
          <w:noProof/>
        </w:rPr>
        <w:t xml:space="preserve"> </w:t>
      </w:r>
      <w:r w:rsidRPr="00D86E26">
        <w:rPr>
          <w:b/>
          <w:noProof/>
        </w:rPr>
        <w:t>40</w:t>
      </w:r>
      <w:r w:rsidRPr="00D86E26">
        <w:rPr>
          <w:noProof/>
        </w:rPr>
        <w:t>, e72, doi:10.1093/nar/gks001 (2012).</w:t>
      </w:r>
    </w:p>
    <w:p w14:paraId="1F148B3D" w14:textId="77777777" w:rsidR="00D86E26" w:rsidRPr="00D86E26" w:rsidRDefault="00D86E26" w:rsidP="00D86E26">
      <w:pPr>
        <w:pStyle w:val="EndNoteBibliography"/>
        <w:ind w:left="720" w:hanging="720"/>
        <w:rPr>
          <w:noProof/>
        </w:rPr>
      </w:pPr>
      <w:r w:rsidRPr="00D86E26">
        <w:rPr>
          <w:noProof/>
        </w:rPr>
        <w:t>14</w:t>
      </w:r>
      <w:r w:rsidRPr="00D86E26">
        <w:rPr>
          <w:noProof/>
        </w:rPr>
        <w:tab/>
        <w:t xml:space="preserve">Fischer, A., Vazquez-Garcia, I., Illingworth, C. J. &amp; Mustonen, V. High-definition reconstruction of clonal composition in cancer. </w:t>
      </w:r>
      <w:r w:rsidRPr="00D86E26">
        <w:rPr>
          <w:i/>
          <w:noProof/>
        </w:rPr>
        <w:t>Cell Rep</w:t>
      </w:r>
      <w:r w:rsidRPr="00D86E26">
        <w:rPr>
          <w:noProof/>
        </w:rPr>
        <w:t xml:space="preserve"> </w:t>
      </w:r>
      <w:r w:rsidRPr="00D86E26">
        <w:rPr>
          <w:b/>
          <w:noProof/>
        </w:rPr>
        <w:t>7</w:t>
      </w:r>
      <w:r w:rsidRPr="00D86E26">
        <w:rPr>
          <w:noProof/>
        </w:rPr>
        <w:t>, 1740-1752, doi:10.1016/j.celrep.2014.04.055 (2014).</w:t>
      </w:r>
    </w:p>
    <w:p w14:paraId="0ABCD043" w14:textId="77777777" w:rsidR="00D86E26" w:rsidRPr="00D86E26" w:rsidRDefault="00D86E26" w:rsidP="00D86E26">
      <w:pPr>
        <w:pStyle w:val="EndNoteBibliography"/>
        <w:ind w:left="720" w:hanging="720"/>
        <w:rPr>
          <w:noProof/>
        </w:rPr>
      </w:pPr>
      <w:r w:rsidRPr="00D86E26">
        <w:rPr>
          <w:noProof/>
        </w:rPr>
        <w:t>15</w:t>
      </w:r>
      <w:r w:rsidRPr="00D86E26">
        <w:rPr>
          <w:noProof/>
        </w:rPr>
        <w:tab/>
        <w:t xml:space="preserve">Li, Y., Zhou, S., Schwartz, D. C. &amp; Ma, J. Allele-Specific Quantification of Structural Variations in Cancer Genomes. </w:t>
      </w:r>
      <w:r w:rsidRPr="00D86E26">
        <w:rPr>
          <w:i/>
          <w:noProof/>
        </w:rPr>
        <w:t>Cell Syst</w:t>
      </w:r>
      <w:r w:rsidRPr="00D86E26">
        <w:rPr>
          <w:noProof/>
        </w:rPr>
        <w:t xml:space="preserve"> </w:t>
      </w:r>
      <w:r w:rsidRPr="00D86E26">
        <w:rPr>
          <w:b/>
          <w:noProof/>
        </w:rPr>
        <w:t>3</w:t>
      </w:r>
      <w:r w:rsidRPr="00D86E26">
        <w:rPr>
          <w:noProof/>
        </w:rPr>
        <w:t>, 21-34, doi:10.1016/j.cels.2016.05.007 (2016).</w:t>
      </w:r>
    </w:p>
    <w:p w14:paraId="5914FC86" w14:textId="77777777" w:rsidR="00D86E26" w:rsidRPr="00D86E26" w:rsidRDefault="00D86E26" w:rsidP="00D86E26">
      <w:pPr>
        <w:pStyle w:val="EndNoteBibliography"/>
        <w:ind w:left="720" w:hanging="720"/>
        <w:rPr>
          <w:noProof/>
        </w:rPr>
      </w:pPr>
      <w:r w:rsidRPr="00D86E26">
        <w:rPr>
          <w:noProof/>
        </w:rPr>
        <w:t>16</w:t>
      </w:r>
      <w:r w:rsidRPr="00D86E26">
        <w:rPr>
          <w:noProof/>
        </w:rPr>
        <w:tab/>
        <w:t xml:space="preserve">Medvedev, P., Fiume, M., Dzamba, M., Smith, T. &amp; Brudno, M. Detecting copy number variation with mated short reads. </w:t>
      </w:r>
      <w:r w:rsidRPr="00D86E26">
        <w:rPr>
          <w:i/>
          <w:noProof/>
        </w:rPr>
        <w:t>Genome Res</w:t>
      </w:r>
      <w:r w:rsidRPr="00D86E26">
        <w:rPr>
          <w:noProof/>
        </w:rPr>
        <w:t xml:space="preserve"> </w:t>
      </w:r>
      <w:r w:rsidRPr="00D86E26">
        <w:rPr>
          <w:b/>
          <w:noProof/>
        </w:rPr>
        <w:t>20</w:t>
      </w:r>
      <w:r w:rsidRPr="00D86E26">
        <w:rPr>
          <w:noProof/>
        </w:rPr>
        <w:t>, 1613-1622, doi:10.1101/gr.106344.110 (2010).</w:t>
      </w:r>
    </w:p>
    <w:p w14:paraId="044190D7" w14:textId="77777777" w:rsidR="00D86E26" w:rsidRPr="00D86E26" w:rsidRDefault="00D86E26" w:rsidP="00D86E26">
      <w:pPr>
        <w:pStyle w:val="EndNoteBibliography"/>
        <w:ind w:left="720" w:hanging="720"/>
        <w:rPr>
          <w:noProof/>
        </w:rPr>
      </w:pPr>
      <w:r w:rsidRPr="00D86E26">
        <w:rPr>
          <w:noProof/>
        </w:rPr>
        <w:t>17</w:t>
      </w:r>
      <w:r w:rsidRPr="00D86E26">
        <w:rPr>
          <w:noProof/>
        </w:rPr>
        <w:tab/>
        <w:t xml:space="preserve">Oesper, L., Ritz, A., Aerni, S. J., Drebin, R. &amp; Raphael, B. J. Reconstructing cancer genomes from paired-end sequencing data. </w:t>
      </w:r>
      <w:r w:rsidRPr="00D86E26">
        <w:rPr>
          <w:i/>
          <w:noProof/>
        </w:rPr>
        <w:t>BMC Bioinformatics</w:t>
      </w:r>
      <w:r w:rsidRPr="00D86E26">
        <w:rPr>
          <w:noProof/>
        </w:rPr>
        <w:t xml:space="preserve"> </w:t>
      </w:r>
      <w:r w:rsidRPr="00D86E26">
        <w:rPr>
          <w:b/>
          <w:noProof/>
        </w:rPr>
        <w:t>13 Suppl 6</w:t>
      </w:r>
      <w:r w:rsidRPr="00D86E26">
        <w:rPr>
          <w:noProof/>
        </w:rPr>
        <w:t>, S10, doi:10.1186/1471-2105-13-S6-S10 (2012).</w:t>
      </w:r>
    </w:p>
    <w:p w14:paraId="104F937C" w14:textId="77777777" w:rsidR="00D86E26" w:rsidRPr="00D86E26" w:rsidRDefault="00D86E26" w:rsidP="00D86E26">
      <w:pPr>
        <w:pStyle w:val="EndNoteBibliography"/>
        <w:ind w:left="720" w:hanging="720"/>
        <w:rPr>
          <w:noProof/>
        </w:rPr>
      </w:pPr>
      <w:r w:rsidRPr="00D86E26">
        <w:rPr>
          <w:noProof/>
        </w:rPr>
        <w:t>18</w:t>
      </w:r>
      <w:r w:rsidRPr="00D86E26">
        <w:rPr>
          <w:noProof/>
        </w:rPr>
        <w:tab/>
        <w:t>Van Loo, P.</w:t>
      </w:r>
      <w:r w:rsidRPr="00D86E26">
        <w:rPr>
          <w:i/>
          <w:noProof/>
        </w:rPr>
        <w:t xml:space="preserve"> et al.</w:t>
      </w:r>
      <w:r w:rsidRPr="00D86E26">
        <w:rPr>
          <w:noProof/>
        </w:rPr>
        <w:t xml:space="preserve"> Allele-specific copy number analysis of tumors. </w:t>
      </w:r>
      <w:r w:rsidRPr="00D86E26">
        <w:rPr>
          <w:i/>
          <w:noProof/>
        </w:rPr>
        <w:t>Proc Natl Acad Sci U S A</w:t>
      </w:r>
      <w:r w:rsidRPr="00D86E26">
        <w:rPr>
          <w:noProof/>
        </w:rPr>
        <w:t xml:space="preserve"> </w:t>
      </w:r>
      <w:r w:rsidRPr="00D86E26">
        <w:rPr>
          <w:b/>
          <w:noProof/>
        </w:rPr>
        <w:t>107</w:t>
      </w:r>
      <w:r w:rsidRPr="00D86E26">
        <w:rPr>
          <w:noProof/>
        </w:rPr>
        <w:t>, 16910-16915, doi:10.1073/pnas.1009843107 (2010).</w:t>
      </w:r>
    </w:p>
    <w:p w14:paraId="547781A1" w14:textId="77777777" w:rsidR="00D86E26" w:rsidRPr="00D86E26" w:rsidRDefault="00D86E26" w:rsidP="00D86E26">
      <w:pPr>
        <w:pStyle w:val="EndNoteBibliography"/>
        <w:ind w:left="720" w:hanging="720"/>
        <w:rPr>
          <w:noProof/>
        </w:rPr>
      </w:pPr>
      <w:r w:rsidRPr="00D86E26">
        <w:rPr>
          <w:noProof/>
        </w:rPr>
        <w:t>19</w:t>
      </w:r>
      <w:r w:rsidRPr="00D86E26">
        <w:rPr>
          <w:noProof/>
        </w:rPr>
        <w:tab/>
        <w:t>George, J.</w:t>
      </w:r>
      <w:r w:rsidRPr="00D86E26">
        <w:rPr>
          <w:i/>
          <w:noProof/>
        </w:rPr>
        <w:t xml:space="preserve"> et al.</w:t>
      </w:r>
      <w:r w:rsidRPr="00D86E26">
        <w:rPr>
          <w:noProof/>
        </w:rPr>
        <w:t xml:space="preserve"> Comprehensive genomic profiles of small cell lung cancer. </w:t>
      </w:r>
      <w:r w:rsidRPr="00D86E26">
        <w:rPr>
          <w:i/>
          <w:noProof/>
        </w:rPr>
        <w:t>Nature</w:t>
      </w:r>
      <w:r w:rsidRPr="00D86E26">
        <w:rPr>
          <w:noProof/>
        </w:rPr>
        <w:t xml:space="preserve"> </w:t>
      </w:r>
      <w:r w:rsidRPr="00D86E26">
        <w:rPr>
          <w:b/>
          <w:noProof/>
        </w:rPr>
        <w:t>524</w:t>
      </w:r>
      <w:r w:rsidRPr="00D86E26">
        <w:rPr>
          <w:noProof/>
        </w:rPr>
        <w:t>, 47-53, doi:10.1038/nature14664 (2015).</w:t>
      </w:r>
    </w:p>
    <w:p w14:paraId="0A35AD7C" w14:textId="77777777" w:rsidR="00D86E26" w:rsidRPr="00D86E26" w:rsidRDefault="00D86E26" w:rsidP="00D86E26">
      <w:pPr>
        <w:pStyle w:val="EndNoteBibliography"/>
        <w:ind w:left="720" w:hanging="720"/>
        <w:rPr>
          <w:noProof/>
        </w:rPr>
      </w:pPr>
      <w:r w:rsidRPr="00D86E26">
        <w:rPr>
          <w:noProof/>
        </w:rPr>
        <w:t>20</w:t>
      </w:r>
      <w:r w:rsidRPr="00D86E26">
        <w:rPr>
          <w:noProof/>
        </w:rPr>
        <w:tab/>
        <w:t>Peifer, M.</w:t>
      </w:r>
      <w:r w:rsidRPr="00D86E26">
        <w:rPr>
          <w:i/>
          <w:noProof/>
        </w:rPr>
        <w:t xml:space="preserve"> et al.</w:t>
      </w:r>
      <w:r w:rsidRPr="00D86E26">
        <w:rPr>
          <w:noProof/>
        </w:rPr>
        <w:t xml:space="preserve"> Telomerase activation by genomic rearrangements in high-risk neuroblastoma. </w:t>
      </w:r>
      <w:r w:rsidRPr="00D86E26">
        <w:rPr>
          <w:i/>
          <w:noProof/>
        </w:rPr>
        <w:t>Nature</w:t>
      </w:r>
      <w:r w:rsidRPr="00D86E26">
        <w:rPr>
          <w:noProof/>
        </w:rPr>
        <w:t xml:space="preserve"> </w:t>
      </w:r>
      <w:r w:rsidRPr="00D86E26">
        <w:rPr>
          <w:b/>
          <w:noProof/>
        </w:rPr>
        <w:t>526</w:t>
      </w:r>
      <w:r w:rsidRPr="00D86E26">
        <w:rPr>
          <w:noProof/>
        </w:rPr>
        <w:t>, 700-704, doi:10.1038/nature14980 (2015).</w:t>
      </w:r>
    </w:p>
    <w:p w14:paraId="52200272" w14:textId="77777777" w:rsidR="00D86E26" w:rsidRPr="00D86E26" w:rsidRDefault="00D86E26" w:rsidP="00D86E26">
      <w:pPr>
        <w:pStyle w:val="EndNoteBibliography"/>
        <w:ind w:left="720" w:hanging="720"/>
        <w:rPr>
          <w:noProof/>
        </w:rPr>
      </w:pPr>
      <w:r w:rsidRPr="00D86E26">
        <w:rPr>
          <w:noProof/>
        </w:rPr>
        <w:t>21</w:t>
      </w:r>
      <w:r w:rsidRPr="00D86E26">
        <w:rPr>
          <w:noProof/>
        </w:rPr>
        <w:tab/>
        <w:t xml:space="preserve">Aran, D., Sirota, M. &amp; Butte, A. J. Systematic pan-cancer analysis of tumour purity. </w:t>
      </w:r>
      <w:r w:rsidRPr="00D86E26">
        <w:rPr>
          <w:i/>
          <w:noProof/>
        </w:rPr>
        <w:t>Nat Commun</w:t>
      </w:r>
      <w:r w:rsidRPr="00D86E26">
        <w:rPr>
          <w:noProof/>
        </w:rPr>
        <w:t xml:space="preserve"> </w:t>
      </w:r>
      <w:r w:rsidRPr="00D86E26">
        <w:rPr>
          <w:b/>
          <w:noProof/>
        </w:rPr>
        <w:t>6</w:t>
      </w:r>
      <w:r w:rsidRPr="00D86E26">
        <w:rPr>
          <w:noProof/>
        </w:rPr>
        <w:t>, 8971, doi:10.1038/ncomms9971 (2015).</w:t>
      </w:r>
    </w:p>
    <w:p w14:paraId="61EF7AAD" w14:textId="77777777" w:rsidR="00D86E26" w:rsidRPr="00D86E26" w:rsidRDefault="00D86E26" w:rsidP="00D86E26">
      <w:pPr>
        <w:pStyle w:val="EndNoteBibliography"/>
        <w:ind w:left="720" w:hanging="720"/>
        <w:rPr>
          <w:noProof/>
        </w:rPr>
      </w:pPr>
      <w:r w:rsidRPr="00D86E26">
        <w:rPr>
          <w:noProof/>
        </w:rPr>
        <w:lastRenderedPageBreak/>
        <w:t>22</w:t>
      </w:r>
      <w:r w:rsidRPr="00D86E26">
        <w:rPr>
          <w:noProof/>
        </w:rPr>
        <w:tab/>
        <w:t xml:space="preserve">Dempster, A. P., Laird, N. M. &amp; Rubin, D. B. Maximum Likelihood from Incomplete Data Via Em Algorithm. </w:t>
      </w:r>
      <w:r w:rsidRPr="00D86E26">
        <w:rPr>
          <w:i/>
          <w:noProof/>
        </w:rPr>
        <w:t>J Roy Stat Soc B Met</w:t>
      </w:r>
      <w:r w:rsidRPr="00D86E26">
        <w:rPr>
          <w:noProof/>
        </w:rPr>
        <w:t xml:space="preserve"> </w:t>
      </w:r>
      <w:r w:rsidRPr="00D86E26">
        <w:rPr>
          <w:b/>
          <w:noProof/>
        </w:rPr>
        <w:t>39</w:t>
      </w:r>
      <w:r w:rsidRPr="00D86E26">
        <w:rPr>
          <w:noProof/>
        </w:rPr>
        <w:t>, 1-38 (1977).</w:t>
      </w:r>
    </w:p>
    <w:p w14:paraId="76C7866A" w14:textId="77777777" w:rsidR="00D86E26" w:rsidRPr="00D86E26" w:rsidRDefault="00D86E26" w:rsidP="00D86E26">
      <w:pPr>
        <w:pStyle w:val="EndNoteBibliography"/>
        <w:ind w:left="720" w:hanging="720"/>
        <w:rPr>
          <w:noProof/>
        </w:rPr>
      </w:pPr>
      <w:r w:rsidRPr="00D86E26">
        <w:rPr>
          <w:noProof/>
        </w:rPr>
        <w:t>23</w:t>
      </w:r>
      <w:r w:rsidRPr="00D86E26">
        <w:rPr>
          <w:noProof/>
        </w:rPr>
        <w:tab/>
        <w:t xml:space="preserve">Schwarz, G. Estimating Dimension of a Model. </w:t>
      </w:r>
      <w:r w:rsidRPr="00D86E26">
        <w:rPr>
          <w:i/>
          <w:noProof/>
        </w:rPr>
        <w:t>Ann Stat</w:t>
      </w:r>
      <w:r w:rsidRPr="00D86E26">
        <w:rPr>
          <w:noProof/>
        </w:rPr>
        <w:t xml:space="preserve"> </w:t>
      </w:r>
      <w:r w:rsidRPr="00D86E26">
        <w:rPr>
          <w:b/>
          <w:noProof/>
        </w:rPr>
        <w:t>6</w:t>
      </w:r>
      <w:r w:rsidRPr="00D86E26">
        <w:rPr>
          <w:noProof/>
        </w:rPr>
        <w:t>, 461-464, doi:10.1214/aos/1176344136 (1978).</w:t>
      </w:r>
    </w:p>
    <w:p w14:paraId="227DC86D" w14:textId="77777777" w:rsidR="00D86E26" w:rsidRPr="00D86E26" w:rsidRDefault="00D86E26" w:rsidP="00D86E26">
      <w:pPr>
        <w:pStyle w:val="EndNoteBibliography"/>
        <w:ind w:left="720" w:hanging="720"/>
        <w:rPr>
          <w:noProof/>
        </w:rPr>
      </w:pPr>
      <w:r w:rsidRPr="00D86E26">
        <w:rPr>
          <w:noProof/>
        </w:rPr>
        <w:t>24</w:t>
      </w:r>
      <w:r w:rsidRPr="00D86E26">
        <w:rPr>
          <w:noProof/>
        </w:rPr>
        <w:tab/>
        <w:t xml:space="preserve">Scrucca, L., Fop, M., Murphy, T. B. &amp; Raftery, A. E. mclust 5: Clustering, Classification and Density Estimation Using Gaussian Finite Mixture Models. </w:t>
      </w:r>
      <w:r w:rsidRPr="00D86E26">
        <w:rPr>
          <w:i/>
          <w:noProof/>
        </w:rPr>
        <w:t>R J</w:t>
      </w:r>
      <w:r w:rsidRPr="00D86E26">
        <w:rPr>
          <w:noProof/>
        </w:rPr>
        <w:t xml:space="preserve"> </w:t>
      </w:r>
      <w:r w:rsidRPr="00D86E26">
        <w:rPr>
          <w:b/>
          <w:noProof/>
        </w:rPr>
        <w:t>8</w:t>
      </w:r>
      <w:r w:rsidRPr="00D86E26">
        <w:rPr>
          <w:noProof/>
        </w:rPr>
        <w:t>, 289-317 (2016).</w:t>
      </w:r>
    </w:p>
    <w:p w14:paraId="3CAC9966" w14:textId="34124AA9" w:rsidR="00D86E26" w:rsidRPr="00D86E26" w:rsidRDefault="00D86E26" w:rsidP="00D86E26">
      <w:pPr>
        <w:pStyle w:val="EndNoteBibliography"/>
        <w:ind w:left="720" w:hanging="720"/>
        <w:rPr>
          <w:noProof/>
        </w:rPr>
      </w:pPr>
      <w:r w:rsidRPr="00D86E26">
        <w:rPr>
          <w:noProof/>
        </w:rPr>
        <w:t>25</w:t>
      </w:r>
      <w:r w:rsidRPr="00D86E26">
        <w:rPr>
          <w:noProof/>
        </w:rPr>
        <w:tab/>
        <w:t xml:space="preserve">Fraley, C., Raftery, A., and Scrucca, L. . </w:t>
      </w:r>
      <w:r w:rsidRPr="00D86E26">
        <w:rPr>
          <w:i/>
          <w:noProof/>
        </w:rPr>
        <w:t>mclust: Gaussian mixture modelling for model-based clustering, classification, and density estimation</w:t>
      </w:r>
      <w:r w:rsidRPr="00D86E26">
        <w:rPr>
          <w:noProof/>
        </w:rPr>
        <w:t>, &lt;</w:t>
      </w:r>
      <w:hyperlink r:id="rId56" w:history="1">
        <w:r w:rsidRPr="00D86E26">
          <w:rPr>
            <w:rStyle w:val="Hyperlink"/>
            <w:noProof/>
            <w:sz w:val="24"/>
            <w:lang w:val="en-GB"/>
          </w:rPr>
          <w:t>https://cran.r-project.org/package=mclust</w:t>
        </w:r>
      </w:hyperlink>
      <w:r w:rsidRPr="00D86E26">
        <w:rPr>
          <w:noProof/>
        </w:rPr>
        <w:t>&gt; (2016).</w:t>
      </w:r>
    </w:p>
    <w:p w14:paraId="558E44A9" w14:textId="77777777" w:rsidR="00D86E26" w:rsidRPr="00D86E26" w:rsidRDefault="00D86E26" w:rsidP="00D86E26">
      <w:pPr>
        <w:pStyle w:val="EndNoteBibliography"/>
        <w:ind w:left="720" w:hanging="720"/>
        <w:rPr>
          <w:noProof/>
        </w:rPr>
      </w:pPr>
      <w:r w:rsidRPr="00D86E26">
        <w:rPr>
          <w:noProof/>
        </w:rPr>
        <w:t>26</w:t>
      </w:r>
      <w:r w:rsidRPr="00D86E26">
        <w:rPr>
          <w:noProof/>
        </w:rPr>
        <w:tab/>
        <w:t xml:space="preserve">Hennig, C. Methods for merging Gaussian mixture components. </w:t>
      </w:r>
      <w:r w:rsidRPr="00D86E26">
        <w:rPr>
          <w:i/>
          <w:noProof/>
        </w:rPr>
        <w:t>Advances in Data Analysis and Classification</w:t>
      </w:r>
      <w:r w:rsidRPr="00D86E26">
        <w:rPr>
          <w:noProof/>
        </w:rPr>
        <w:t xml:space="preserve"> </w:t>
      </w:r>
      <w:r w:rsidRPr="00D86E26">
        <w:rPr>
          <w:b/>
          <w:noProof/>
        </w:rPr>
        <w:t>4</w:t>
      </w:r>
      <w:r w:rsidRPr="00D86E26">
        <w:rPr>
          <w:noProof/>
        </w:rPr>
        <w:t>, 3-34, doi:10.1007/s11634-010-0058-3 (2010).</w:t>
      </w:r>
    </w:p>
    <w:p w14:paraId="012030F6" w14:textId="77777777" w:rsidR="00D86E26" w:rsidRPr="00D86E26" w:rsidRDefault="00D86E26" w:rsidP="00D86E26">
      <w:pPr>
        <w:pStyle w:val="EndNoteBibliography"/>
        <w:ind w:left="720" w:hanging="720"/>
        <w:rPr>
          <w:noProof/>
        </w:rPr>
      </w:pPr>
      <w:r w:rsidRPr="00D86E26">
        <w:rPr>
          <w:noProof/>
        </w:rPr>
        <w:t>27</w:t>
      </w:r>
      <w:r w:rsidRPr="00D86E26">
        <w:rPr>
          <w:noProof/>
        </w:rPr>
        <w:tab/>
        <w:t xml:space="preserve">Ray, S. &amp; Lindsay, B. G. The topography of multivariate normal mixtures. </w:t>
      </w:r>
      <w:r w:rsidRPr="00D86E26">
        <w:rPr>
          <w:i/>
          <w:noProof/>
        </w:rPr>
        <w:t>Ann Stat</w:t>
      </w:r>
      <w:r w:rsidRPr="00D86E26">
        <w:rPr>
          <w:noProof/>
        </w:rPr>
        <w:t xml:space="preserve"> </w:t>
      </w:r>
      <w:r w:rsidRPr="00D86E26">
        <w:rPr>
          <w:b/>
          <w:noProof/>
        </w:rPr>
        <w:t>33</w:t>
      </w:r>
      <w:r w:rsidRPr="00D86E26">
        <w:rPr>
          <w:noProof/>
        </w:rPr>
        <w:t>, 2042-2065, doi:10.1214/00905360500000417 (2005).</w:t>
      </w:r>
    </w:p>
    <w:p w14:paraId="4BF3DF46" w14:textId="77777777" w:rsidR="00D86E26" w:rsidRPr="00D86E26" w:rsidRDefault="00D86E26" w:rsidP="00D86E26">
      <w:pPr>
        <w:pStyle w:val="EndNoteBibliography"/>
        <w:ind w:left="720" w:hanging="720"/>
        <w:rPr>
          <w:noProof/>
        </w:rPr>
      </w:pPr>
      <w:r w:rsidRPr="00D86E26">
        <w:rPr>
          <w:noProof/>
        </w:rPr>
        <w:t>28</w:t>
      </w:r>
      <w:r w:rsidRPr="00D86E26">
        <w:rPr>
          <w:noProof/>
        </w:rPr>
        <w:tab/>
        <w:t xml:space="preserve">Archambeau, C. &amp; Verleysen, M. Robust Bayesian clustering. </w:t>
      </w:r>
      <w:r w:rsidRPr="00D86E26">
        <w:rPr>
          <w:i/>
          <w:noProof/>
        </w:rPr>
        <w:t>Neural Netw</w:t>
      </w:r>
      <w:r w:rsidRPr="00D86E26">
        <w:rPr>
          <w:noProof/>
        </w:rPr>
        <w:t xml:space="preserve"> </w:t>
      </w:r>
      <w:r w:rsidRPr="00D86E26">
        <w:rPr>
          <w:b/>
          <w:noProof/>
        </w:rPr>
        <w:t>20</w:t>
      </w:r>
      <w:r w:rsidRPr="00D86E26">
        <w:rPr>
          <w:noProof/>
        </w:rPr>
        <w:t>, 129-138, doi:10.1016/j.neunet.2006.06.009 (2007).</w:t>
      </w:r>
    </w:p>
    <w:p w14:paraId="3AB1C224" w14:textId="77777777" w:rsidR="00D86E26" w:rsidRPr="00D86E26" w:rsidRDefault="00D86E26" w:rsidP="00D86E26">
      <w:pPr>
        <w:pStyle w:val="EndNoteBibliography"/>
        <w:ind w:left="720" w:hanging="720"/>
        <w:rPr>
          <w:noProof/>
        </w:rPr>
      </w:pPr>
      <w:r w:rsidRPr="00D86E26">
        <w:rPr>
          <w:noProof/>
        </w:rPr>
        <w:t>29</w:t>
      </w:r>
      <w:r w:rsidRPr="00D86E26">
        <w:rPr>
          <w:noProof/>
        </w:rPr>
        <w:tab/>
        <w:t xml:space="preserve">Tibshirani, R. Regression shrinkage and selection via the Lasso. </w:t>
      </w:r>
      <w:r w:rsidRPr="00D86E26">
        <w:rPr>
          <w:i/>
          <w:noProof/>
        </w:rPr>
        <w:t>J Roy Stat Soc B Met</w:t>
      </w:r>
      <w:r w:rsidRPr="00D86E26">
        <w:rPr>
          <w:noProof/>
        </w:rPr>
        <w:t xml:space="preserve"> </w:t>
      </w:r>
      <w:r w:rsidRPr="00D86E26">
        <w:rPr>
          <w:b/>
          <w:noProof/>
        </w:rPr>
        <w:t>58</w:t>
      </w:r>
      <w:r w:rsidRPr="00D86E26">
        <w:rPr>
          <w:noProof/>
        </w:rPr>
        <w:t>, 267-288 (1996).</w:t>
      </w:r>
    </w:p>
    <w:p w14:paraId="35AD6299" w14:textId="77777777" w:rsidR="00D86E26" w:rsidRPr="00D86E26" w:rsidRDefault="00D86E26" w:rsidP="00D86E26">
      <w:pPr>
        <w:pStyle w:val="EndNoteBibliography"/>
        <w:ind w:left="720" w:hanging="720"/>
        <w:rPr>
          <w:noProof/>
        </w:rPr>
      </w:pPr>
      <w:r w:rsidRPr="00D86E26">
        <w:rPr>
          <w:noProof/>
        </w:rPr>
        <w:t>30</w:t>
      </w:r>
      <w:r w:rsidRPr="00D86E26">
        <w:rPr>
          <w:noProof/>
        </w:rPr>
        <w:tab/>
        <w:t xml:space="preserve">Zhang, C. H. Nearly Unbiased Variable Selection under Minimax Concave Penalty. </w:t>
      </w:r>
      <w:r w:rsidRPr="00D86E26">
        <w:rPr>
          <w:i/>
          <w:noProof/>
        </w:rPr>
        <w:t>Ann Stat</w:t>
      </w:r>
      <w:r w:rsidRPr="00D86E26">
        <w:rPr>
          <w:noProof/>
        </w:rPr>
        <w:t xml:space="preserve"> </w:t>
      </w:r>
      <w:r w:rsidRPr="00D86E26">
        <w:rPr>
          <w:b/>
          <w:noProof/>
        </w:rPr>
        <w:t>38</w:t>
      </w:r>
      <w:r w:rsidRPr="00D86E26">
        <w:rPr>
          <w:noProof/>
        </w:rPr>
        <w:t>, 894-942, doi:10.1214/09-Aos729 (2010).</w:t>
      </w:r>
    </w:p>
    <w:p w14:paraId="59E8BB20" w14:textId="77777777" w:rsidR="00D86E26" w:rsidRPr="00D86E26" w:rsidRDefault="00D86E26" w:rsidP="00D86E26">
      <w:pPr>
        <w:pStyle w:val="EndNoteBibliography"/>
        <w:ind w:left="720" w:hanging="720"/>
        <w:rPr>
          <w:noProof/>
        </w:rPr>
      </w:pPr>
      <w:r w:rsidRPr="00D86E26">
        <w:rPr>
          <w:noProof/>
        </w:rPr>
        <w:t>31</w:t>
      </w:r>
      <w:r w:rsidRPr="00D86E26">
        <w:rPr>
          <w:noProof/>
        </w:rPr>
        <w:tab/>
        <w:t xml:space="preserve">Fan, J. Q. &amp; Li, R. Z. Variable selection via nonconcave penalized likelihood and its oracle properties. </w:t>
      </w:r>
      <w:r w:rsidRPr="00D86E26">
        <w:rPr>
          <w:i/>
          <w:noProof/>
        </w:rPr>
        <w:t>J Am Stat Assoc</w:t>
      </w:r>
      <w:r w:rsidRPr="00D86E26">
        <w:rPr>
          <w:noProof/>
        </w:rPr>
        <w:t xml:space="preserve"> </w:t>
      </w:r>
      <w:r w:rsidRPr="00D86E26">
        <w:rPr>
          <w:b/>
          <w:noProof/>
        </w:rPr>
        <w:t>96</w:t>
      </w:r>
      <w:r w:rsidRPr="00D86E26">
        <w:rPr>
          <w:noProof/>
        </w:rPr>
        <w:t>, 1348-1360, doi:10.1198/016214501753382273 (2001).</w:t>
      </w:r>
    </w:p>
    <w:p w14:paraId="1F18C29C" w14:textId="77777777" w:rsidR="00D86E26" w:rsidRPr="00D86E26" w:rsidRDefault="00D86E26" w:rsidP="00D86E26">
      <w:pPr>
        <w:pStyle w:val="EndNoteBibliography"/>
        <w:ind w:left="720" w:hanging="720"/>
        <w:rPr>
          <w:noProof/>
        </w:rPr>
      </w:pPr>
      <w:r w:rsidRPr="00D86E26">
        <w:rPr>
          <w:noProof/>
        </w:rPr>
        <w:t>32</w:t>
      </w:r>
      <w:r w:rsidRPr="00D86E26">
        <w:rPr>
          <w:noProof/>
        </w:rPr>
        <w:tab/>
        <w:t>Donmez, N.</w:t>
      </w:r>
      <w:r w:rsidRPr="00D86E26">
        <w:rPr>
          <w:i/>
          <w:noProof/>
        </w:rPr>
        <w:t xml:space="preserve"> et al.</w:t>
      </w:r>
      <w:r w:rsidRPr="00D86E26">
        <w:rPr>
          <w:noProof/>
        </w:rPr>
        <w:t xml:space="preserve"> Clonality Inference from Single Tumor Samples Using Low-Coverage Sequence Data. </w:t>
      </w:r>
      <w:r w:rsidRPr="00D86E26">
        <w:rPr>
          <w:i/>
          <w:noProof/>
        </w:rPr>
        <w:t>J Comput Biol</w:t>
      </w:r>
      <w:r w:rsidRPr="00D86E26">
        <w:rPr>
          <w:noProof/>
        </w:rPr>
        <w:t xml:space="preserve"> </w:t>
      </w:r>
      <w:r w:rsidRPr="00D86E26">
        <w:rPr>
          <w:b/>
          <w:noProof/>
        </w:rPr>
        <w:t>24</w:t>
      </w:r>
      <w:r w:rsidRPr="00D86E26">
        <w:rPr>
          <w:noProof/>
        </w:rPr>
        <w:t>, 515-523, doi:10.1089/cmb.2016.0148 (2017).</w:t>
      </w:r>
    </w:p>
    <w:p w14:paraId="427C91B8" w14:textId="77777777" w:rsidR="00D86E26" w:rsidRPr="00D86E26" w:rsidRDefault="00D86E26" w:rsidP="00D86E26">
      <w:pPr>
        <w:pStyle w:val="EndNoteBibliography"/>
        <w:ind w:left="720" w:hanging="720"/>
        <w:rPr>
          <w:noProof/>
        </w:rPr>
      </w:pPr>
      <w:r w:rsidRPr="00D86E26">
        <w:rPr>
          <w:noProof/>
        </w:rPr>
        <w:t>33</w:t>
      </w:r>
      <w:r w:rsidRPr="00D86E26">
        <w:rPr>
          <w:noProof/>
        </w:rPr>
        <w:tab/>
        <w:t xml:space="preserve">MacEachern, S. N. in </w:t>
      </w:r>
      <w:r w:rsidRPr="00D86E26">
        <w:rPr>
          <w:i/>
          <w:noProof/>
        </w:rPr>
        <w:t>Practical Nonparametric and Semiparametric Bayesian Statistics</w:t>
      </w:r>
      <w:r w:rsidRPr="00D86E26">
        <w:rPr>
          <w:noProof/>
        </w:rPr>
        <w:t xml:space="preserve">   (eds Dipak Dey, Peter Müller, &amp; Debajyoti Sinha)  23-43 (Springer New York, 1998).</w:t>
      </w:r>
    </w:p>
    <w:p w14:paraId="56BA1FDC" w14:textId="77777777" w:rsidR="00D86E26" w:rsidRPr="00D86E26" w:rsidRDefault="00D86E26" w:rsidP="00D86E26">
      <w:pPr>
        <w:pStyle w:val="EndNoteBibliography"/>
        <w:ind w:left="720" w:hanging="720"/>
        <w:rPr>
          <w:noProof/>
        </w:rPr>
      </w:pPr>
      <w:r w:rsidRPr="00D86E26">
        <w:rPr>
          <w:noProof/>
        </w:rPr>
        <w:t>34</w:t>
      </w:r>
      <w:r w:rsidRPr="00D86E26">
        <w:rPr>
          <w:noProof/>
        </w:rPr>
        <w:tab/>
        <w:t>Bolli, N.</w:t>
      </w:r>
      <w:r w:rsidRPr="00D86E26">
        <w:rPr>
          <w:i/>
          <w:noProof/>
        </w:rPr>
        <w:t xml:space="preserve"> et al.</w:t>
      </w:r>
      <w:r w:rsidRPr="00D86E26">
        <w:rPr>
          <w:noProof/>
        </w:rPr>
        <w:t xml:space="preserve"> Heterogeneity of genomic evolution and mutational profiles in multiple myeloma. </w:t>
      </w:r>
      <w:r w:rsidRPr="00D86E26">
        <w:rPr>
          <w:i/>
          <w:noProof/>
        </w:rPr>
        <w:t>Nat Commun</w:t>
      </w:r>
      <w:r w:rsidRPr="00D86E26">
        <w:rPr>
          <w:noProof/>
        </w:rPr>
        <w:t xml:space="preserve"> </w:t>
      </w:r>
      <w:r w:rsidRPr="00D86E26">
        <w:rPr>
          <w:b/>
          <w:noProof/>
        </w:rPr>
        <w:t>5</w:t>
      </w:r>
      <w:r w:rsidRPr="00D86E26">
        <w:rPr>
          <w:noProof/>
        </w:rPr>
        <w:t>, 2997, doi:10.1038/ncomms3997 (2014).</w:t>
      </w:r>
    </w:p>
    <w:p w14:paraId="5B0C17E8" w14:textId="77777777" w:rsidR="00D86E26" w:rsidRPr="00D86E26" w:rsidRDefault="00D86E26" w:rsidP="00D86E26">
      <w:pPr>
        <w:pStyle w:val="EndNoteBibliography"/>
        <w:ind w:left="720" w:hanging="720"/>
        <w:rPr>
          <w:noProof/>
        </w:rPr>
      </w:pPr>
      <w:r w:rsidRPr="00D86E26">
        <w:rPr>
          <w:noProof/>
        </w:rPr>
        <w:t>35</w:t>
      </w:r>
      <w:r w:rsidRPr="00D86E26">
        <w:rPr>
          <w:noProof/>
        </w:rPr>
        <w:tab/>
        <w:t>Landau, D. A.</w:t>
      </w:r>
      <w:r w:rsidRPr="00D86E26">
        <w:rPr>
          <w:i/>
          <w:noProof/>
        </w:rPr>
        <w:t xml:space="preserve"> et al.</w:t>
      </w:r>
      <w:r w:rsidRPr="00D86E26">
        <w:rPr>
          <w:noProof/>
        </w:rPr>
        <w:t xml:space="preserve"> Evolution and impact of subclonal mutations in chronic lymphocytic leukemia. </w:t>
      </w:r>
      <w:r w:rsidRPr="00D86E26">
        <w:rPr>
          <w:i/>
          <w:noProof/>
        </w:rPr>
        <w:t>Cell</w:t>
      </w:r>
      <w:r w:rsidRPr="00D86E26">
        <w:rPr>
          <w:noProof/>
        </w:rPr>
        <w:t xml:space="preserve"> </w:t>
      </w:r>
      <w:r w:rsidRPr="00D86E26">
        <w:rPr>
          <w:b/>
          <w:noProof/>
        </w:rPr>
        <w:t>152</w:t>
      </w:r>
      <w:r w:rsidRPr="00D86E26">
        <w:rPr>
          <w:noProof/>
        </w:rPr>
        <w:t>, 714-726, doi:10.1016/j.cell.2013.01.019 (2013).</w:t>
      </w:r>
    </w:p>
    <w:p w14:paraId="23A639C2" w14:textId="77777777" w:rsidR="00D86E26" w:rsidRPr="00D86E26" w:rsidRDefault="00D86E26" w:rsidP="00D86E26">
      <w:pPr>
        <w:pStyle w:val="EndNoteBibliography"/>
        <w:ind w:left="720" w:hanging="720"/>
        <w:rPr>
          <w:noProof/>
        </w:rPr>
      </w:pPr>
      <w:r w:rsidRPr="00D86E26">
        <w:rPr>
          <w:noProof/>
        </w:rPr>
        <w:t>36</w:t>
      </w:r>
      <w:r w:rsidRPr="00D86E26">
        <w:rPr>
          <w:noProof/>
        </w:rPr>
        <w:tab/>
        <w:t>Shaw, A. T.</w:t>
      </w:r>
      <w:r w:rsidRPr="00D86E26">
        <w:rPr>
          <w:i/>
          <w:noProof/>
        </w:rPr>
        <w:t xml:space="preserve"> et al.</w:t>
      </w:r>
      <w:r w:rsidRPr="00D86E26">
        <w:rPr>
          <w:noProof/>
        </w:rPr>
        <w:t xml:space="preserve"> Resensitization to Crizotinib by the Lorlatinib ALK Resistance Mutation L1198F. </w:t>
      </w:r>
      <w:r w:rsidRPr="00D86E26">
        <w:rPr>
          <w:i/>
          <w:noProof/>
        </w:rPr>
        <w:t>N Engl J Med</w:t>
      </w:r>
      <w:r w:rsidRPr="00D86E26">
        <w:rPr>
          <w:noProof/>
        </w:rPr>
        <w:t xml:space="preserve"> </w:t>
      </w:r>
      <w:r w:rsidRPr="00D86E26">
        <w:rPr>
          <w:b/>
          <w:noProof/>
        </w:rPr>
        <w:t>374</w:t>
      </w:r>
      <w:r w:rsidRPr="00D86E26">
        <w:rPr>
          <w:noProof/>
        </w:rPr>
        <w:t>, 54-61, doi:10.1056/NEJMoa1508887 (2016).</w:t>
      </w:r>
    </w:p>
    <w:p w14:paraId="6AFF9F9E" w14:textId="77777777" w:rsidR="00D86E26" w:rsidRPr="00D86E26" w:rsidRDefault="00D86E26" w:rsidP="00D86E26">
      <w:pPr>
        <w:pStyle w:val="EndNoteBibliography"/>
        <w:ind w:left="720" w:hanging="720"/>
        <w:rPr>
          <w:noProof/>
        </w:rPr>
      </w:pPr>
      <w:r w:rsidRPr="00D86E26">
        <w:rPr>
          <w:noProof/>
        </w:rPr>
        <w:t>37</w:t>
      </w:r>
      <w:r w:rsidRPr="00D86E26">
        <w:rPr>
          <w:noProof/>
        </w:rPr>
        <w:tab/>
        <w:t xml:space="preserve">al., B. e. </w:t>
      </w:r>
      <w:r w:rsidRPr="00D86E26">
        <w:rPr>
          <w:i/>
          <w:noProof/>
        </w:rPr>
        <w:t>Precision Oncology</w:t>
      </w:r>
      <w:r w:rsidRPr="00D86E26">
        <w:rPr>
          <w:noProof/>
        </w:rPr>
        <w:t xml:space="preserve"> (2017).</w:t>
      </w:r>
    </w:p>
    <w:p w14:paraId="29DC56E3" w14:textId="77777777" w:rsidR="00D86E26" w:rsidRPr="00D86E26" w:rsidRDefault="00D86E26" w:rsidP="00D86E26">
      <w:pPr>
        <w:pStyle w:val="EndNoteBibliography"/>
        <w:ind w:left="720" w:hanging="720"/>
        <w:rPr>
          <w:noProof/>
        </w:rPr>
      </w:pPr>
      <w:r w:rsidRPr="00D86E26">
        <w:rPr>
          <w:noProof/>
        </w:rPr>
        <w:t>38</w:t>
      </w:r>
      <w:r w:rsidRPr="00D86E26">
        <w:rPr>
          <w:noProof/>
        </w:rPr>
        <w:tab/>
        <w:t xml:space="preserve">Escobar, M. D. &amp; West, M. Bayesian Density Estimation and Inference Using Mixtures. </w:t>
      </w:r>
      <w:r w:rsidRPr="00D86E26">
        <w:rPr>
          <w:i/>
          <w:noProof/>
        </w:rPr>
        <w:t>J Am Stat Assoc</w:t>
      </w:r>
      <w:r w:rsidRPr="00D86E26">
        <w:rPr>
          <w:noProof/>
        </w:rPr>
        <w:t xml:space="preserve"> </w:t>
      </w:r>
      <w:r w:rsidRPr="00D86E26">
        <w:rPr>
          <w:b/>
          <w:noProof/>
        </w:rPr>
        <w:t>90</w:t>
      </w:r>
      <w:r w:rsidRPr="00D86E26">
        <w:rPr>
          <w:noProof/>
        </w:rPr>
        <w:t>, 577-588, doi:10.2307/2291069 (1995).</w:t>
      </w:r>
    </w:p>
    <w:p w14:paraId="76CECAB0" w14:textId="77777777" w:rsidR="00D86E26" w:rsidRPr="00D86E26" w:rsidRDefault="00D86E26" w:rsidP="00D86E26">
      <w:pPr>
        <w:pStyle w:val="EndNoteBibliography"/>
        <w:ind w:left="720" w:hanging="720"/>
        <w:rPr>
          <w:noProof/>
        </w:rPr>
      </w:pPr>
      <w:r w:rsidRPr="00D86E26">
        <w:rPr>
          <w:noProof/>
        </w:rPr>
        <w:t>39</w:t>
      </w:r>
      <w:r w:rsidRPr="00D86E26">
        <w:rPr>
          <w:noProof/>
        </w:rPr>
        <w:tab/>
        <w:t>Deshwar, A. G.</w:t>
      </w:r>
      <w:r w:rsidRPr="00D86E26">
        <w:rPr>
          <w:i/>
          <w:noProof/>
        </w:rPr>
        <w:t xml:space="preserve"> et al.</w:t>
      </w:r>
      <w:r w:rsidRPr="00D86E26">
        <w:rPr>
          <w:noProof/>
        </w:rPr>
        <w:t xml:space="preserve"> PhyloWGS: reconstructing subclonal composition and evolution from whole-genome sequencing of tumors. </w:t>
      </w:r>
      <w:r w:rsidRPr="00D86E26">
        <w:rPr>
          <w:i/>
          <w:noProof/>
        </w:rPr>
        <w:t>Genome Biol</w:t>
      </w:r>
      <w:r w:rsidRPr="00D86E26">
        <w:rPr>
          <w:noProof/>
        </w:rPr>
        <w:t xml:space="preserve"> </w:t>
      </w:r>
      <w:r w:rsidRPr="00D86E26">
        <w:rPr>
          <w:b/>
          <w:noProof/>
        </w:rPr>
        <w:t>16</w:t>
      </w:r>
      <w:r w:rsidRPr="00D86E26">
        <w:rPr>
          <w:noProof/>
        </w:rPr>
        <w:t>, 35, doi:10.1186/s13059-015-0602-8 (2015).</w:t>
      </w:r>
    </w:p>
    <w:p w14:paraId="77AC0D04" w14:textId="77777777" w:rsidR="00D86E26" w:rsidRPr="00D86E26" w:rsidRDefault="00D86E26" w:rsidP="00D86E26">
      <w:pPr>
        <w:pStyle w:val="EndNoteBibliography"/>
        <w:ind w:left="720" w:hanging="720"/>
        <w:rPr>
          <w:noProof/>
        </w:rPr>
      </w:pPr>
      <w:r w:rsidRPr="00D86E26">
        <w:rPr>
          <w:noProof/>
        </w:rPr>
        <w:t>40</w:t>
      </w:r>
      <w:r w:rsidRPr="00D86E26">
        <w:rPr>
          <w:noProof/>
        </w:rPr>
        <w:tab/>
        <w:t>Roth, A.</w:t>
      </w:r>
      <w:r w:rsidRPr="00D86E26">
        <w:rPr>
          <w:i/>
          <w:noProof/>
        </w:rPr>
        <w:t xml:space="preserve"> et al.</w:t>
      </w:r>
      <w:r w:rsidRPr="00D86E26">
        <w:rPr>
          <w:noProof/>
        </w:rPr>
        <w:t xml:space="preserve"> PyClone: statistical inference of clonal population structure in cancer. </w:t>
      </w:r>
      <w:r w:rsidRPr="00D86E26">
        <w:rPr>
          <w:i/>
          <w:noProof/>
        </w:rPr>
        <w:t>Nat Methods</w:t>
      </w:r>
      <w:r w:rsidRPr="00D86E26">
        <w:rPr>
          <w:noProof/>
        </w:rPr>
        <w:t xml:space="preserve"> </w:t>
      </w:r>
      <w:r w:rsidRPr="00D86E26">
        <w:rPr>
          <w:b/>
          <w:noProof/>
        </w:rPr>
        <w:t>11</w:t>
      </w:r>
      <w:r w:rsidRPr="00D86E26">
        <w:rPr>
          <w:noProof/>
        </w:rPr>
        <w:t>, 396-398, doi:10.1038/nmeth.2883 (2014).</w:t>
      </w:r>
    </w:p>
    <w:p w14:paraId="0C0F7D9D" w14:textId="77777777" w:rsidR="00D86E26" w:rsidRPr="00D86E26" w:rsidRDefault="00D86E26" w:rsidP="00D86E26">
      <w:pPr>
        <w:pStyle w:val="EndNoteBibliography"/>
        <w:ind w:left="720" w:hanging="720"/>
        <w:rPr>
          <w:noProof/>
        </w:rPr>
      </w:pPr>
      <w:r w:rsidRPr="00D86E26">
        <w:rPr>
          <w:noProof/>
        </w:rPr>
        <w:t>41</w:t>
      </w:r>
      <w:r w:rsidRPr="00D86E26">
        <w:rPr>
          <w:noProof/>
        </w:rPr>
        <w:tab/>
        <w:t>Cmero, M.</w:t>
      </w:r>
      <w:r w:rsidRPr="00D86E26">
        <w:rPr>
          <w:i/>
          <w:noProof/>
        </w:rPr>
        <w:t xml:space="preserve"> et al.</w:t>
      </w:r>
      <w:r w:rsidRPr="00D86E26">
        <w:rPr>
          <w:noProof/>
        </w:rPr>
        <w:t xml:space="preserve"> SVclone: inferring structural variant cancer cell fraction. </w:t>
      </w:r>
      <w:r w:rsidRPr="00D86E26">
        <w:rPr>
          <w:i/>
          <w:noProof/>
        </w:rPr>
        <w:t>bioRxiv</w:t>
      </w:r>
      <w:r w:rsidRPr="00D86E26">
        <w:rPr>
          <w:noProof/>
        </w:rPr>
        <w:t>, doi:10.1101/172486 (2017).</w:t>
      </w:r>
    </w:p>
    <w:p w14:paraId="5BDDB37D" w14:textId="69830EAA" w:rsidR="00D86E26" w:rsidRPr="00D86E26" w:rsidRDefault="00D86E26" w:rsidP="001173FB">
      <w:pPr>
        <w:pStyle w:val="EndNoteBibliography"/>
        <w:ind w:left="720" w:hanging="720"/>
        <w:rPr>
          <w:noProof/>
        </w:rPr>
      </w:pPr>
      <w:r w:rsidRPr="00D86E26">
        <w:rPr>
          <w:noProof/>
        </w:rPr>
        <w:t>42</w:t>
      </w:r>
      <w:r w:rsidRPr="00D86E26">
        <w:rPr>
          <w:noProof/>
        </w:rPr>
        <w:tab/>
        <w:t xml:space="preserve">Șenbabaoğlu, Y., Michailidis, G. &amp; Li, J. Z. Critical limitations of consensus clustering in class discovery.  </w:t>
      </w:r>
      <w:r w:rsidRPr="00D86E26">
        <w:rPr>
          <w:b/>
          <w:noProof/>
        </w:rPr>
        <w:t>4</w:t>
      </w:r>
      <w:r w:rsidRPr="00D86E26">
        <w:rPr>
          <w:noProof/>
        </w:rPr>
        <w:t>, 6207, doi:10.1038/srep06207</w:t>
      </w:r>
      <w:r w:rsidR="001173FB">
        <w:rPr>
          <w:noProof/>
        </w:rPr>
        <w:t xml:space="preserve"> </w:t>
      </w:r>
      <w:r w:rsidRPr="00D86E26">
        <w:rPr>
          <w:noProof/>
        </w:rPr>
        <w:t>(2014).</w:t>
      </w:r>
    </w:p>
    <w:p w14:paraId="032D9AAC" w14:textId="77777777" w:rsidR="00D86E26" w:rsidRPr="00D86E26" w:rsidRDefault="00D86E26" w:rsidP="00D86E26">
      <w:pPr>
        <w:pStyle w:val="EndNoteBibliography"/>
        <w:ind w:left="720" w:hanging="720"/>
        <w:rPr>
          <w:noProof/>
        </w:rPr>
      </w:pPr>
      <w:r w:rsidRPr="00D86E26">
        <w:rPr>
          <w:noProof/>
        </w:rPr>
        <w:t>43</w:t>
      </w:r>
      <w:r w:rsidRPr="00D86E26">
        <w:rPr>
          <w:noProof/>
        </w:rPr>
        <w:tab/>
        <w:t xml:space="preserve">Kleinberg, J. M. in </w:t>
      </w:r>
      <w:r w:rsidRPr="00D86E26">
        <w:rPr>
          <w:i/>
          <w:noProof/>
        </w:rPr>
        <w:t>Advances in Neural Information Processing Systems 15</w:t>
      </w:r>
      <w:r w:rsidRPr="00D86E26">
        <w:rPr>
          <w:noProof/>
        </w:rPr>
        <w:t xml:space="preserve">   (eds S. Becker, S. Thrun, &amp; K. Obermayer)  463-470 (MIT Press, 2003).</w:t>
      </w:r>
    </w:p>
    <w:p w14:paraId="09677DDA" w14:textId="77777777" w:rsidR="00D86E26" w:rsidRPr="00D86E26" w:rsidRDefault="00D86E26" w:rsidP="00D86E26">
      <w:pPr>
        <w:pStyle w:val="EndNoteBibliography"/>
        <w:ind w:left="720" w:hanging="720"/>
        <w:rPr>
          <w:noProof/>
        </w:rPr>
      </w:pPr>
      <w:r w:rsidRPr="00D86E26">
        <w:rPr>
          <w:noProof/>
        </w:rPr>
        <w:t>44</w:t>
      </w:r>
      <w:r w:rsidRPr="00D86E26">
        <w:rPr>
          <w:noProof/>
        </w:rPr>
        <w:tab/>
        <w:t xml:space="preserve">Vinh, N. X., Epps, J. &amp; Bailey, J. Information Theoretic Measures for Clusterings Comparison: Variants, Properties, Normalization and Correction for Chance. </w:t>
      </w:r>
      <w:r w:rsidRPr="00D86E26">
        <w:rPr>
          <w:i/>
          <w:noProof/>
        </w:rPr>
        <w:t>J. Mach. Learn. Res.</w:t>
      </w:r>
      <w:r w:rsidRPr="00D86E26">
        <w:rPr>
          <w:noProof/>
        </w:rPr>
        <w:t xml:space="preserve"> </w:t>
      </w:r>
      <w:r w:rsidRPr="00D86E26">
        <w:rPr>
          <w:b/>
          <w:noProof/>
        </w:rPr>
        <w:t>11</w:t>
      </w:r>
      <w:r w:rsidRPr="00D86E26">
        <w:rPr>
          <w:noProof/>
        </w:rPr>
        <w:t>, 2837-2854 (2010).</w:t>
      </w:r>
    </w:p>
    <w:p w14:paraId="42F4C519" w14:textId="77777777" w:rsidR="00D86E26" w:rsidRPr="00D86E26" w:rsidRDefault="00D86E26" w:rsidP="00D86E26">
      <w:pPr>
        <w:pStyle w:val="EndNoteBibliography"/>
        <w:ind w:left="720" w:hanging="720"/>
        <w:rPr>
          <w:noProof/>
        </w:rPr>
      </w:pPr>
      <w:r w:rsidRPr="00D86E26">
        <w:rPr>
          <w:noProof/>
        </w:rPr>
        <w:t>45</w:t>
      </w:r>
      <w:r w:rsidRPr="00D86E26">
        <w:rPr>
          <w:noProof/>
        </w:rPr>
        <w:tab/>
        <w:t xml:space="preserve">Wagner, S. &amp; Wagner, D. in </w:t>
      </w:r>
      <w:r w:rsidRPr="00D86E26">
        <w:rPr>
          <w:i/>
          <w:noProof/>
        </w:rPr>
        <w:t>Technical Report 2006-04</w:t>
      </w:r>
      <w:r w:rsidRPr="00D86E26">
        <w:rPr>
          <w:noProof/>
        </w:rPr>
        <w:t xml:space="preserve">     (Universität of Karlsruhe, 2007).</w:t>
      </w:r>
    </w:p>
    <w:p w14:paraId="2423E796" w14:textId="4280E5EE" w:rsidR="00D86E26" w:rsidRPr="00D86E26" w:rsidRDefault="00D86E26" w:rsidP="00D86E26">
      <w:pPr>
        <w:pStyle w:val="EndNoteBibliography"/>
        <w:ind w:left="720" w:hanging="720"/>
        <w:rPr>
          <w:noProof/>
        </w:rPr>
      </w:pPr>
      <w:r w:rsidRPr="00D86E26">
        <w:rPr>
          <w:noProof/>
        </w:rPr>
        <w:lastRenderedPageBreak/>
        <w:t>46</w:t>
      </w:r>
      <w:r w:rsidRPr="00D86E26">
        <w:rPr>
          <w:noProof/>
        </w:rPr>
        <w:tab/>
        <w:t xml:space="preserve">Benjamini, Y. &amp; Hochberg, Y. Controlling the False Discovery Rate: A Practical and Powerful Approach to Multiple Testing. </w:t>
      </w:r>
      <w:r w:rsidRPr="00D86E26">
        <w:rPr>
          <w:i/>
          <w:noProof/>
        </w:rPr>
        <w:t>Journal of the Royal Statistical Society. Series B (Methodological)</w:t>
      </w:r>
      <w:r w:rsidRPr="00D86E26">
        <w:rPr>
          <w:noProof/>
        </w:rPr>
        <w:t xml:space="preserve"> </w:t>
      </w:r>
      <w:r w:rsidRPr="00D86E26">
        <w:rPr>
          <w:b/>
          <w:noProof/>
        </w:rPr>
        <w:t>57</w:t>
      </w:r>
      <w:r w:rsidRPr="00D86E26">
        <w:rPr>
          <w:noProof/>
        </w:rPr>
        <w:t>, 289-300, doi:citeulike-article-id:1042553</w:t>
      </w:r>
      <w:r w:rsidR="004D2ECF">
        <w:rPr>
          <w:noProof/>
        </w:rPr>
        <w:tab/>
      </w:r>
      <w:r w:rsidR="004D2ECF">
        <w:rPr>
          <w:noProof/>
        </w:rPr>
        <w:tab/>
      </w:r>
    </w:p>
    <w:p w14:paraId="6E6205B9" w14:textId="77777777" w:rsidR="00D86E26" w:rsidRPr="00D86E26" w:rsidRDefault="00D86E26" w:rsidP="004D2ECF">
      <w:pPr>
        <w:pStyle w:val="EndNoteBibliography"/>
        <w:ind w:left="720"/>
        <w:rPr>
          <w:noProof/>
        </w:rPr>
      </w:pPr>
      <w:r w:rsidRPr="00D86E26">
        <w:rPr>
          <w:noProof/>
        </w:rPr>
        <w:t>doi: 10.2307/2346101 (1995).</w:t>
      </w:r>
    </w:p>
    <w:p w14:paraId="771AD866" w14:textId="77777777" w:rsidR="00D86E26" w:rsidRPr="00D86E26" w:rsidRDefault="00D86E26" w:rsidP="00D86E26">
      <w:pPr>
        <w:pStyle w:val="EndNoteBibliography"/>
        <w:ind w:left="720" w:hanging="720"/>
        <w:rPr>
          <w:noProof/>
        </w:rPr>
      </w:pPr>
      <w:r w:rsidRPr="00D86E26">
        <w:rPr>
          <w:noProof/>
        </w:rPr>
        <w:t>47</w:t>
      </w:r>
      <w:r w:rsidRPr="00D86E26">
        <w:rPr>
          <w:noProof/>
        </w:rPr>
        <w:tab/>
        <w:t xml:space="preserve">Greenman, C., Wooster, R., Futreal, P. A., Stratton, M. R. &amp; Easton, D. F. Statistical analysis of pathogenicity of somatic mutations in cancer. </w:t>
      </w:r>
      <w:r w:rsidRPr="00D86E26">
        <w:rPr>
          <w:i/>
          <w:noProof/>
        </w:rPr>
        <w:t>Genetics</w:t>
      </w:r>
      <w:r w:rsidRPr="00D86E26">
        <w:rPr>
          <w:noProof/>
        </w:rPr>
        <w:t xml:space="preserve"> </w:t>
      </w:r>
      <w:r w:rsidRPr="00D86E26">
        <w:rPr>
          <w:b/>
          <w:noProof/>
        </w:rPr>
        <w:t>173</w:t>
      </w:r>
      <w:r w:rsidRPr="00D86E26">
        <w:rPr>
          <w:noProof/>
        </w:rPr>
        <w:t>, 2187-2198, doi:10.1534/genetics.105.044677 (2006).</w:t>
      </w:r>
    </w:p>
    <w:p w14:paraId="5FEEF19D" w14:textId="77777777" w:rsidR="00D86E26" w:rsidRPr="00D86E26" w:rsidRDefault="00D86E26" w:rsidP="00D86E26">
      <w:pPr>
        <w:pStyle w:val="EndNoteBibliography"/>
        <w:ind w:left="720" w:hanging="720"/>
        <w:rPr>
          <w:noProof/>
        </w:rPr>
      </w:pPr>
      <w:r w:rsidRPr="00D86E26">
        <w:rPr>
          <w:noProof/>
        </w:rPr>
        <w:t>48</w:t>
      </w:r>
      <w:r w:rsidRPr="00D86E26">
        <w:rPr>
          <w:noProof/>
        </w:rPr>
        <w:tab/>
        <w:t>Martincorena, I.</w:t>
      </w:r>
      <w:r w:rsidRPr="00D86E26">
        <w:rPr>
          <w:i/>
          <w:noProof/>
        </w:rPr>
        <w:t xml:space="preserve"> et al.</w:t>
      </w:r>
      <w:r w:rsidRPr="00D86E26">
        <w:rPr>
          <w:noProof/>
        </w:rPr>
        <w:t xml:space="preserve"> Tumor evolution. High burden and pervasive positive selection of somatic mutations in normal human skin. </w:t>
      </w:r>
      <w:r w:rsidRPr="00D86E26">
        <w:rPr>
          <w:i/>
          <w:noProof/>
        </w:rPr>
        <w:t>Science</w:t>
      </w:r>
      <w:r w:rsidRPr="00D86E26">
        <w:rPr>
          <w:noProof/>
        </w:rPr>
        <w:t xml:space="preserve"> </w:t>
      </w:r>
      <w:r w:rsidRPr="00D86E26">
        <w:rPr>
          <w:b/>
          <w:noProof/>
        </w:rPr>
        <w:t>348</w:t>
      </w:r>
      <w:r w:rsidRPr="00D86E26">
        <w:rPr>
          <w:noProof/>
        </w:rPr>
        <w:t>, 880-886, doi:10.1126/science.aaa6806 (2015).</w:t>
      </w:r>
    </w:p>
    <w:p w14:paraId="0DF13B0A" w14:textId="77777777" w:rsidR="00D86E26" w:rsidRPr="00D86E26" w:rsidRDefault="00D86E26" w:rsidP="00D86E26">
      <w:pPr>
        <w:pStyle w:val="EndNoteBibliography"/>
        <w:ind w:left="720" w:hanging="720"/>
        <w:rPr>
          <w:noProof/>
        </w:rPr>
      </w:pPr>
      <w:r w:rsidRPr="00D86E26">
        <w:rPr>
          <w:noProof/>
        </w:rPr>
        <w:t>49</w:t>
      </w:r>
      <w:r w:rsidRPr="00D86E26">
        <w:rPr>
          <w:noProof/>
        </w:rPr>
        <w:tab/>
        <w:t>Martincorena, I.</w:t>
      </w:r>
      <w:r w:rsidRPr="00D86E26">
        <w:rPr>
          <w:i/>
          <w:noProof/>
        </w:rPr>
        <w:t xml:space="preserve"> et al.</w:t>
      </w:r>
      <w:r w:rsidRPr="00D86E26">
        <w:rPr>
          <w:noProof/>
        </w:rPr>
        <w:t xml:space="preserve"> Universal Patterns of Selection in Cancer and Somatic Tissues. </w:t>
      </w:r>
      <w:r w:rsidRPr="00D86E26">
        <w:rPr>
          <w:i/>
          <w:noProof/>
        </w:rPr>
        <w:t>Cell</w:t>
      </w:r>
      <w:r w:rsidRPr="00D86E26">
        <w:rPr>
          <w:noProof/>
        </w:rPr>
        <w:t xml:space="preserve"> </w:t>
      </w:r>
      <w:r w:rsidRPr="00D86E26">
        <w:rPr>
          <w:b/>
          <w:noProof/>
        </w:rPr>
        <w:t>171</w:t>
      </w:r>
      <w:r w:rsidRPr="00D86E26">
        <w:rPr>
          <w:noProof/>
        </w:rPr>
        <w:t>, 1029-1041 e1021, doi:10.1016/j.cell.2017.09.042 (2017).</w:t>
      </w:r>
    </w:p>
    <w:p w14:paraId="18C514BD" w14:textId="77777777" w:rsidR="00D86E26" w:rsidRPr="00D86E26" w:rsidRDefault="00D86E26" w:rsidP="00D86E26">
      <w:pPr>
        <w:pStyle w:val="EndNoteBibliography"/>
        <w:ind w:left="720" w:hanging="720"/>
        <w:rPr>
          <w:noProof/>
        </w:rPr>
      </w:pPr>
      <w:r w:rsidRPr="00D86E26">
        <w:rPr>
          <w:noProof/>
        </w:rPr>
        <w:t>50</w:t>
      </w:r>
      <w:r w:rsidRPr="00D86E26">
        <w:rPr>
          <w:noProof/>
        </w:rPr>
        <w:tab/>
        <w:t xml:space="preserve">Williams, M. J., Werner, B., Barnes, C. P., Graham, T. A. &amp; Sottoriva, A. Identification of neutral tumor evolution across cancer types. </w:t>
      </w:r>
      <w:r w:rsidRPr="00D86E26">
        <w:rPr>
          <w:i/>
          <w:noProof/>
        </w:rPr>
        <w:t>Nat Genet</w:t>
      </w:r>
      <w:r w:rsidRPr="00D86E26">
        <w:rPr>
          <w:noProof/>
        </w:rPr>
        <w:t xml:space="preserve"> </w:t>
      </w:r>
      <w:r w:rsidRPr="00D86E26">
        <w:rPr>
          <w:b/>
          <w:noProof/>
        </w:rPr>
        <w:t>48</w:t>
      </w:r>
      <w:r w:rsidRPr="00D86E26">
        <w:rPr>
          <w:noProof/>
        </w:rPr>
        <w:t>, 238-244, doi:10.1038/ng.3489 (2016).</w:t>
      </w:r>
    </w:p>
    <w:p w14:paraId="01B56D24" w14:textId="77777777" w:rsidR="00D86E26" w:rsidRPr="00D86E26" w:rsidRDefault="00D86E26" w:rsidP="00D86E26">
      <w:pPr>
        <w:pStyle w:val="EndNoteBibliography"/>
        <w:ind w:left="720" w:hanging="720"/>
        <w:rPr>
          <w:noProof/>
        </w:rPr>
      </w:pPr>
      <w:r w:rsidRPr="00D86E26">
        <w:rPr>
          <w:noProof/>
        </w:rPr>
        <w:t>51</w:t>
      </w:r>
      <w:r w:rsidRPr="00D86E26">
        <w:rPr>
          <w:noProof/>
        </w:rPr>
        <w:tab/>
        <w:t>Subramanian, A.</w:t>
      </w:r>
      <w:r w:rsidRPr="00D86E26">
        <w:rPr>
          <w:i/>
          <w:noProof/>
        </w:rPr>
        <w:t xml:space="preserve"> et al.</w:t>
      </w:r>
      <w:r w:rsidRPr="00D86E26">
        <w:rPr>
          <w:noProof/>
        </w:rPr>
        <w:t xml:space="preserve"> Gene set enrichment analysis: A knowledge-based approach for interpreting genome-wide expression profiles. </w:t>
      </w:r>
      <w:r w:rsidRPr="00D86E26">
        <w:rPr>
          <w:i/>
          <w:noProof/>
        </w:rPr>
        <w:t>Proceedings of the National Academy of Sciences</w:t>
      </w:r>
      <w:r w:rsidRPr="00D86E26">
        <w:rPr>
          <w:noProof/>
        </w:rPr>
        <w:t xml:space="preserve"> </w:t>
      </w:r>
      <w:r w:rsidRPr="00D86E26">
        <w:rPr>
          <w:b/>
          <w:noProof/>
        </w:rPr>
        <w:t>102</w:t>
      </w:r>
      <w:r w:rsidRPr="00D86E26">
        <w:rPr>
          <w:noProof/>
        </w:rPr>
        <w:t>, 15545-15550, doi:10.1073/pnas.0506580102 (2005).</w:t>
      </w:r>
    </w:p>
    <w:p w14:paraId="2034521E" w14:textId="77777777" w:rsidR="00D86E26" w:rsidRPr="00D86E26" w:rsidRDefault="00D86E26" w:rsidP="00D86E26">
      <w:pPr>
        <w:pStyle w:val="EndNoteBibliography"/>
        <w:ind w:left="720" w:hanging="720"/>
        <w:rPr>
          <w:noProof/>
        </w:rPr>
      </w:pPr>
      <w:r w:rsidRPr="00D86E26">
        <w:rPr>
          <w:noProof/>
        </w:rPr>
        <w:t>52</w:t>
      </w:r>
      <w:r w:rsidRPr="00D86E26">
        <w:rPr>
          <w:noProof/>
        </w:rPr>
        <w:tab/>
        <w:t>Alexandrov, L. B.</w:t>
      </w:r>
      <w:r w:rsidRPr="00D86E26">
        <w:rPr>
          <w:i/>
          <w:noProof/>
        </w:rPr>
        <w:t xml:space="preserve"> et al.</w:t>
      </w:r>
      <w:r w:rsidRPr="00D86E26">
        <w:rPr>
          <w:noProof/>
        </w:rPr>
        <w:t xml:space="preserve"> Signatures of mutational processes in human cancer. </w:t>
      </w:r>
      <w:r w:rsidRPr="00D86E26">
        <w:rPr>
          <w:i/>
          <w:noProof/>
        </w:rPr>
        <w:t>Nature</w:t>
      </w:r>
      <w:r w:rsidRPr="00D86E26">
        <w:rPr>
          <w:noProof/>
        </w:rPr>
        <w:t xml:space="preserve"> </w:t>
      </w:r>
      <w:r w:rsidRPr="00D86E26">
        <w:rPr>
          <w:b/>
          <w:noProof/>
        </w:rPr>
        <w:t>500</w:t>
      </w:r>
      <w:r w:rsidRPr="00D86E26">
        <w:rPr>
          <w:noProof/>
        </w:rPr>
        <w:t>, 415-421, doi:10.1038/nature12477 (2013).</w:t>
      </w:r>
    </w:p>
    <w:p w14:paraId="15B53CEE" w14:textId="77777777" w:rsidR="00D86E26" w:rsidRPr="00D86E26" w:rsidRDefault="00D86E26" w:rsidP="00D86E26">
      <w:pPr>
        <w:pStyle w:val="EndNoteBibliography"/>
        <w:ind w:left="720" w:hanging="720"/>
        <w:rPr>
          <w:noProof/>
        </w:rPr>
      </w:pPr>
      <w:r w:rsidRPr="00D86E26">
        <w:rPr>
          <w:noProof/>
        </w:rPr>
        <w:t>53</w:t>
      </w:r>
      <w:r w:rsidRPr="00D86E26">
        <w:rPr>
          <w:noProof/>
        </w:rPr>
        <w:tab/>
        <w:t>Rubanova, Y.</w:t>
      </w:r>
      <w:r w:rsidRPr="00D86E26">
        <w:rPr>
          <w:i/>
          <w:noProof/>
        </w:rPr>
        <w:t xml:space="preserve"> et al.</w:t>
      </w:r>
      <w:r w:rsidRPr="00D86E26">
        <w:rPr>
          <w:noProof/>
        </w:rPr>
        <w:t xml:space="preserve"> TrackSig: reconstructing evolutionary trajectories of mutation signature exposure. </w:t>
      </w:r>
      <w:r w:rsidRPr="00D86E26">
        <w:rPr>
          <w:i/>
          <w:noProof/>
        </w:rPr>
        <w:t>bioRxiv</w:t>
      </w:r>
      <w:r w:rsidRPr="00D86E26">
        <w:rPr>
          <w:noProof/>
        </w:rPr>
        <w:t>, doi:10.1101/260471 (2018).</w:t>
      </w:r>
    </w:p>
    <w:p w14:paraId="52E28767" w14:textId="77777777" w:rsidR="00D86E26" w:rsidRPr="00D86E26" w:rsidRDefault="00D86E26" w:rsidP="00D86E26">
      <w:pPr>
        <w:pStyle w:val="EndNoteBibliography"/>
        <w:ind w:left="720" w:hanging="720"/>
        <w:rPr>
          <w:noProof/>
        </w:rPr>
      </w:pPr>
      <w:r w:rsidRPr="00D86E26">
        <w:rPr>
          <w:noProof/>
        </w:rPr>
        <w:t>54</w:t>
      </w:r>
      <w:r w:rsidRPr="00D86E26">
        <w:rPr>
          <w:noProof/>
        </w:rPr>
        <w:tab/>
        <w:t xml:space="preserve">Killick, R., Fearnhead, P. &amp; Eckley, I. A. Optimal Detection of Changepoints With a Linear Computational Cost. </w:t>
      </w:r>
      <w:r w:rsidRPr="00D86E26">
        <w:rPr>
          <w:i/>
          <w:noProof/>
        </w:rPr>
        <w:t>Journal of the American Statistical Association</w:t>
      </w:r>
      <w:r w:rsidRPr="00D86E26">
        <w:rPr>
          <w:noProof/>
        </w:rPr>
        <w:t xml:space="preserve"> </w:t>
      </w:r>
      <w:r w:rsidRPr="00D86E26">
        <w:rPr>
          <w:b/>
          <w:noProof/>
        </w:rPr>
        <w:t>107</w:t>
      </w:r>
      <w:r w:rsidRPr="00D86E26">
        <w:rPr>
          <w:noProof/>
        </w:rPr>
        <w:t>, 1590-1598, doi:10.1080/01621459.2012.737745 (2012).</w:t>
      </w:r>
    </w:p>
    <w:p w14:paraId="0EB36B22" w14:textId="77777777" w:rsidR="00D86E26" w:rsidRPr="00D86E26" w:rsidRDefault="00D86E26" w:rsidP="00D86E26">
      <w:pPr>
        <w:pStyle w:val="EndNoteBibliography"/>
        <w:ind w:left="720" w:hanging="720"/>
        <w:rPr>
          <w:noProof/>
        </w:rPr>
      </w:pPr>
      <w:r w:rsidRPr="00D86E26">
        <w:rPr>
          <w:noProof/>
        </w:rPr>
        <w:t>55</w:t>
      </w:r>
      <w:r w:rsidRPr="00D86E26">
        <w:rPr>
          <w:noProof/>
        </w:rPr>
        <w:tab/>
        <w:t>Alexandrov, L. B.</w:t>
      </w:r>
      <w:r w:rsidRPr="00D86E26">
        <w:rPr>
          <w:i/>
          <w:noProof/>
        </w:rPr>
        <w:t xml:space="preserve"> et al.</w:t>
      </w:r>
      <w:r w:rsidRPr="00D86E26">
        <w:rPr>
          <w:noProof/>
        </w:rPr>
        <w:t xml:space="preserve"> Mutational signatures associated with tobacco smoking in human cancer. </w:t>
      </w:r>
      <w:r w:rsidRPr="00D86E26">
        <w:rPr>
          <w:i/>
          <w:noProof/>
        </w:rPr>
        <w:t>Science</w:t>
      </w:r>
      <w:r w:rsidRPr="00D86E26">
        <w:rPr>
          <w:noProof/>
        </w:rPr>
        <w:t xml:space="preserve"> </w:t>
      </w:r>
      <w:r w:rsidRPr="00D86E26">
        <w:rPr>
          <w:b/>
          <w:noProof/>
        </w:rPr>
        <w:t>354</w:t>
      </w:r>
      <w:r w:rsidRPr="00D86E26">
        <w:rPr>
          <w:noProof/>
        </w:rPr>
        <w:t>, 618-622, doi:10.1126/science.aag0299 (2016).</w:t>
      </w:r>
    </w:p>
    <w:p w14:paraId="68E2ECDC" w14:textId="77777777" w:rsidR="00D86E26" w:rsidRPr="00D86E26" w:rsidRDefault="00D86E26" w:rsidP="00D86E26">
      <w:pPr>
        <w:pStyle w:val="EndNoteBibliography"/>
        <w:ind w:left="720" w:hanging="720"/>
        <w:rPr>
          <w:noProof/>
        </w:rPr>
      </w:pPr>
      <w:r w:rsidRPr="00D86E26">
        <w:rPr>
          <w:noProof/>
        </w:rPr>
        <w:t>56</w:t>
      </w:r>
      <w:r w:rsidRPr="00D86E26">
        <w:rPr>
          <w:noProof/>
        </w:rPr>
        <w:tab/>
        <w:t>Wala, J. A.</w:t>
      </w:r>
      <w:r w:rsidRPr="00D86E26">
        <w:rPr>
          <w:i/>
          <w:noProof/>
        </w:rPr>
        <w:t xml:space="preserve"> et al.</w:t>
      </w:r>
      <w:r w:rsidRPr="00D86E26">
        <w:rPr>
          <w:noProof/>
        </w:rPr>
        <w:t xml:space="preserve"> Selective and mechanistic sources of recurrent rearrangements across the cancer genome. </w:t>
      </w:r>
      <w:r w:rsidRPr="00D86E26">
        <w:rPr>
          <w:i/>
          <w:noProof/>
        </w:rPr>
        <w:t>bioRxiv</w:t>
      </w:r>
      <w:r w:rsidRPr="00D86E26">
        <w:rPr>
          <w:noProof/>
        </w:rPr>
        <w:t>, doi:10.1101/187609 (2017).</w:t>
      </w:r>
    </w:p>
    <w:p w14:paraId="3608D437" w14:textId="77777777" w:rsidR="00D86E26" w:rsidRPr="00D86E26" w:rsidRDefault="00D86E26" w:rsidP="00D86E26">
      <w:pPr>
        <w:pStyle w:val="EndNoteBibliography"/>
        <w:ind w:left="720" w:hanging="720"/>
        <w:rPr>
          <w:noProof/>
        </w:rPr>
      </w:pPr>
      <w:r w:rsidRPr="00D86E26">
        <w:rPr>
          <w:noProof/>
        </w:rPr>
        <w:t>57</w:t>
      </w:r>
      <w:r w:rsidRPr="00D86E26">
        <w:rPr>
          <w:noProof/>
        </w:rPr>
        <w:tab/>
        <w:t xml:space="preserve">Sergushichev, A. An algorithm for fast preranked gene set enrichment analysis using cumulative statistic calculation. </w:t>
      </w:r>
      <w:r w:rsidRPr="00D86E26">
        <w:rPr>
          <w:i/>
          <w:noProof/>
        </w:rPr>
        <w:t>bioRxiv</w:t>
      </w:r>
      <w:r w:rsidRPr="00D86E26">
        <w:rPr>
          <w:noProof/>
        </w:rPr>
        <w:t>, doi:10.1101/060012 (2016).</w:t>
      </w:r>
    </w:p>
    <w:p w14:paraId="04DD3CCC" w14:textId="77777777" w:rsidR="00D86E26" w:rsidRPr="00D86E26" w:rsidRDefault="00D86E26" w:rsidP="00D86E26">
      <w:pPr>
        <w:pStyle w:val="EndNoteBibliography"/>
        <w:ind w:left="720" w:hanging="720"/>
        <w:rPr>
          <w:noProof/>
        </w:rPr>
      </w:pPr>
      <w:r w:rsidRPr="00D86E26">
        <w:rPr>
          <w:noProof/>
        </w:rPr>
        <w:t>58</w:t>
      </w:r>
      <w:r w:rsidRPr="00D86E26">
        <w:rPr>
          <w:noProof/>
        </w:rPr>
        <w:tab/>
        <w:t>Drier, Y.</w:t>
      </w:r>
      <w:r w:rsidRPr="00D86E26">
        <w:rPr>
          <w:i/>
          <w:noProof/>
        </w:rPr>
        <w:t xml:space="preserve"> et al.</w:t>
      </w:r>
      <w:r w:rsidRPr="00D86E26">
        <w:rPr>
          <w:noProof/>
        </w:rPr>
        <w:t xml:space="preserve"> Somatic rearrangements across cancer reveal classes of samples with distinct patterns of DNA breakage and rearrangement-induced hypermutability. </w:t>
      </w:r>
      <w:r w:rsidRPr="00D86E26">
        <w:rPr>
          <w:i/>
          <w:noProof/>
        </w:rPr>
        <w:t>Genome Res</w:t>
      </w:r>
      <w:r w:rsidRPr="00D86E26">
        <w:rPr>
          <w:noProof/>
        </w:rPr>
        <w:t xml:space="preserve"> </w:t>
      </w:r>
      <w:r w:rsidRPr="00D86E26">
        <w:rPr>
          <w:b/>
          <w:noProof/>
        </w:rPr>
        <w:t>23</w:t>
      </w:r>
      <w:r w:rsidRPr="00D86E26">
        <w:rPr>
          <w:noProof/>
        </w:rPr>
        <w:t>, 228-235, doi:10.1101/gr.141382.112 (2013).</w:t>
      </w:r>
    </w:p>
    <w:p w14:paraId="2D1EC6F8" w14:textId="2D67DEDB" w:rsidR="00720570" w:rsidRPr="00AC13E7" w:rsidRDefault="00892E17" w:rsidP="00D86E26">
      <w:pPr>
        <w:pStyle w:val="EndNoteBibliography"/>
        <w:ind w:left="720" w:hanging="720"/>
        <w:rPr>
          <w:lang w:val="en-GB"/>
        </w:rPr>
      </w:pPr>
      <w:r w:rsidRPr="00AC13E7">
        <w:rPr>
          <w:sz w:val="24"/>
          <w:lang w:val="en-GB"/>
        </w:rPr>
        <w:fldChar w:fldCharType="end"/>
      </w:r>
    </w:p>
    <w:sectPr w:rsidR="00720570" w:rsidRPr="00AC13E7">
      <w:footerReference w:type="even" r:id="rId57"/>
      <w:footerReference w:type="default" r:id="rId58"/>
      <w:pgSz w:w="11900" w:h="16840"/>
      <w:pgMar w:top="1440" w:right="1800" w:bottom="1440" w:left="1800" w:header="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A03D08" w14:textId="77777777" w:rsidR="0036299C" w:rsidRDefault="0036299C">
      <w:r>
        <w:separator/>
      </w:r>
    </w:p>
  </w:endnote>
  <w:endnote w:type="continuationSeparator" w:id="0">
    <w:p w14:paraId="7FB176EA" w14:textId="77777777" w:rsidR="0036299C" w:rsidRDefault="0036299C">
      <w:r>
        <w:continuationSeparator/>
      </w:r>
    </w:p>
  </w:endnote>
  <w:endnote w:type="continuationNotice" w:id="1">
    <w:p w14:paraId="6C3D368A" w14:textId="77777777" w:rsidR="0036299C" w:rsidRDefault="003629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panose1 w:val="02020609040205080304"/>
    <w:charset w:val="80"/>
    <w:family w:val="roma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DengXian Light">
    <w:panose1 w:val="02010600030101010101"/>
    <w:charset w:val="86"/>
    <w:family w:val="script"/>
    <w:pitch w:val="variable"/>
    <w:sig w:usb0="A00002BF" w:usb1="38CF7CFA" w:usb2="00000016" w:usb3="00000000" w:csb0="0004000F" w:csb1="00000000"/>
  </w:font>
  <w:font w:name="DengXian">
    <w:panose1 w:val="02010600030101010101"/>
    <w:charset w:val="86"/>
    <w:family w:val="script"/>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swiss"/>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40576D" w14:textId="77777777" w:rsidR="0058644D" w:rsidRDefault="0058644D" w:rsidP="003E487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0F14065" w14:textId="77777777" w:rsidR="0058644D" w:rsidRDefault="0058644D" w:rsidP="003E487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4D6B5" w14:textId="77777777" w:rsidR="0058644D" w:rsidRDefault="0058644D" w:rsidP="003E487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B6635">
      <w:rPr>
        <w:rStyle w:val="PageNumber"/>
        <w:noProof/>
      </w:rPr>
      <w:t>83</w:t>
    </w:r>
    <w:r>
      <w:rPr>
        <w:rStyle w:val="PageNumber"/>
      </w:rPr>
      <w:fldChar w:fldCharType="end"/>
    </w:r>
  </w:p>
  <w:p w14:paraId="6D30BA38" w14:textId="77777777" w:rsidR="0058644D" w:rsidRDefault="0058644D" w:rsidP="003E487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8C77BD" w14:textId="77777777" w:rsidR="0036299C" w:rsidRDefault="0036299C">
      <w:r>
        <w:separator/>
      </w:r>
    </w:p>
  </w:footnote>
  <w:footnote w:type="continuationSeparator" w:id="0">
    <w:p w14:paraId="62BDDD69" w14:textId="77777777" w:rsidR="0036299C" w:rsidRDefault="0036299C">
      <w:r>
        <w:continuationSeparator/>
      </w:r>
    </w:p>
  </w:footnote>
  <w:footnote w:type="continuationNotice" w:id="1">
    <w:p w14:paraId="4A2D4CDD" w14:textId="77777777" w:rsidR="0036299C" w:rsidRDefault="0036299C"/>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417AA"/>
    <w:multiLevelType w:val="multilevel"/>
    <w:tmpl w:val="FC0E5388"/>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33C4CBB"/>
    <w:multiLevelType w:val="multilevel"/>
    <w:tmpl w:val="BC3E48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5F940E4"/>
    <w:multiLevelType w:val="multilevel"/>
    <w:tmpl w:val="227A06D4"/>
    <w:lvl w:ilvl="0">
      <w:start w:val="1"/>
      <w:numFmt w:val="decimal"/>
      <w:lvlText w:val="%1)"/>
      <w:lvlJc w:val="left"/>
      <w:pPr>
        <w:ind w:left="720" w:hanging="360"/>
      </w:pPr>
      <w:rPr>
        <w:rFonts w:ascii="Arial" w:hAnsi="Arial" w:cs="Arial" w:hint="default"/>
        <w:color w:val="00000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0D6100D"/>
    <w:multiLevelType w:val="hybridMultilevel"/>
    <w:tmpl w:val="33E4FF98"/>
    <w:lvl w:ilvl="0" w:tplc="71367E3C">
      <w:start w:val="1"/>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02328D"/>
    <w:multiLevelType w:val="hybridMultilevel"/>
    <w:tmpl w:val="121AE948"/>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54D5963"/>
    <w:multiLevelType w:val="multilevel"/>
    <w:tmpl w:val="062ADD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7DE5116"/>
    <w:multiLevelType w:val="hybridMultilevel"/>
    <w:tmpl w:val="2E2EF06E"/>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A8937F4"/>
    <w:multiLevelType w:val="multilevel"/>
    <w:tmpl w:val="7C4AB57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
    <w:nsid w:val="20D82999"/>
    <w:multiLevelType w:val="multilevel"/>
    <w:tmpl w:val="0344C0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5125B2B"/>
    <w:multiLevelType w:val="multilevel"/>
    <w:tmpl w:val="FBEE70AE"/>
    <w:lvl w:ilvl="0">
      <w:start w:val="1"/>
      <w:numFmt w:val="upperRoman"/>
      <w:lvlText w:val="%1."/>
      <w:lvlJc w:val="right"/>
      <w:pPr>
        <w:ind w:left="540" w:hanging="180"/>
      </w:pPr>
      <w:rPr>
        <w:rFonts w:hint="default"/>
        <w:color w:val="00000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7A10AD7"/>
    <w:multiLevelType w:val="hybridMultilevel"/>
    <w:tmpl w:val="75E66300"/>
    <w:lvl w:ilvl="0" w:tplc="090A1BD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FBB5738"/>
    <w:multiLevelType w:val="hybridMultilevel"/>
    <w:tmpl w:val="04B4A6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956D7C"/>
    <w:multiLevelType w:val="multilevel"/>
    <w:tmpl w:val="B1D4935C"/>
    <w:lvl w:ilvl="0">
      <w:start w:val="1"/>
      <w:numFmt w:val="upperRoman"/>
      <w:lvlText w:val="%1."/>
      <w:lvlJc w:val="right"/>
      <w:pPr>
        <w:ind w:left="54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38014845"/>
    <w:multiLevelType w:val="multilevel"/>
    <w:tmpl w:val="7C4AB57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nsid w:val="3F5B439B"/>
    <w:multiLevelType w:val="multilevel"/>
    <w:tmpl w:val="C35066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4AE7F4B"/>
    <w:multiLevelType w:val="hybridMultilevel"/>
    <w:tmpl w:val="14D695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4A5E44E4"/>
    <w:multiLevelType w:val="multilevel"/>
    <w:tmpl w:val="F1DC0D8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4C2B5AF1"/>
    <w:multiLevelType w:val="multilevel"/>
    <w:tmpl w:val="39A4D0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DCB24C1"/>
    <w:multiLevelType w:val="hybridMultilevel"/>
    <w:tmpl w:val="790EA44C"/>
    <w:lvl w:ilvl="0" w:tplc="0809001B">
      <w:start w:val="1"/>
      <w:numFmt w:val="lowerRoman"/>
      <w:lvlText w:val="%1."/>
      <w:lvlJc w:val="right"/>
      <w:pPr>
        <w:ind w:left="720" w:hanging="360"/>
      </w:pPr>
      <w:rPr>
        <w:rFonts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EDD2909"/>
    <w:multiLevelType w:val="multilevel"/>
    <w:tmpl w:val="61E29C3E"/>
    <w:lvl w:ilvl="0">
      <w:start w:val="1"/>
      <w:numFmt w:val="decimal"/>
      <w:lvlText w:val="%1)"/>
      <w:lvlJc w:val="left"/>
      <w:pPr>
        <w:ind w:left="720" w:hanging="360"/>
      </w:pPr>
      <w:rPr>
        <w:rFonts w:ascii="Arial" w:hAnsi="Arial" w:cs="Arial" w:hint="default"/>
        <w:color w:val="00000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51C25737"/>
    <w:multiLevelType w:val="multilevel"/>
    <w:tmpl w:val="51C25737"/>
    <w:lvl w:ilvl="0">
      <w:start w:val="1"/>
      <w:numFmt w:val="bullet"/>
      <w:lvlText w:val=""/>
      <w:lvlJc w:val="left"/>
      <w:pPr>
        <w:ind w:left="775" w:hanging="360"/>
      </w:pPr>
      <w:rPr>
        <w:rFonts w:ascii="Symbol" w:hAnsi="Symbol" w:hint="default"/>
      </w:rPr>
    </w:lvl>
    <w:lvl w:ilvl="1" w:tentative="1">
      <w:start w:val="1"/>
      <w:numFmt w:val="bullet"/>
      <w:lvlText w:val="o"/>
      <w:lvlJc w:val="left"/>
      <w:pPr>
        <w:ind w:left="1495" w:hanging="360"/>
      </w:pPr>
      <w:rPr>
        <w:rFonts w:ascii="Courier New" w:hAnsi="Courier New" w:hint="default"/>
      </w:rPr>
    </w:lvl>
    <w:lvl w:ilvl="2" w:tentative="1">
      <w:start w:val="1"/>
      <w:numFmt w:val="bullet"/>
      <w:lvlText w:val=""/>
      <w:lvlJc w:val="left"/>
      <w:pPr>
        <w:ind w:left="2215" w:hanging="360"/>
      </w:pPr>
      <w:rPr>
        <w:rFonts w:ascii="Wingdings" w:hAnsi="Wingdings" w:hint="default"/>
      </w:rPr>
    </w:lvl>
    <w:lvl w:ilvl="3" w:tentative="1">
      <w:start w:val="1"/>
      <w:numFmt w:val="bullet"/>
      <w:lvlText w:val=""/>
      <w:lvlJc w:val="left"/>
      <w:pPr>
        <w:ind w:left="2935" w:hanging="360"/>
      </w:pPr>
      <w:rPr>
        <w:rFonts w:ascii="Symbol" w:hAnsi="Symbol" w:hint="default"/>
      </w:rPr>
    </w:lvl>
    <w:lvl w:ilvl="4" w:tentative="1">
      <w:start w:val="1"/>
      <w:numFmt w:val="bullet"/>
      <w:lvlText w:val="o"/>
      <w:lvlJc w:val="left"/>
      <w:pPr>
        <w:ind w:left="3655" w:hanging="360"/>
      </w:pPr>
      <w:rPr>
        <w:rFonts w:ascii="Courier New" w:hAnsi="Courier New" w:hint="default"/>
      </w:rPr>
    </w:lvl>
    <w:lvl w:ilvl="5" w:tentative="1">
      <w:start w:val="1"/>
      <w:numFmt w:val="bullet"/>
      <w:lvlText w:val=""/>
      <w:lvlJc w:val="left"/>
      <w:pPr>
        <w:ind w:left="4375" w:hanging="360"/>
      </w:pPr>
      <w:rPr>
        <w:rFonts w:ascii="Wingdings" w:hAnsi="Wingdings" w:hint="default"/>
      </w:rPr>
    </w:lvl>
    <w:lvl w:ilvl="6" w:tentative="1">
      <w:start w:val="1"/>
      <w:numFmt w:val="bullet"/>
      <w:lvlText w:val=""/>
      <w:lvlJc w:val="left"/>
      <w:pPr>
        <w:ind w:left="5095" w:hanging="360"/>
      </w:pPr>
      <w:rPr>
        <w:rFonts w:ascii="Symbol" w:hAnsi="Symbol" w:hint="default"/>
      </w:rPr>
    </w:lvl>
    <w:lvl w:ilvl="7" w:tentative="1">
      <w:start w:val="1"/>
      <w:numFmt w:val="bullet"/>
      <w:lvlText w:val="o"/>
      <w:lvlJc w:val="left"/>
      <w:pPr>
        <w:ind w:left="5815" w:hanging="360"/>
      </w:pPr>
      <w:rPr>
        <w:rFonts w:ascii="Courier New" w:hAnsi="Courier New" w:hint="default"/>
      </w:rPr>
    </w:lvl>
    <w:lvl w:ilvl="8" w:tentative="1">
      <w:start w:val="1"/>
      <w:numFmt w:val="bullet"/>
      <w:lvlText w:val=""/>
      <w:lvlJc w:val="left"/>
      <w:pPr>
        <w:ind w:left="6535" w:hanging="360"/>
      </w:pPr>
      <w:rPr>
        <w:rFonts w:ascii="Wingdings" w:hAnsi="Wingdings" w:hint="default"/>
      </w:rPr>
    </w:lvl>
  </w:abstractNum>
  <w:abstractNum w:abstractNumId="21">
    <w:nsid w:val="53A80AF0"/>
    <w:multiLevelType w:val="multilevel"/>
    <w:tmpl w:val="75D284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55E0671C"/>
    <w:multiLevelType w:val="singleLevel"/>
    <w:tmpl w:val="55E0671C"/>
    <w:lvl w:ilvl="0">
      <w:start w:val="1"/>
      <w:numFmt w:val="lowerLetter"/>
      <w:suff w:val="space"/>
      <w:lvlText w:val="%1)"/>
      <w:lvlJc w:val="left"/>
    </w:lvl>
  </w:abstractNum>
  <w:abstractNum w:abstractNumId="23">
    <w:nsid w:val="59902E0F"/>
    <w:multiLevelType w:val="hybridMultilevel"/>
    <w:tmpl w:val="D9BCAF18"/>
    <w:lvl w:ilvl="0" w:tplc="0809001B">
      <w:start w:val="1"/>
      <w:numFmt w:val="lowerRoman"/>
      <w:lvlText w:val="%1."/>
      <w:lvlJc w:val="right"/>
      <w:pPr>
        <w:ind w:left="720" w:hanging="360"/>
      </w:pPr>
      <w:rPr>
        <w:rFonts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5C631652"/>
    <w:multiLevelType w:val="multilevel"/>
    <w:tmpl w:val="7C1A88E2"/>
    <w:lvl w:ilvl="0">
      <w:start w:val="1"/>
      <w:numFmt w:val="upperRoman"/>
      <w:lvlText w:val="%1."/>
      <w:lvlJc w:val="right"/>
      <w:pPr>
        <w:ind w:left="540" w:hanging="180"/>
      </w:pPr>
      <w:rPr>
        <w:rFonts w:hint="default"/>
        <w:color w:val="00000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5F9D54CF"/>
    <w:multiLevelType w:val="multilevel"/>
    <w:tmpl w:val="306C0F3C"/>
    <w:lvl w:ilvl="0">
      <w:start w:val="1"/>
      <w:numFmt w:val="decimal"/>
      <w:lvlText w:val="%1"/>
      <w:lvlJc w:val="left"/>
      <w:pPr>
        <w:ind w:left="720" w:firstLine="360"/>
      </w:pPr>
      <w:rPr>
        <w:rFonts w:ascii="Times New Roman" w:eastAsia="Cambria" w:hAnsi="Times New Roman" w:cs="Times New Roman"/>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
    <w:nsid w:val="689E40EA"/>
    <w:multiLevelType w:val="hybridMultilevel"/>
    <w:tmpl w:val="C922DC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04F6738"/>
    <w:multiLevelType w:val="hybridMultilevel"/>
    <w:tmpl w:val="7152E828"/>
    <w:lvl w:ilvl="0" w:tplc="F09E5C76">
      <w:start w:val="1"/>
      <w:numFmt w:val="decimal"/>
      <w:lvlText w:val="(%1)"/>
      <w:lvlJc w:val="left"/>
      <w:pPr>
        <w:ind w:left="480" w:hanging="42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8">
    <w:nsid w:val="727E27F7"/>
    <w:multiLevelType w:val="hybridMultilevel"/>
    <w:tmpl w:val="0B04E1B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7757091D"/>
    <w:multiLevelType w:val="multilevel"/>
    <w:tmpl w:val="767C011C"/>
    <w:lvl w:ilvl="0">
      <w:start w:val="1"/>
      <w:numFmt w:val="decimal"/>
      <w:lvlText w:val="%1)"/>
      <w:lvlJc w:val="left"/>
      <w:pPr>
        <w:ind w:left="720" w:hanging="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30">
    <w:nsid w:val="7BC45AF6"/>
    <w:multiLevelType w:val="multilevel"/>
    <w:tmpl w:val="895E57F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7C9D61C0"/>
    <w:multiLevelType w:val="hybridMultilevel"/>
    <w:tmpl w:val="0E5A04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25"/>
  </w:num>
  <w:num w:numId="3">
    <w:abstractNumId w:val="29"/>
  </w:num>
  <w:num w:numId="4">
    <w:abstractNumId w:val="17"/>
  </w:num>
  <w:num w:numId="5">
    <w:abstractNumId w:val="27"/>
  </w:num>
  <w:num w:numId="6">
    <w:abstractNumId w:val="20"/>
  </w:num>
  <w:num w:numId="7">
    <w:abstractNumId w:val="22"/>
  </w:num>
  <w:num w:numId="8">
    <w:abstractNumId w:val="13"/>
  </w:num>
  <w:num w:numId="9">
    <w:abstractNumId w:val="28"/>
  </w:num>
  <w:num w:numId="10">
    <w:abstractNumId w:val="15"/>
  </w:num>
  <w:num w:numId="11">
    <w:abstractNumId w:val="18"/>
  </w:num>
  <w:num w:numId="12">
    <w:abstractNumId w:val="23"/>
  </w:num>
  <w:num w:numId="13">
    <w:abstractNumId w:val="19"/>
  </w:num>
  <w:num w:numId="14">
    <w:abstractNumId w:val="2"/>
  </w:num>
  <w:num w:numId="15">
    <w:abstractNumId w:val="4"/>
  </w:num>
  <w:num w:numId="16">
    <w:abstractNumId w:val="30"/>
  </w:num>
  <w:num w:numId="17">
    <w:abstractNumId w:val="6"/>
  </w:num>
  <w:num w:numId="18">
    <w:abstractNumId w:val="12"/>
  </w:num>
  <w:num w:numId="19">
    <w:abstractNumId w:val="9"/>
  </w:num>
  <w:num w:numId="20">
    <w:abstractNumId w:val="24"/>
  </w:num>
  <w:num w:numId="21">
    <w:abstractNumId w:val="16"/>
  </w:num>
  <w:num w:numId="22">
    <w:abstractNumId w:val="8"/>
  </w:num>
  <w:num w:numId="23">
    <w:abstractNumId w:val="0"/>
  </w:num>
  <w:num w:numId="24">
    <w:abstractNumId w:val="10"/>
  </w:num>
  <w:num w:numId="25">
    <w:abstractNumId w:val="21"/>
  </w:num>
  <w:num w:numId="26">
    <w:abstractNumId w:val="14"/>
  </w:num>
  <w:num w:numId="27">
    <w:abstractNumId w:val="5"/>
  </w:num>
  <w:num w:numId="28">
    <w:abstractNumId w:val="1"/>
  </w:num>
  <w:num w:numId="29">
    <w:abstractNumId w:val="26"/>
  </w:num>
  <w:num w:numId="30">
    <w:abstractNumId w:val="31"/>
  </w:num>
  <w:num w:numId="31">
    <w:abstractNumId w:val="11"/>
  </w:num>
  <w:num w:numId="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wsz0f55g50w9yex0aqvtfdxarrpzt5z00pd&quot;&gt;heterogeneity_supplement&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4&lt;/item&gt;&lt;item&gt;25&lt;/item&gt;&lt;item&gt;26&lt;/item&gt;&lt;item&gt;27&lt;/item&gt;&lt;item&gt;28&lt;/item&gt;&lt;item&gt;29&lt;/item&gt;&lt;item&gt;30&lt;/item&gt;&lt;item&gt;31&lt;/item&gt;&lt;item&gt;32&lt;/item&gt;&lt;item&gt;33&lt;/item&gt;&lt;item&gt;34&lt;/item&gt;&lt;item&gt;36&lt;/item&gt;&lt;item&gt;37&lt;/item&gt;&lt;item&gt;38&lt;/item&gt;&lt;item&gt;39&lt;/item&gt;&lt;item&gt;40&lt;/item&gt;&lt;item&gt;41&lt;/item&gt;&lt;item&gt;42&lt;/item&gt;&lt;item&gt;43&lt;/item&gt;&lt;item&gt;44&lt;/item&gt;&lt;item&gt;46&lt;/item&gt;&lt;item&gt;48&lt;/item&gt;&lt;item&gt;49&lt;/item&gt;&lt;item&gt;50&lt;/item&gt;&lt;item&gt;51&lt;/item&gt;&lt;item&gt;54&lt;/item&gt;&lt;item&gt;55&lt;/item&gt;&lt;item&gt;57&lt;/item&gt;&lt;item&gt;59&lt;/item&gt;&lt;/record-ids&gt;&lt;/item&gt;&lt;/Libraries&gt;"/>
  </w:docVars>
  <w:rsids>
    <w:rsidRoot w:val="00720570"/>
    <w:rsid w:val="00000873"/>
    <w:rsid w:val="00002006"/>
    <w:rsid w:val="0000200A"/>
    <w:rsid w:val="00003ECA"/>
    <w:rsid w:val="00004197"/>
    <w:rsid w:val="0000440A"/>
    <w:rsid w:val="00004645"/>
    <w:rsid w:val="000065C5"/>
    <w:rsid w:val="00006A08"/>
    <w:rsid w:val="00011746"/>
    <w:rsid w:val="000136E1"/>
    <w:rsid w:val="00014394"/>
    <w:rsid w:val="00015437"/>
    <w:rsid w:val="00016DB4"/>
    <w:rsid w:val="00017A8F"/>
    <w:rsid w:val="00022905"/>
    <w:rsid w:val="0002327A"/>
    <w:rsid w:val="00025604"/>
    <w:rsid w:val="00026773"/>
    <w:rsid w:val="00027863"/>
    <w:rsid w:val="000310D8"/>
    <w:rsid w:val="000321A1"/>
    <w:rsid w:val="000322BA"/>
    <w:rsid w:val="000329C4"/>
    <w:rsid w:val="00032CE0"/>
    <w:rsid w:val="00033195"/>
    <w:rsid w:val="0003335A"/>
    <w:rsid w:val="00034A45"/>
    <w:rsid w:val="00034B29"/>
    <w:rsid w:val="00034D1F"/>
    <w:rsid w:val="00035FD7"/>
    <w:rsid w:val="000367A9"/>
    <w:rsid w:val="00036C33"/>
    <w:rsid w:val="000414A2"/>
    <w:rsid w:val="000420E7"/>
    <w:rsid w:val="00042205"/>
    <w:rsid w:val="000428D6"/>
    <w:rsid w:val="000443D8"/>
    <w:rsid w:val="00047BEE"/>
    <w:rsid w:val="00050712"/>
    <w:rsid w:val="0005100E"/>
    <w:rsid w:val="00051E55"/>
    <w:rsid w:val="00052012"/>
    <w:rsid w:val="000526D2"/>
    <w:rsid w:val="00052700"/>
    <w:rsid w:val="0005515A"/>
    <w:rsid w:val="0005782A"/>
    <w:rsid w:val="000617A4"/>
    <w:rsid w:val="000624EF"/>
    <w:rsid w:val="000637D3"/>
    <w:rsid w:val="00064B49"/>
    <w:rsid w:val="00064E45"/>
    <w:rsid w:val="00064E90"/>
    <w:rsid w:val="0006539A"/>
    <w:rsid w:val="0006584E"/>
    <w:rsid w:val="000659FA"/>
    <w:rsid w:val="00065E1F"/>
    <w:rsid w:val="00065FB1"/>
    <w:rsid w:val="000668D6"/>
    <w:rsid w:val="00066E72"/>
    <w:rsid w:val="000674BD"/>
    <w:rsid w:val="0007124E"/>
    <w:rsid w:val="00071ECC"/>
    <w:rsid w:val="00072153"/>
    <w:rsid w:val="00072A0A"/>
    <w:rsid w:val="00072ECB"/>
    <w:rsid w:val="00072EDB"/>
    <w:rsid w:val="00073E84"/>
    <w:rsid w:val="000803BF"/>
    <w:rsid w:val="00082B69"/>
    <w:rsid w:val="00083E2B"/>
    <w:rsid w:val="0008573F"/>
    <w:rsid w:val="00086589"/>
    <w:rsid w:val="000868FF"/>
    <w:rsid w:val="00087E17"/>
    <w:rsid w:val="00090647"/>
    <w:rsid w:val="00091178"/>
    <w:rsid w:val="00091260"/>
    <w:rsid w:val="0009281A"/>
    <w:rsid w:val="00092CC5"/>
    <w:rsid w:val="000969D0"/>
    <w:rsid w:val="0009738F"/>
    <w:rsid w:val="0009799D"/>
    <w:rsid w:val="000A1014"/>
    <w:rsid w:val="000A1656"/>
    <w:rsid w:val="000A1A91"/>
    <w:rsid w:val="000A208C"/>
    <w:rsid w:val="000A2538"/>
    <w:rsid w:val="000A2F3D"/>
    <w:rsid w:val="000A35D1"/>
    <w:rsid w:val="000A4118"/>
    <w:rsid w:val="000A41E4"/>
    <w:rsid w:val="000A431C"/>
    <w:rsid w:val="000A4C7E"/>
    <w:rsid w:val="000A4FA7"/>
    <w:rsid w:val="000A606D"/>
    <w:rsid w:val="000A7569"/>
    <w:rsid w:val="000B07F5"/>
    <w:rsid w:val="000B0CE7"/>
    <w:rsid w:val="000B0D0E"/>
    <w:rsid w:val="000B20F0"/>
    <w:rsid w:val="000B2299"/>
    <w:rsid w:val="000B26A5"/>
    <w:rsid w:val="000B34B6"/>
    <w:rsid w:val="000B3EE1"/>
    <w:rsid w:val="000B4FC8"/>
    <w:rsid w:val="000B5304"/>
    <w:rsid w:val="000B57DD"/>
    <w:rsid w:val="000B5D3E"/>
    <w:rsid w:val="000B5FFC"/>
    <w:rsid w:val="000B6635"/>
    <w:rsid w:val="000B67D7"/>
    <w:rsid w:val="000B70E4"/>
    <w:rsid w:val="000C041F"/>
    <w:rsid w:val="000C20DD"/>
    <w:rsid w:val="000C2EB6"/>
    <w:rsid w:val="000C3888"/>
    <w:rsid w:val="000C6680"/>
    <w:rsid w:val="000C6AE2"/>
    <w:rsid w:val="000C6F89"/>
    <w:rsid w:val="000C7973"/>
    <w:rsid w:val="000C7EF5"/>
    <w:rsid w:val="000D0C8F"/>
    <w:rsid w:val="000D1F30"/>
    <w:rsid w:val="000D2F93"/>
    <w:rsid w:val="000D4148"/>
    <w:rsid w:val="000D4E24"/>
    <w:rsid w:val="000D56B7"/>
    <w:rsid w:val="000D6BCB"/>
    <w:rsid w:val="000E00E6"/>
    <w:rsid w:val="000E176C"/>
    <w:rsid w:val="000E45B2"/>
    <w:rsid w:val="000E52F4"/>
    <w:rsid w:val="000E6145"/>
    <w:rsid w:val="000E62B6"/>
    <w:rsid w:val="000E6B66"/>
    <w:rsid w:val="000E6FE2"/>
    <w:rsid w:val="000E7E55"/>
    <w:rsid w:val="000F0838"/>
    <w:rsid w:val="000F1C3B"/>
    <w:rsid w:val="000F1CBE"/>
    <w:rsid w:val="000F351C"/>
    <w:rsid w:val="000F3DB0"/>
    <w:rsid w:val="000F4BF7"/>
    <w:rsid w:val="000F689D"/>
    <w:rsid w:val="000F7361"/>
    <w:rsid w:val="0010015D"/>
    <w:rsid w:val="0010025B"/>
    <w:rsid w:val="001003E9"/>
    <w:rsid w:val="00100999"/>
    <w:rsid w:val="00100C3B"/>
    <w:rsid w:val="00100E9D"/>
    <w:rsid w:val="001014AD"/>
    <w:rsid w:val="00101C2B"/>
    <w:rsid w:val="0010278E"/>
    <w:rsid w:val="001039AC"/>
    <w:rsid w:val="001043EA"/>
    <w:rsid w:val="00104EE1"/>
    <w:rsid w:val="00107FBF"/>
    <w:rsid w:val="0011057B"/>
    <w:rsid w:val="0011583A"/>
    <w:rsid w:val="00115BE2"/>
    <w:rsid w:val="001162AD"/>
    <w:rsid w:val="001173FB"/>
    <w:rsid w:val="001204F5"/>
    <w:rsid w:val="00121359"/>
    <w:rsid w:val="0012147D"/>
    <w:rsid w:val="00121BAB"/>
    <w:rsid w:val="00122E76"/>
    <w:rsid w:val="00123C66"/>
    <w:rsid w:val="00123F10"/>
    <w:rsid w:val="0012533F"/>
    <w:rsid w:val="00125A5C"/>
    <w:rsid w:val="0012720C"/>
    <w:rsid w:val="0012743E"/>
    <w:rsid w:val="0013012E"/>
    <w:rsid w:val="00130645"/>
    <w:rsid w:val="00130F40"/>
    <w:rsid w:val="0013188E"/>
    <w:rsid w:val="00132604"/>
    <w:rsid w:val="00132670"/>
    <w:rsid w:val="0013300F"/>
    <w:rsid w:val="00133E2D"/>
    <w:rsid w:val="001351C8"/>
    <w:rsid w:val="001354DA"/>
    <w:rsid w:val="00137602"/>
    <w:rsid w:val="001418B3"/>
    <w:rsid w:val="001428F8"/>
    <w:rsid w:val="00147253"/>
    <w:rsid w:val="0015019B"/>
    <w:rsid w:val="0015037A"/>
    <w:rsid w:val="00150C50"/>
    <w:rsid w:val="00150DF9"/>
    <w:rsid w:val="0015236D"/>
    <w:rsid w:val="001524A1"/>
    <w:rsid w:val="00152A59"/>
    <w:rsid w:val="00153968"/>
    <w:rsid w:val="00154504"/>
    <w:rsid w:val="00155BAF"/>
    <w:rsid w:val="00156C66"/>
    <w:rsid w:val="001610F4"/>
    <w:rsid w:val="00161B2E"/>
    <w:rsid w:val="00161C31"/>
    <w:rsid w:val="00162236"/>
    <w:rsid w:val="00163A0B"/>
    <w:rsid w:val="00163BB2"/>
    <w:rsid w:val="00163F9F"/>
    <w:rsid w:val="001650F6"/>
    <w:rsid w:val="0016575D"/>
    <w:rsid w:val="00167115"/>
    <w:rsid w:val="00170000"/>
    <w:rsid w:val="00170632"/>
    <w:rsid w:val="00170D1C"/>
    <w:rsid w:val="00171A95"/>
    <w:rsid w:val="00171A98"/>
    <w:rsid w:val="00171B04"/>
    <w:rsid w:val="0017310C"/>
    <w:rsid w:val="0017399F"/>
    <w:rsid w:val="001741A2"/>
    <w:rsid w:val="00174F33"/>
    <w:rsid w:val="00181405"/>
    <w:rsid w:val="001818B5"/>
    <w:rsid w:val="00182676"/>
    <w:rsid w:val="00182752"/>
    <w:rsid w:val="001833CC"/>
    <w:rsid w:val="0018369F"/>
    <w:rsid w:val="00184AE4"/>
    <w:rsid w:val="0018530F"/>
    <w:rsid w:val="00185F30"/>
    <w:rsid w:val="00186071"/>
    <w:rsid w:val="0018752B"/>
    <w:rsid w:val="001878E0"/>
    <w:rsid w:val="001903FB"/>
    <w:rsid w:val="00190CDE"/>
    <w:rsid w:val="00190FA8"/>
    <w:rsid w:val="00191B95"/>
    <w:rsid w:val="0019399C"/>
    <w:rsid w:val="00194B0B"/>
    <w:rsid w:val="00194F3F"/>
    <w:rsid w:val="0019533E"/>
    <w:rsid w:val="0019730C"/>
    <w:rsid w:val="00197793"/>
    <w:rsid w:val="001A0509"/>
    <w:rsid w:val="001A1559"/>
    <w:rsid w:val="001A2BA4"/>
    <w:rsid w:val="001A348F"/>
    <w:rsid w:val="001A3FC7"/>
    <w:rsid w:val="001A4CF3"/>
    <w:rsid w:val="001A594A"/>
    <w:rsid w:val="001A6593"/>
    <w:rsid w:val="001A6BC7"/>
    <w:rsid w:val="001A6E40"/>
    <w:rsid w:val="001A7189"/>
    <w:rsid w:val="001A7D4B"/>
    <w:rsid w:val="001B2DAC"/>
    <w:rsid w:val="001B33A1"/>
    <w:rsid w:val="001B3F35"/>
    <w:rsid w:val="001B3FC5"/>
    <w:rsid w:val="001B4F56"/>
    <w:rsid w:val="001B5650"/>
    <w:rsid w:val="001B57B1"/>
    <w:rsid w:val="001B5C88"/>
    <w:rsid w:val="001B63EC"/>
    <w:rsid w:val="001B65D8"/>
    <w:rsid w:val="001B6BD9"/>
    <w:rsid w:val="001B6C5A"/>
    <w:rsid w:val="001B726B"/>
    <w:rsid w:val="001B763B"/>
    <w:rsid w:val="001C013F"/>
    <w:rsid w:val="001C1892"/>
    <w:rsid w:val="001C271C"/>
    <w:rsid w:val="001C40B1"/>
    <w:rsid w:val="001C4A70"/>
    <w:rsid w:val="001C55AB"/>
    <w:rsid w:val="001C69A9"/>
    <w:rsid w:val="001C705C"/>
    <w:rsid w:val="001C76AC"/>
    <w:rsid w:val="001C7E5E"/>
    <w:rsid w:val="001D1477"/>
    <w:rsid w:val="001D27A4"/>
    <w:rsid w:val="001D4828"/>
    <w:rsid w:val="001D4B06"/>
    <w:rsid w:val="001D4D65"/>
    <w:rsid w:val="001D6D4D"/>
    <w:rsid w:val="001D6E0F"/>
    <w:rsid w:val="001D709A"/>
    <w:rsid w:val="001D7207"/>
    <w:rsid w:val="001D746B"/>
    <w:rsid w:val="001E0180"/>
    <w:rsid w:val="001E3B03"/>
    <w:rsid w:val="001E545F"/>
    <w:rsid w:val="001E58D2"/>
    <w:rsid w:val="001E63B3"/>
    <w:rsid w:val="001E64F5"/>
    <w:rsid w:val="001E784F"/>
    <w:rsid w:val="001E7ADF"/>
    <w:rsid w:val="001F0396"/>
    <w:rsid w:val="001F0A05"/>
    <w:rsid w:val="001F30BF"/>
    <w:rsid w:val="001F4814"/>
    <w:rsid w:val="001F56BE"/>
    <w:rsid w:val="001F7F32"/>
    <w:rsid w:val="002006BB"/>
    <w:rsid w:val="00203CE2"/>
    <w:rsid w:val="00206757"/>
    <w:rsid w:val="00206BDE"/>
    <w:rsid w:val="002079F9"/>
    <w:rsid w:val="00207C3D"/>
    <w:rsid w:val="002100B5"/>
    <w:rsid w:val="00211C99"/>
    <w:rsid w:val="00214F42"/>
    <w:rsid w:val="00215F01"/>
    <w:rsid w:val="002169F1"/>
    <w:rsid w:val="002215B0"/>
    <w:rsid w:val="00223C2A"/>
    <w:rsid w:val="00224005"/>
    <w:rsid w:val="00225E75"/>
    <w:rsid w:val="00225F85"/>
    <w:rsid w:val="0023108E"/>
    <w:rsid w:val="00232ED0"/>
    <w:rsid w:val="00233795"/>
    <w:rsid w:val="002345C5"/>
    <w:rsid w:val="00235C2C"/>
    <w:rsid w:val="0023799F"/>
    <w:rsid w:val="00240FE3"/>
    <w:rsid w:val="00241EE6"/>
    <w:rsid w:val="0024244E"/>
    <w:rsid w:val="00242461"/>
    <w:rsid w:val="00242AFE"/>
    <w:rsid w:val="0024322D"/>
    <w:rsid w:val="002434B2"/>
    <w:rsid w:val="00245242"/>
    <w:rsid w:val="00245850"/>
    <w:rsid w:val="00245D31"/>
    <w:rsid w:val="0024658E"/>
    <w:rsid w:val="002466DC"/>
    <w:rsid w:val="00247514"/>
    <w:rsid w:val="00247A3C"/>
    <w:rsid w:val="00247B9D"/>
    <w:rsid w:val="0025064F"/>
    <w:rsid w:val="00252CB2"/>
    <w:rsid w:val="00253D8D"/>
    <w:rsid w:val="0025428D"/>
    <w:rsid w:val="0025489B"/>
    <w:rsid w:val="00255553"/>
    <w:rsid w:val="00255E11"/>
    <w:rsid w:val="0025675A"/>
    <w:rsid w:val="00256AE7"/>
    <w:rsid w:val="00257EDB"/>
    <w:rsid w:val="00260A2D"/>
    <w:rsid w:val="00261B7A"/>
    <w:rsid w:val="002660A9"/>
    <w:rsid w:val="0026612C"/>
    <w:rsid w:val="00266339"/>
    <w:rsid w:val="00266EDA"/>
    <w:rsid w:val="002676C9"/>
    <w:rsid w:val="00270210"/>
    <w:rsid w:val="00270217"/>
    <w:rsid w:val="002702C3"/>
    <w:rsid w:val="00271774"/>
    <w:rsid w:val="00271E91"/>
    <w:rsid w:val="00272E7D"/>
    <w:rsid w:val="0027308B"/>
    <w:rsid w:val="00273442"/>
    <w:rsid w:val="00273821"/>
    <w:rsid w:val="0027417A"/>
    <w:rsid w:val="00275513"/>
    <w:rsid w:val="00275FE9"/>
    <w:rsid w:val="002810C1"/>
    <w:rsid w:val="002814DD"/>
    <w:rsid w:val="00281A95"/>
    <w:rsid w:val="00283826"/>
    <w:rsid w:val="00283BC3"/>
    <w:rsid w:val="00283BC9"/>
    <w:rsid w:val="00283C34"/>
    <w:rsid w:val="00283C97"/>
    <w:rsid w:val="0028447E"/>
    <w:rsid w:val="00285F13"/>
    <w:rsid w:val="00286E82"/>
    <w:rsid w:val="0028706F"/>
    <w:rsid w:val="00287A26"/>
    <w:rsid w:val="002919D9"/>
    <w:rsid w:val="00292D28"/>
    <w:rsid w:val="00293945"/>
    <w:rsid w:val="0029532B"/>
    <w:rsid w:val="0029647C"/>
    <w:rsid w:val="002979A1"/>
    <w:rsid w:val="00297E8D"/>
    <w:rsid w:val="002A02DB"/>
    <w:rsid w:val="002A117E"/>
    <w:rsid w:val="002A1FD1"/>
    <w:rsid w:val="002A2108"/>
    <w:rsid w:val="002A329A"/>
    <w:rsid w:val="002A34CB"/>
    <w:rsid w:val="002A3ED2"/>
    <w:rsid w:val="002A47FB"/>
    <w:rsid w:val="002A4A70"/>
    <w:rsid w:val="002A54C8"/>
    <w:rsid w:val="002A585E"/>
    <w:rsid w:val="002A63F9"/>
    <w:rsid w:val="002A642F"/>
    <w:rsid w:val="002A65F2"/>
    <w:rsid w:val="002A7323"/>
    <w:rsid w:val="002B0700"/>
    <w:rsid w:val="002B285B"/>
    <w:rsid w:val="002B3985"/>
    <w:rsid w:val="002B4898"/>
    <w:rsid w:val="002B58C2"/>
    <w:rsid w:val="002B6310"/>
    <w:rsid w:val="002B6C34"/>
    <w:rsid w:val="002B7C50"/>
    <w:rsid w:val="002B7DB4"/>
    <w:rsid w:val="002B7F3C"/>
    <w:rsid w:val="002C09C8"/>
    <w:rsid w:val="002C1A66"/>
    <w:rsid w:val="002C2194"/>
    <w:rsid w:val="002C36CA"/>
    <w:rsid w:val="002C4959"/>
    <w:rsid w:val="002D0542"/>
    <w:rsid w:val="002D05C6"/>
    <w:rsid w:val="002D209A"/>
    <w:rsid w:val="002D2E87"/>
    <w:rsid w:val="002D2F07"/>
    <w:rsid w:val="002D5287"/>
    <w:rsid w:val="002D5656"/>
    <w:rsid w:val="002D5801"/>
    <w:rsid w:val="002D617A"/>
    <w:rsid w:val="002D6C96"/>
    <w:rsid w:val="002D7EC0"/>
    <w:rsid w:val="002E0898"/>
    <w:rsid w:val="002E18D2"/>
    <w:rsid w:val="002E2F73"/>
    <w:rsid w:val="002E2FED"/>
    <w:rsid w:val="002E309D"/>
    <w:rsid w:val="002E3119"/>
    <w:rsid w:val="002E446D"/>
    <w:rsid w:val="002E7648"/>
    <w:rsid w:val="002E7E38"/>
    <w:rsid w:val="002F0245"/>
    <w:rsid w:val="002F05D5"/>
    <w:rsid w:val="002F0653"/>
    <w:rsid w:val="002F145F"/>
    <w:rsid w:val="002F1659"/>
    <w:rsid w:val="002F1856"/>
    <w:rsid w:val="002F1E56"/>
    <w:rsid w:val="002F23A6"/>
    <w:rsid w:val="002F3C53"/>
    <w:rsid w:val="002F6932"/>
    <w:rsid w:val="0030138E"/>
    <w:rsid w:val="00302094"/>
    <w:rsid w:val="00302288"/>
    <w:rsid w:val="0030256E"/>
    <w:rsid w:val="003025AD"/>
    <w:rsid w:val="00302C72"/>
    <w:rsid w:val="003054E6"/>
    <w:rsid w:val="0030666E"/>
    <w:rsid w:val="00310B53"/>
    <w:rsid w:val="003110BB"/>
    <w:rsid w:val="003112F3"/>
    <w:rsid w:val="00311C5E"/>
    <w:rsid w:val="00312D10"/>
    <w:rsid w:val="00313E98"/>
    <w:rsid w:val="00313F64"/>
    <w:rsid w:val="00314AAD"/>
    <w:rsid w:val="00316367"/>
    <w:rsid w:val="00316EFB"/>
    <w:rsid w:val="00316FA1"/>
    <w:rsid w:val="00320299"/>
    <w:rsid w:val="003210E7"/>
    <w:rsid w:val="003228BA"/>
    <w:rsid w:val="003249DD"/>
    <w:rsid w:val="00325D3B"/>
    <w:rsid w:val="0032713D"/>
    <w:rsid w:val="0032764D"/>
    <w:rsid w:val="003279F1"/>
    <w:rsid w:val="00331231"/>
    <w:rsid w:val="0033189E"/>
    <w:rsid w:val="00332832"/>
    <w:rsid w:val="00335050"/>
    <w:rsid w:val="003353DB"/>
    <w:rsid w:val="00335414"/>
    <w:rsid w:val="00335526"/>
    <w:rsid w:val="00336EDC"/>
    <w:rsid w:val="003401F2"/>
    <w:rsid w:val="003416DE"/>
    <w:rsid w:val="00341E79"/>
    <w:rsid w:val="00342A80"/>
    <w:rsid w:val="00343984"/>
    <w:rsid w:val="0034400F"/>
    <w:rsid w:val="003440CD"/>
    <w:rsid w:val="0034479C"/>
    <w:rsid w:val="003453CD"/>
    <w:rsid w:val="00345B9B"/>
    <w:rsid w:val="00350A8C"/>
    <w:rsid w:val="003537F8"/>
    <w:rsid w:val="003543BE"/>
    <w:rsid w:val="003545AB"/>
    <w:rsid w:val="00354C4D"/>
    <w:rsid w:val="0035510A"/>
    <w:rsid w:val="00355872"/>
    <w:rsid w:val="0035649D"/>
    <w:rsid w:val="00356897"/>
    <w:rsid w:val="0035761C"/>
    <w:rsid w:val="00360094"/>
    <w:rsid w:val="003604B7"/>
    <w:rsid w:val="00360E2F"/>
    <w:rsid w:val="00361518"/>
    <w:rsid w:val="00362297"/>
    <w:rsid w:val="0036299C"/>
    <w:rsid w:val="00363384"/>
    <w:rsid w:val="00363FF1"/>
    <w:rsid w:val="00367199"/>
    <w:rsid w:val="00372855"/>
    <w:rsid w:val="003729C6"/>
    <w:rsid w:val="00372E2C"/>
    <w:rsid w:val="00373518"/>
    <w:rsid w:val="00373765"/>
    <w:rsid w:val="003737D3"/>
    <w:rsid w:val="0037466A"/>
    <w:rsid w:val="003753FC"/>
    <w:rsid w:val="00376AEA"/>
    <w:rsid w:val="00377F5B"/>
    <w:rsid w:val="00380128"/>
    <w:rsid w:val="00380755"/>
    <w:rsid w:val="00381238"/>
    <w:rsid w:val="00382690"/>
    <w:rsid w:val="00382A48"/>
    <w:rsid w:val="00383972"/>
    <w:rsid w:val="00383A6B"/>
    <w:rsid w:val="00385896"/>
    <w:rsid w:val="00385C9E"/>
    <w:rsid w:val="00386083"/>
    <w:rsid w:val="00386117"/>
    <w:rsid w:val="00386A53"/>
    <w:rsid w:val="00386C83"/>
    <w:rsid w:val="003877D7"/>
    <w:rsid w:val="00392683"/>
    <w:rsid w:val="00392801"/>
    <w:rsid w:val="00394251"/>
    <w:rsid w:val="00394F50"/>
    <w:rsid w:val="0039545C"/>
    <w:rsid w:val="00395FDB"/>
    <w:rsid w:val="00397091"/>
    <w:rsid w:val="003970C8"/>
    <w:rsid w:val="003978A3"/>
    <w:rsid w:val="003A0763"/>
    <w:rsid w:val="003A44C0"/>
    <w:rsid w:val="003A4F7F"/>
    <w:rsid w:val="003A6424"/>
    <w:rsid w:val="003A76AB"/>
    <w:rsid w:val="003A7C6F"/>
    <w:rsid w:val="003B225E"/>
    <w:rsid w:val="003B2709"/>
    <w:rsid w:val="003B293E"/>
    <w:rsid w:val="003B36AF"/>
    <w:rsid w:val="003B4193"/>
    <w:rsid w:val="003B485F"/>
    <w:rsid w:val="003B4AB6"/>
    <w:rsid w:val="003B6816"/>
    <w:rsid w:val="003B6CAA"/>
    <w:rsid w:val="003B7E5E"/>
    <w:rsid w:val="003C0474"/>
    <w:rsid w:val="003C0EB0"/>
    <w:rsid w:val="003C2414"/>
    <w:rsid w:val="003C25C4"/>
    <w:rsid w:val="003C4D92"/>
    <w:rsid w:val="003C7E62"/>
    <w:rsid w:val="003D1480"/>
    <w:rsid w:val="003D22C5"/>
    <w:rsid w:val="003D264A"/>
    <w:rsid w:val="003D2781"/>
    <w:rsid w:val="003D2DD8"/>
    <w:rsid w:val="003D3629"/>
    <w:rsid w:val="003D4182"/>
    <w:rsid w:val="003D4513"/>
    <w:rsid w:val="003D49AD"/>
    <w:rsid w:val="003D4D65"/>
    <w:rsid w:val="003D5D9A"/>
    <w:rsid w:val="003D6C40"/>
    <w:rsid w:val="003E0CE1"/>
    <w:rsid w:val="003E1502"/>
    <w:rsid w:val="003E1DE9"/>
    <w:rsid w:val="003E20C8"/>
    <w:rsid w:val="003E2698"/>
    <w:rsid w:val="003E2B29"/>
    <w:rsid w:val="003E43EF"/>
    <w:rsid w:val="003E4874"/>
    <w:rsid w:val="003E568E"/>
    <w:rsid w:val="003E5A95"/>
    <w:rsid w:val="003F18F5"/>
    <w:rsid w:val="003F217D"/>
    <w:rsid w:val="003F2275"/>
    <w:rsid w:val="003F3587"/>
    <w:rsid w:val="003F4B01"/>
    <w:rsid w:val="003F51A2"/>
    <w:rsid w:val="003F5840"/>
    <w:rsid w:val="003F62D3"/>
    <w:rsid w:val="003F685F"/>
    <w:rsid w:val="003F7F86"/>
    <w:rsid w:val="00400657"/>
    <w:rsid w:val="00400AA0"/>
    <w:rsid w:val="00400E82"/>
    <w:rsid w:val="004010BD"/>
    <w:rsid w:val="004033B2"/>
    <w:rsid w:val="00406398"/>
    <w:rsid w:val="0041010A"/>
    <w:rsid w:val="00410C80"/>
    <w:rsid w:val="00411392"/>
    <w:rsid w:val="00411702"/>
    <w:rsid w:val="004133B7"/>
    <w:rsid w:val="004133DF"/>
    <w:rsid w:val="00413C26"/>
    <w:rsid w:val="00413FBA"/>
    <w:rsid w:val="00415370"/>
    <w:rsid w:val="00415CBC"/>
    <w:rsid w:val="00417965"/>
    <w:rsid w:val="00420B96"/>
    <w:rsid w:val="00421EF3"/>
    <w:rsid w:val="004220DE"/>
    <w:rsid w:val="00422368"/>
    <w:rsid w:val="0042285C"/>
    <w:rsid w:val="004233AF"/>
    <w:rsid w:val="0042472A"/>
    <w:rsid w:val="00425139"/>
    <w:rsid w:val="004255C7"/>
    <w:rsid w:val="00425D4A"/>
    <w:rsid w:val="004266F6"/>
    <w:rsid w:val="00426D02"/>
    <w:rsid w:val="00427C34"/>
    <w:rsid w:val="00427E2F"/>
    <w:rsid w:val="0043005E"/>
    <w:rsid w:val="0043317F"/>
    <w:rsid w:val="0043345E"/>
    <w:rsid w:val="0043362E"/>
    <w:rsid w:val="00434980"/>
    <w:rsid w:val="00434F89"/>
    <w:rsid w:val="004366C0"/>
    <w:rsid w:val="00437C15"/>
    <w:rsid w:val="00440D9A"/>
    <w:rsid w:val="00441855"/>
    <w:rsid w:val="00442FF3"/>
    <w:rsid w:val="0044308C"/>
    <w:rsid w:val="00443402"/>
    <w:rsid w:val="00443477"/>
    <w:rsid w:val="004437DA"/>
    <w:rsid w:val="00444F4E"/>
    <w:rsid w:val="004468AE"/>
    <w:rsid w:val="00446DE2"/>
    <w:rsid w:val="0045048F"/>
    <w:rsid w:val="00450BB5"/>
    <w:rsid w:val="00452E63"/>
    <w:rsid w:val="00452FDD"/>
    <w:rsid w:val="0045398C"/>
    <w:rsid w:val="00454625"/>
    <w:rsid w:val="004549D4"/>
    <w:rsid w:val="0046104D"/>
    <w:rsid w:val="00461D03"/>
    <w:rsid w:val="0046293A"/>
    <w:rsid w:val="00462FFD"/>
    <w:rsid w:val="004630CB"/>
    <w:rsid w:val="004637D4"/>
    <w:rsid w:val="004638AF"/>
    <w:rsid w:val="004656B6"/>
    <w:rsid w:val="00465927"/>
    <w:rsid w:val="004674EC"/>
    <w:rsid w:val="0047291F"/>
    <w:rsid w:val="0047431D"/>
    <w:rsid w:val="004757F0"/>
    <w:rsid w:val="00475E5F"/>
    <w:rsid w:val="00476125"/>
    <w:rsid w:val="00477DAD"/>
    <w:rsid w:val="0048154A"/>
    <w:rsid w:val="00481FCD"/>
    <w:rsid w:val="00483DF4"/>
    <w:rsid w:val="0048446D"/>
    <w:rsid w:val="00484FD0"/>
    <w:rsid w:val="004860F8"/>
    <w:rsid w:val="004870C7"/>
    <w:rsid w:val="004871EF"/>
    <w:rsid w:val="00487309"/>
    <w:rsid w:val="00490778"/>
    <w:rsid w:val="004916C9"/>
    <w:rsid w:val="00491C8C"/>
    <w:rsid w:val="004921E0"/>
    <w:rsid w:val="00492430"/>
    <w:rsid w:val="00492E26"/>
    <w:rsid w:val="00493DAD"/>
    <w:rsid w:val="004947C2"/>
    <w:rsid w:val="004948D9"/>
    <w:rsid w:val="00494944"/>
    <w:rsid w:val="00494CBE"/>
    <w:rsid w:val="00495086"/>
    <w:rsid w:val="00495C30"/>
    <w:rsid w:val="00497E0E"/>
    <w:rsid w:val="00497F97"/>
    <w:rsid w:val="004A0E0F"/>
    <w:rsid w:val="004A12E7"/>
    <w:rsid w:val="004A133F"/>
    <w:rsid w:val="004A5A50"/>
    <w:rsid w:val="004A7B6F"/>
    <w:rsid w:val="004B1A0F"/>
    <w:rsid w:val="004B210E"/>
    <w:rsid w:val="004B381A"/>
    <w:rsid w:val="004B5D22"/>
    <w:rsid w:val="004B6B6B"/>
    <w:rsid w:val="004B70E9"/>
    <w:rsid w:val="004B798B"/>
    <w:rsid w:val="004B7C57"/>
    <w:rsid w:val="004B7E37"/>
    <w:rsid w:val="004C2FC7"/>
    <w:rsid w:val="004C3DB3"/>
    <w:rsid w:val="004C43A4"/>
    <w:rsid w:val="004C5181"/>
    <w:rsid w:val="004C58FF"/>
    <w:rsid w:val="004C63ED"/>
    <w:rsid w:val="004C68BB"/>
    <w:rsid w:val="004C73DC"/>
    <w:rsid w:val="004C7B59"/>
    <w:rsid w:val="004D16BF"/>
    <w:rsid w:val="004D2ECF"/>
    <w:rsid w:val="004D3253"/>
    <w:rsid w:val="004D398F"/>
    <w:rsid w:val="004D3E7A"/>
    <w:rsid w:val="004D452F"/>
    <w:rsid w:val="004D56E4"/>
    <w:rsid w:val="004D5899"/>
    <w:rsid w:val="004D6F14"/>
    <w:rsid w:val="004D729A"/>
    <w:rsid w:val="004D7964"/>
    <w:rsid w:val="004E109F"/>
    <w:rsid w:val="004E1849"/>
    <w:rsid w:val="004E19B0"/>
    <w:rsid w:val="004E1D2E"/>
    <w:rsid w:val="004E237A"/>
    <w:rsid w:val="004E3601"/>
    <w:rsid w:val="004E360A"/>
    <w:rsid w:val="004E45A8"/>
    <w:rsid w:val="004E6556"/>
    <w:rsid w:val="004E6629"/>
    <w:rsid w:val="004E72F9"/>
    <w:rsid w:val="004E75CF"/>
    <w:rsid w:val="004E7677"/>
    <w:rsid w:val="004F1208"/>
    <w:rsid w:val="004F301F"/>
    <w:rsid w:val="004F35EF"/>
    <w:rsid w:val="004F4DB8"/>
    <w:rsid w:val="004F557C"/>
    <w:rsid w:val="004F57B4"/>
    <w:rsid w:val="004F580D"/>
    <w:rsid w:val="004F7385"/>
    <w:rsid w:val="00500D46"/>
    <w:rsid w:val="005037F3"/>
    <w:rsid w:val="0050390C"/>
    <w:rsid w:val="0050522D"/>
    <w:rsid w:val="00505BA6"/>
    <w:rsid w:val="00506E51"/>
    <w:rsid w:val="00510A7B"/>
    <w:rsid w:val="00511319"/>
    <w:rsid w:val="005117A6"/>
    <w:rsid w:val="00512644"/>
    <w:rsid w:val="0051297C"/>
    <w:rsid w:val="00515C9F"/>
    <w:rsid w:val="00516994"/>
    <w:rsid w:val="00516CE9"/>
    <w:rsid w:val="00517A27"/>
    <w:rsid w:val="00517D85"/>
    <w:rsid w:val="00520AC0"/>
    <w:rsid w:val="00521006"/>
    <w:rsid w:val="005211FA"/>
    <w:rsid w:val="00521CDC"/>
    <w:rsid w:val="00521D87"/>
    <w:rsid w:val="00522101"/>
    <w:rsid w:val="005223A5"/>
    <w:rsid w:val="005223E1"/>
    <w:rsid w:val="00522661"/>
    <w:rsid w:val="00522691"/>
    <w:rsid w:val="00522B4A"/>
    <w:rsid w:val="005230EA"/>
    <w:rsid w:val="0052319D"/>
    <w:rsid w:val="00523321"/>
    <w:rsid w:val="0052465C"/>
    <w:rsid w:val="005257D7"/>
    <w:rsid w:val="00525E27"/>
    <w:rsid w:val="00526FA0"/>
    <w:rsid w:val="00527A58"/>
    <w:rsid w:val="00527CA6"/>
    <w:rsid w:val="00527CE9"/>
    <w:rsid w:val="00530265"/>
    <w:rsid w:val="005316C7"/>
    <w:rsid w:val="0053235E"/>
    <w:rsid w:val="00534017"/>
    <w:rsid w:val="0053423D"/>
    <w:rsid w:val="00534DAE"/>
    <w:rsid w:val="005352A9"/>
    <w:rsid w:val="005353D3"/>
    <w:rsid w:val="00535D26"/>
    <w:rsid w:val="00535F21"/>
    <w:rsid w:val="005377B2"/>
    <w:rsid w:val="00544597"/>
    <w:rsid w:val="00546C95"/>
    <w:rsid w:val="00547EA5"/>
    <w:rsid w:val="00550667"/>
    <w:rsid w:val="00550778"/>
    <w:rsid w:val="00551A19"/>
    <w:rsid w:val="00552AE2"/>
    <w:rsid w:val="00552C24"/>
    <w:rsid w:val="00553DF7"/>
    <w:rsid w:val="00553FA2"/>
    <w:rsid w:val="005542A6"/>
    <w:rsid w:val="00554307"/>
    <w:rsid w:val="005556F4"/>
    <w:rsid w:val="005561A0"/>
    <w:rsid w:val="00556C3D"/>
    <w:rsid w:val="005570A3"/>
    <w:rsid w:val="0055731C"/>
    <w:rsid w:val="005573FE"/>
    <w:rsid w:val="00557E77"/>
    <w:rsid w:val="00560DD4"/>
    <w:rsid w:val="00561BDA"/>
    <w:rsid w:val="005649E4"/>
    <w:rsid w:val="0056518D"/>
    <w:rsid w:val="00565A51"/>
    <w:rsid w:val="00565BA8"/>
    <w:rsid w:val="00567395"/>
    <w:rsid w:val="00567AEF"/>
    <w:rsid w:val="00567FFE"/>
    <w:rsid w:val="0057073A"/>
    <w:rsid w:val="00573F53"/>
    <w:rsid w:val="00576061"/>
    <w:rsid w:val="0057679D"/>
    <w:rsid w:val="00576E8D"/>
    <w:rsid w:val="0058169D"/>
    <w:rsid w:val="00581AD5"/>
    <w:rsid w:val="0058214F"/>
    <w:rsid w:val="00582810"/>
    <w:rsid w:val="005828DA"/>
    <w:rsid w:val="00583227"/>
    <w:rsid w:val="005832A3"/>
    <w:rsid w:val="0058340B"/>
    <w:rsid w:val="005834CA"/>
    <w:rsid w:val="005835BD"/>
    <w:rsid w:val="00584509"/>
    <w:rsid w:val="005845D1"/>
    <w:rsid w:val="00584B41"/>
    <w:rsid w:val="00585509"/>
    <w:rsid w:val="005855B0"/>
    <w:rsid w:val="00585631"/>
    <w:rsid w:val="0058644D"/>
    <w:rsid w:val="00587346"/>
    <w:rsid w:val="00590C8C"/>
    <w:rsid w:val="00592651"/>
    <w:rsid w:val="00593C4F"/>
    <w:rsid w:val="00593DE1"/>
    <w:rsid w:val="005942F4"/>
    <w:rsid w:val="005947BA"/>
    <w:rsid w:val="0059539B"/>
    <w:rsid w:val="0059722A"/>
    <w:rsid w:val="005A0F7D"/>
    <w:rsid w:val="005A129E"/>
    <w:rsid w:val="005A1D49"/>
    <w:rsid w:val="005A1F71"/>
    <w:rsid w:val="005A4866"/>
    <w:rsid w:val="005A5C36"/>
    <w:rsid w:val="005A5C75"/>
    <w:rsid w:val="005A6E43"/>
    <w:rsid w:val="005A72EC"/>
    <w:rsid w:val="005A7919"/>
    <w:rsid w:val="005B1B63"/>
    <w:rsid w:val="005B25D3"/>
    <w:rsid w:val="005B570B"/>
    <w:rsid w:val="005B666D"/>
    <w:rsid w:val="005B67B7"/>
    <w:rsid w:val="005B7895"/>
    <w:rsid w:val="005C1356"/>
    <w:rsid w:val="005C2174"/>
    <w:rsid w:val="005C303C"/>
    <w:rsid w:val="005C3995"/>
    <w:rsid w:val="005C3A10"/>
    <w:rsid w:val="005C6360"/>
    <w:rsid w:val="005C6D8F"/>
    <w:rsid w:val="005C72C1"/>
    <w:rsid w:val="005C756F"/>
    <w:rsid w:val="005C7810"/>
    <w:rsid w:val="005C7AAF"/>
    <w:rsid w:val="005D0087"/>
    <w:rsid w:val="005D1094"/>
    <w:rsid w:val="005D1A89"/>
    <w:rsid w:val="005D2929"/>
    <w:rsid w:val="005D3499"/>
    <w:rsid w:val="005D457E"/>
    <w:rsid w:val="005D466D"/>
    <w:rsid w:val="005D4BCC"/>
    <w:rsid w:val="005D7004"/>
    <w:rsid w:val="005D7310"/>
    <w:rsid w:val="005D7E59"/>
    <w:rsid w:val="005E018F"/>
    <w:rsid w:val="005E16B1"/>
    <w:rsid w:val="005E28C8"/>
    <w:rsid w:val="005E3655"/>
    <w:rsid w:val="005E438F"/>
    <w:rsid w:val="005E5252"/>
    <w:rsid w:val="005E7999"/>
    <w:rsid w:val="005E7A9C"/>
    <w:rsid w:val="005F0C43"/>
    <w:rsid w:val="005F2D0E"/>
    <w:rsid w:val="005F3994"/>
    <w:rsid w:val="005F3D9C"/>
    <w:rsid w:val="005F45C7"/>
    <w:rsid w:val="005F4BF0"/>
    <w:rsid w:val="005F4ECE"/>
    <w:rsid w:val="005F6260"/>
    <w:rsid w:val="005F7718"/>
    <w:rsid w:val="00600090"/>
    <w:rsid w:val="006007CA"/>
    <w:rsid w:val="006039C5"/>
    <w:rsid w:val="00603EF7"/>
    <w:rsid w:val="00603F86"/>
    <w:rsid w:val="00604651"/>
    <w:rsid w:val="00604A80"/>
    <w:rsid w:val="00605734"/>
    <w:rsid w:val="00605DE5"/>
    <w:rsid w:val="006074C3"/>
    <w:rsid w:val="00610430"/>
    <w:rsid w:val="00610E33"/>
    <w:rsid w:val="00610E8C"/>
    <w:rsid w:val="0061209B"/>
    <w:rsid w:val="006127F3"/>
    <w:rsid w:val="0061285C"/>
    <w:rsid w:val="00614D21"/>
    <w:rsid w:val="00615558"/>
    <w:rsid w:val="006168C9"/>
    <w:rsid w:val="00617618"/>
    <w:rsid w:val="006207EE"/>
    <w:rsid w:val="00622EF9"/>
    <w:rsid w:val="00623E83"/>
    <w:rsid w:val="00623F1C"/>
    <w:rsid w:val="00624054"/>
    <w:rsid w:val="00625ACA"/>
    <w:rsid w:val="00625BAD"/>
    <w:rsid w:val="006276FA"/>
    <w:rsid w:val="00630FBA"/>
    <w:rsid w:val="0063114B"/>
    <w:rsid w:val="00631781"/>
    <w:rsid w:val="00633387"/>
    <w:rsid w:val="00633E9B"/>
    <w:rsid w:val="006342F2"/>
    <w:rsid w:val="00634C3A"/>
    <w:rsid w:val="00635240"/>
    <w:rsid w:val="00635AA2"/>
    <w:rsid w:val="00635E20"/>
    <w:rsid w:val="00637108"/>
    <w:rsid w:val="006379FC"/>
    <w:rsid w:val="00640170"/>
    <w:rsid w:val="00642857"/>
    <w:rsid w:val="00642895"/>
    <w:rsid w:val="006445BD"/>
    <w:rsid w:val="0064537D"/>
    <w:rsid w:val="00645CAE"/>
    <w:rsid w:val="006468F7"/>
    <w:rsid w:val="00646AF7"/>
    <w:rsid w:val="00650303"/>
    <w:rsid w:val="00650D3D"/>
    <w:rsid w:val="00650DFA"/>
    <w:rsid w:val="006518C6"/>
    <w:rsid w:val="00651FF0"/>
    <w:rsid w:val="0065353C"/>
    <w:rsid w:val="00653CE5"/>
    <w:rsid w:val="006555B8"/>
    <w:rsid w:val="00657304"/>
    <w:rsid w:val="006611D9"/>
    <w:rsid w:val="00661ABA"/>
    <w:rsid w:val="00661AC9"/>
    <w:rsid w:val="006623B3"/>
    <w:rsid w:val="0066301D"/>
    <w:rsid w:val="0066327D"/>
    <w:rsid w:val="00663781"/>
    <w:rsid w:val="00663872"/>
    <w:rsid w:val="00663C00"/>
    <w:rsid w:val="0066530D"/>
    <w:rsid w:val="00665407"/>
    <w:rsid w:val="006659E2"/>
    <w:rsid w:val="00666609"/>
    <w:rsid w:val="00666697"/>
    <w:rsid w:val="0066790C"/>
    <w:rsid w:val="006713FA"/>
    <w:rsid w:val="006714EB"/>
    <w:rsid w:val="00672C0E"/>
    <w:rsid w:val="00672FDE"/>
    <w:rsid w:val="00673216"/>
    <w:rsid w:val="0067355D"/>
    <w:rsid w:val="00673FBD"/>
    <w:rsid w:val="006749F6"/>
    <w:rsid w:val="00674A02"/>
    <w:rsid w:val="00674C40"/>
    <w:rsid w:val="00675F55"/>
    <w:rsid w:val="00680C11"/>
    <w:rsid w:val="00681798"/>
    <w:rsid w:val="00683819"/>
    <w:rsid w:val="00684E86"/>
    <w:rsid w:val="00686B1B"/>
    <w:rsid w:val="00690969"/>
    <w:rsid w:val="00691235"/>
    <w:rsid w:val="00692759"/>
    <w:rsid w:val="00692D51"/>
    <w:rsid w:val="00692ED9"/>
    <w:rsid w:val="0069338A"/>
    <w:rsid w:val="006942D6"/>
    <w:rsid w:val="006946D7"/>
    <w:rsid w:val="00694F10"/>
    <w:rsid w:val="006956B9"/>
    <w:rsid w:val="006968B7"/>
    <w:rsid w:val="00696C12"/>
    <w:rsid w:val="006A0803"/>
    <w:rsid w:val="006A122A"/>
    <w:rsid w:val="006A3408"/>
    <w:rsid w:val="006A400F"/>
    <w:rsid w:val="006A4DA3"/>
    <w:rsid w:val="006A5219"/>
    <w:rsid w:val="006A5998"/>
    <w:rsid w:val="006A74D5"/>
    <w:rsid w:val="006A76B8"/>
    <w:rsid w:val="006B05BF"/>
    <w:rsid w:val="006B0A54"/>
    <w:rsid w:val="006B35B7"/>
    <w:rsid w:val="006B3ABF"/>
    <w:rsid w:val="006B47E3"/>
    <w:rsid w:val="006B49EF"/>
    <w:rsid w:val="006B4C48"/>
    <w:rsid w:val="006B62BD"/>
    <w:rsid w:val="006C003D"/>
    <w:rsid w:val="006C0645"/>
    <w:rsid w:val="006C0D5B"/>
    <w:rsid w:val="006C3DD1"/>
    <w:rsid w:val="006C46B2"/>
    <w:rsid w:val="006C4C00"/>
    <w:rsid w:val="006C5ABC"/>
    <w:rsid w:val="006C5AFC"/>
    <w:rsid w:val="006C6DC2"/>
    <w:rsid w:val="006D0F6C"/>
    <w:rsid w:val="006D51FB"/>
    <w:rsid w:val="006D634F"/>
    <w:rsid w:val="006D6393"/>
    <w:rsid w:val="006D6647"/>
    <w:rsid w:val="006E014E"/>
    <w:rsid w:val="006E215C"/>
    <w:rsid w:val="006E2878"/>
    <w:rsid w:val="006E310C"/>
    <w:rsid w:val="006E3149"/>
    <w:rsid w:val="006E374F"/>
    <w:rsid w:val="006E4705"/>
    <w:rsid w:val="006E5580"/>
    <w:rsid w:val="006F0236"/>
    <w:rsid w:val="006F0EDD"/>
    <w:rsid w:val="006F1803"/>
    <w:rsid w:val="006F26F2"/>
    <w:rsid w:val="006F3388"/>
    <w:rsid w:val="006F3CEF"/>
    <w:rsid w:val="006F472C"/>
    <w:rsid w:val="006F55EA"/>
    <w:rsid w:val="006F6D1B"/>
    <w:rsid w:val="00704EC0"/>
    <w:rsid w:val="00710298"/>
    <w:rsid w:val="00710CC9"/>
    <w:rsid w:val="00710F79"/>
    <w:rsid w:val="00711662"/>
    <w:rsid w:val="00713063"/>
    <w:rsid w:val="00713291"/>
    <w:rsid w:val="00714519"/>
    <w:rsid w:val="00714F31"/>
    <w:rsid w:val="007162E1"/>
    <w:rsid w:val="0071651F"/>
    <w:rsid w:val="00716729"/>
    <w:rsid w:val="00716D89"/>
    <w:rsid w:val="007175C7"/>
    <w:rsid w:val="00720570"/>
    <w:rsid w:val="00720C73"/>
    <w:rsid w:val="00721670"/>
    <w:rsid w:val="007233E5"/>
    <w:rsid w:val="007240A2"/>
    <w:rsid w:val="00724471"/>
    <w:rsid w:val="00724A77"/>
    <w:rsid w:val="00724EA7"/>
    <w:rsid w:val="007266DA"/>
    <w:rsid w:val="0072709E"/>
    <w:rsid w:val="007271F6"/>
    <w:rsid w:val="00727857"/>
    <w:rsid w:val="00731EF4"/>
    <w:rsid w:val="0073319B"/>
    <w:rsid w:val="00733EB7"/>
    <w:rsid w:val="00734393"/>
    <w:rsid w:val="00734E2D"/>
    <w:rsid w:val="00735B87"/>
    <w:rsid w:val="00736863"/>
    <w:rsid w:val="00737BC5"/>
    <w:rsid w:val="0074041C"/>
    <w:rsid w:val="007409B8"/>
    <w:rsid w:val="00741462"/>
    <w:rsid w:val="0074289E"/>
    <w:rsid w:val="00742B59"/>
    <w:rsid w:val="00743A91"/>
    <w:rsid w:val="00743D25"/>
    <w:rsid w:val="007446B2"/>
    <w:rsid w:val="00745A72"/>
    <w:rsid w:val="007471D0"/>
    <w:rsid w:val="00747293"/>
    <w:rsid w:val="007476DD"/>
    <w:rsid w:val="007477E5"/>
    <w:rsid w:val="00750E89"/>
    <w:rsid w:val="00751265"/>
    <w:rsid w:val="00752152"/>
    <w:rsid w:val="007521D8"/>
    <w:rsid w:val="007537F4"/>
    <w:rsid w:val="00753856"/>
    <w:rsid w:val="00754263"/>
    <w:rsid w:val="0075438D"/>
    <w:rsid w:val="00755988"/>
    <w:rsid w:val="00755B8B"/>
    <w:rsid w:val="00755CDB"/>
    <w:rsid w:val="007569D5"/>
    <w:rsid w:val="00756C42"/>
    <w:rsid w:val="007573E3"/>
    <w:rsid w:val="00760003"/>
    <w:rsid w:val="007605A2"/>
    <w:rsid w:val="007618DA"/>
    <w:rsid w:val="00762056"/>
    <w:rsid w:val="0076225F"/>
    <w:rsid w:val="00762B08"/>
    <w:rsid w:val="00763197"/>
    <w:rsid w:val="00764223"/>
    <w:rsid w:val="00766503"/>
    <w:rsid w:val="0077000E"/>
    <w:rsid w:val="00773849"/>
    <w:rsid w:val="00773C51"/>
    <w:rsid w:val="00774328"/>
    <w:rsid w:val="0077519B"/>
    <w:rsid w:val="007778A9"/>
    <w:rsid w:val="00780CD4"/>
    <w:rsid w:val="00780EBC"/>
    <w:rsid w:val="00781818"/>
    <w:rsid w:val="00782483"/>
    <w:rsid w:val="00782AF1"/>
    <w:rsid w:val="00782DAF"/>
    <w:rsid w:val="007834BD"/>
    <w:rsid w:val="00784D70"/>
    <w:rsid w:val="00785282"/>
    <w:rsid w:val="00786628"/>
    <w:rsid w:val="00786FB3"/>
    <w:rsid w:val="007879AE"/>
    <w:rsid w:val="007900E4"/>
    <w:rsid w:val="007909F2"/>
    <w:rsid w:val="00791201"/>
    <w:rsid w:val="0079230D"/>
    <w:rsid w:val="007924C2"/>
    <w:rsid w:val="00793440"/>
    <w:rsid w:val="007A0440"/>
    <w:rsid w:val="007A0E24"/>
    <w:rsid w:val="007A0FBD"/>
    <w:rsid w:val="007A15D7"/>
    <w:rsid w:val="007A2D63"/>
    <w:rsid w:val="007A37BD"/>
    <w:rsid w:val="007A3B8E"/>
    <w:rsid w:val="007A3C4F"/>
    <w:rsid w:val="007A435B"/>
    <w:rsid w:val="007A5341"/>
    <w:rsid w:val="007A6497"/>
    <w:rsid w:val="007B0A85"/>
    <w:rsid w:val="007B14AD"/>
    <w:rsid w:val="007B1708"/>
    <w:rsid w:val="007B4A26"/>
    <w:rsid w:val="007B4DAA"/>
    <w:rsid w:val="007B5380"/>
    <w:rsid w:val="007B5DD2"/>
    <w:rsid w:val="007B715C"/>
    <w:rsid w:val="007C01B5"/>
    <w:rsid w:val="007C0ABC"/>
    <w:rsid w:val="007C1A12"/>
    <w:rsid w:val="007C32C0"/>
    <w:rsid w:val="007C3510"/>
    <w:rsid w:val="007C41E6"/>
    <w:rsid w:val="007C4649"/>
    <w:rsid w:val="007C5AD5"/>
    <w:rsid w:val="007C67E0"/>
    <w:rsid w:val="007C7083"/>
    <w:rsid w:val="007D1254"/>
    <w:rsid w:val="007D3A8C"/>
    <w:rsid w:val="007D4E88"/>
    <w:rsid w:val="007D503C"/>
    <w:rsid w:val="007D553A"/>
    <w:rsid w:val="007D5997"/>
    <w:rsid w:val="007D5C5E"/>
    <w:rsid w:val="007D6A17"/>
    <w:rsid w:val="007D6E1F"/>
    <w:rsid w:val="007D7BE3"/>
    <w:rsid w:val="007D7E69"/>
    <w:rsid w:val="007E07DC"/>
    <w:rsid w:val="007E1719"/>
    <w:rsid w:val="007E20DD"/>
    <w:rsid w:val="007E2895"/>
    <w:rsid w:val="007E2BD5"/>
    <w:rsid w:val="007E593B"/>
    <w:rsid w:val="007E6269"/>
    <w:rsid w:val="007E7A86"/>
    <w:rsid w:val="007F0985"/>
    <w:rsid w:val="007F2044"/>
    <w:rsid w:val="007F2945"/>
    <w:rsid w:val="007F4266"/>
    <w:rsid w:val="007F6BD6"/>
    <w:rsid w:val="00801EF3"/>
    <w:rsid w:val="00802220"/>
    <w:rsid w:val="0080256F"/>
    <w:rsid w:val="00802594"/>
    <w:rsid w:val="00802B14"/>
    <w:rsid w:val="00802FE5"/>
    <w:rsid w:val="00804413"/>
    <w:rsid w:val="008045E3"/>
    <w:rsid w:val="00804B9F"/>
    <w:rsid w:val="00804E23"/>
    <w:rsid w:val="008055B0"/>
    <w:rsid w:val="008056A3"/>
    <w:rsid w:val="00807BB4"/>
    <w:rsid w:val="008112CE"/>
    <w:rsid w:val="0081136C"/>
    <w:rsid w:val="00811AE8"/>
    <w:rsid w:val="00812AC4"/>
    <w:rsid w:val="00813F5C"/>
    <w:rsid w:val="00817851"/>
    <w:rsid w:val="00822556"/>
    <w:rsid w:val="008226F4"/>
    <w:rsid w:val="0082360D"/>
    <w:rsid w:val="008250F2"/>
    <w:rsid w:val="00825431"/>
    <w:rsid w:val="00825DD0"/>
    <w:rsid w:val="008269AD"/>
    <w:rsid w:val="00830630"/>
    <w:rsid w:val="00831989"/>
    <w:rsid w:val="008321F6"/>
    <w:rsid w:val="0083315D"/>
    <w:rsid w:val="00833681"/>
    <w:rsid w:val="00833EC4"/>
    <w:rsid w:val="008342FC"/>
    <w:rsid w:val="0083449C"/>
    <w:rsid w:val="00835D73"/>
    <w:rsid w:val="00837862"/>
    <w:rsid w:val="00837CD5"/>
    <w:rsid w:val="0084009D"/>
    <w:rsid w:val="008401DE"/>
    <w:rsid w:val="0084039E"/>
    <w:rsid w:val="008416CA"/>
    <w:rsid w:val="00845907"/>
    <w:rsid w:val="008463E8"/>
    <w:rsid w:val="00847A0E"/>
    <w:rsid w:val="0085174B"/>
    <w:rsid w:val="00852720"/>
    <w:rsid w:val="00853422"/>
    <w:rsid w:val="0085398E"/>
    <w:rsid w:val="00854028"/>
    <w:rsid w:val="008564A1"/>
    <w:rsid w:val="00856A7D"/>
    <w:rsid w:val="008615D4"/>
    <w:rsid w:val="00865084"/>
    <w:rsid w:val="00866101"/>
    <w:rsid w:val="00867D45"/>
    <w:rsid w:val="0087278F"/>
    <w:rsid w:val="0087308F"/>
    <w:rsid w:val="00874665"/>
    <w:rsid w:val="00874780"/>
    <w:rsid w:val="00874BDC"/>
    <w:rsid w:val="0087674C"/>
    <w:rsid w:val="00877147"/>
    <w:rsid w:val="00877B1E"/>
    <w:rsid w:val="00877BE0"/>
    <w:rsid w:val="0088049C"/>
    <w:rsid w:val="00882355"/>
    <w:rsid w:val="0088266F"/>
    <w:rsid w:val="00884A46"/>
    <w:rsid w:val="0088541A"/>
    <w:rsid w:val="008859F6"/>
    <w:rsid w:val="008862ED"/>
    <w:rsid w:val="00887F10"/>
    <w:rsid w:val="00891264"/>
    <w:rsid w:val="008925A7"/>
    <w:rsid w:val="00892E17"/>
    <w:rsid w:val="00893747"/>
    <w:rsid w:val="00893DC3"/>
    <w:rsid w:val="00894B2E"/>
    <w:rsid w:val="008950D9"/>
    <w:rsid w:val="0089561D"/>
    <w:rsid w:val="008966EA"/>
    <w:rsid w:val="00897E33"/>
    <w:rsid w:val="008A0764"/>
    <w:rsid w:val="008A0CF7"/>
    <w:rsid w:val="008A15B2"/>
    <w:rsid w:val="008A1704"/>
    <w:rsid w:val="008A22E3"/>
    <w:rsid w:val="008A3583"/>
    <w:rsid w:val="008A3861"/>
    <w:rsid w:val="008A47A9"/>
    <w:rsid w:val="008A68B5"/>
    <w:rsid w:val="008A74E3"/>
    <w:rsid w:val="008A7C9A"/>
    <w:rsid w:val="008B0B2C"/>
    <w:rsid w:val="008B1A5D"/>
    <w:rsid w:val="008B430E"/>
    <w:rsid w:val="008B4707"/>
    <w:rsid w:val="008B6200"/>
    <w:rsid w:val="008B6240"/>
    <w:rsid w:val="008B673B"/>
    <w:rsid w:val="008B73CE"/>
    <w:rsid w:val="008B7874"/>
    <w:rsid w:val="008C072A"/>
    <w:rsid w:val="008C0829"/>
    <w:rsid w:val="008C175E"/>
    <w:rsid w:val="008C1948"/>
    <w:rsid w:val="008C2CC4"/>
    <w:rsid w:val="008C2D0B"/>
    <w:rsid w:val="008C443D"/>
    <w:rsid w:val="008C458E"/>
    <w:rsid w:val="008C4690"/>
    <w:rsid w:val="008C74A3"/>
    <w:rsid w:val="008C7BA3"/>
    <w:rsid w:val="008D0B74"/>
    <w:rsid w:val="008D2158"/>
    <w:rsid w:val="008D2EE3"/>
    <w:rsid w:val="008D4651"/>
    <w:rsid w:val="008D4CA6"/>
    <w:rsid w:val="008D50E0"/>
    <w:rsid w:val="008D5498"/>
    <w:rsid w:val="008D54B4"/>
    <w:rsid w:val="008D5999"/>
    <w:rsid w:val="008E1FAB"/>
    <w:rsid w:val="008E2B9F"/>
    <w:rsid w:val="008E437A"/>
    <w:rsid w:val="008E4AAE"/>
    <w:rsid w:val="008E531F"/>
    <w:rsid w:val="008E5330"/>
    <w:rsid w:val="008E6235"/>
    <w:rsid w:val="008E78E4"/>
    <w:rsid w:val="008F243F"/>
    <w:rsid w:val="008F2531"/>
    <w:rsid w:val="008F2BC6"/>
    <w:rsid w:val="008F363A"/>
    <w:rsid w:val="008F3655"/>
    <w:rsid w:val="008F5B8C"/>
    <w:rsid w:val="008F6EA7"/>
    <w:rsid w:val="00901D02"/>
    <w:rsid w:val="009022FB"/>
    <w:rsid w:val="00904166"/>
    <w:rsid w:val="00904AD3"/>
    <w:rsid w:val="00906836"/>
    <w:rsid w:val="00911113"/>
    <w:rsid w:val="00911B36"/>
    <w:rsid w:val="00912659"/>
    <w:rsid w:val="00913E4D"/>
    <w:rsid w:val="009140FB"/>
    <w:rsid w:val="00916EE5"/>
    <w:rsid w:val="009175A1"/>
    <w:rsid w:val="00920BB5"/>
    <w:rsid w:val="0092172B"/>
    <w:rsid w:val="0092409A"/>
    <w:rsid w:val="0092560E"/>
    <w:rsid w:val="00925F9C"/>
    <w:rsid w:val="00926BA0"/>
    <w:rsid w:val="009275BA"/>
    <w:rsid w:val="009308CC"/>
    <w:rsid w:val="00931203"/>
    <w:rsid w:val="009313A4"/>
    <w:rsid w:val="00931870"/>
    <w:rsid w:val="00931F65"/>
    <w:rsid w:val="00935A70"/>
    <w:rsid w:val="00935CF5"/>
    <w:rsid w:val="00937376"/>
    <w:rsid w:val="00940EDB"/>
    <w:rsid w:val="00941C79"/>
    <w:rsid w:val="009421D0"/>
    <w:rsid w:val="009430A5"/>
    <w:rsid w:val="009432AD"/>
    <w:rsid w:val="00943818"/>
    <w:rsid w:val="0094488E"/>
    <w:rsid w:val="00945603"/>
    <w:rsid w:val="00951455"/>
    <w:rsid w:val="00951973"/>
    <w:rsid w:val="009529FA"/>
    <w:rsid w:val="00952AE8"/>
    <w:rsid w:val="0095355A"/>
    <w:rsid w:val="00955288"/>
    <w:rsid w:val="00955B28"/>
    <w:rsid w:val="00955FD3"/>
    <w:rsid w:val="00956E61"/>
    <w:rsid w:val="0095701A"/>
    <w:rsid w:val="00957BE0"/>
    <w:rsid w:val="009608D5"/>
    <w:rsid w:val="00960B84"/>
    <w:rsid w:val="00960BCB"/>
    <w:rsid w:val="00961B96"/>
    <w:rsid w:val="00961BDD"/>
    <w:rsid w:val="00961CA2"/>
    <w:rsid w:val="00961F6D"/>
    <w:rsid w:val="00962042"/>
    <w:rsid w:val="00962407"/>
    <w:rsid w:val="00962AA0"/>
    <w:rsid w:val="00963F99"/>
    <w:rsid w:val="00966458"/>
    <w:rsid w:val="00966953"/>
    <w:rsid w:val="00966AB6"/>
    <w:rsid w:val="00967166"/>
    <w:rsid w:val="00967844"/>
    <w:rsid w:val="0096790B"/>
    <w:rsid w:val="00970447"/>
    <w:rsid w:val="00970577"/>
    <w:rsid w:val="009716C2"/>
    <w:rsid w:val="00973473"/>
    <w:rsid w:val="00973BF5"/>
    <w:rsid w:val="00973C62"/>
    <w:rsid w:val="0097685D"/>
    <w:rsid w:val="0097771A"/>
    <w:rsid w:val="00977DEC"/>
    <w:rsid w:val="0098004E"/>
    <w:rsid w:val="009800F9"/>
    <w:rsid w:val="00980B4C"/>
    <w:rsid w:val="00981C0C"/>
    <w:rsid w:val="00982E3A"/>
    <w:rsid w:val="00982F91"/>
    <w:rsid w:val="009839EF"/>
    <w:rsid w:val="009844B3"/>
    <w:rsid w:val="00985DCD"/>
    <w:rsid w:val="00986B65"/>
    <w:rsid w:val="00986F8B"/>
    <w:rsid w:val="0098746D"/>
    <w:rsid w:val="00987903"/>
    <w:rsid w:val="00990484"/>
    <w:rsid w:val="00990B41"/>
    <w:rsid w:val="00991572"/>
    <w:rsid w:val="00995D97"/>
    <w:rsid w:val="00996939"/>
    <w:rsid w:val="00996C02"/>
    <w:rsid w:val="00996D6A"/>
    <w:rsid w:val="00996E41"/>
    <w:rsid w:val="009A0886"/>
    <w:rsid w:val="009A137A"/>
    <w:rsid w:val="009A2486"/>
    <w:rsid w:val="009A3923"/>
    <w:rsid w:val="009A55D5"/>
    <w:rsid w:val="009A7B9D"/>
    <w:rsid w:val="009B17A2"/>
    <w:rsid w:val="009B20C9"/>
    <w:rsid w:val="009B2C0B"/>
    <w:rsid w:val="009B308A"/>
    <w:rsid w:val="009B4049"/>
    <w:rsid w:val="009B45F6"/>
    <w:rsid w:val="009B4DFD"/>
    <w:rsid w:val="009B5124"/>
    <w:rsid w:val="009B62CF"/>
    <w:rsid w:val="009B65D1"/>
    <w:rsid w:val="009B65DB"/>
    <w:rsid w:val="009B7345"/>
    <w:rsid w:val="009B7743"/>
    <w:rsid w:val="009B7930"/>
    <w:rsid w:val="009C0653"/>
    <w:rsid w:val="009C0668"/>
    <w:rsid w:val="009C0E0D"/>
    <w:rsid w:val="009C1B62"/>
    <w:rsid w:val="009C1D76"/>
    <w:rsid w:val="009C2D42"/>
    <w:rsid w:val="009C368C"/>
    <w:rsid w:val="009C3897"/>
    <w:rsid w:val="009C4C65"/>
    <w:rsid w:val="009C59C5"/>
    <w:rsid w:val="009C6722"/>
    <w:rsid w:val="009C6728"/>
    <w:rsid w:val="009C6810"/>
    <w:rsid w:val="009C6DE6"/>
    <w:rsid w:val="009D01F6"/>
    <w:rsid w:val="009D16DE"/>
    <w:rsid w:val="009D3183"/>
    <w:rsid w:val="009D35D6"/>
    <w:rsid w:val="009D4263"/>
    <w:rsid w:val="009D4432"/>
    <w:rsid w:val="009D49F7"/>
    <w:rsid w:val="009D4D88"/>
    <w:rsid w:val="009D59D7"/>
    <w:rsid w:val="009D62E3"/>
    <w:rsid w:val="009D7EE0"/>
    <w:rsid w:val="009E1C7B"/>
    <w:rsid w:val="009E1EC1"/>
    <w:rsid w:val="009E3249"/>
    <w:rsid w:val="009E4043"/>
    <w:rsid w:val="009E4E2B"/>
    <w:rsid w:val="009E6197"/>
    <w:rsid w:val="009F02ED"/>
    <w:rsid w:val="009F165A"/>
    <w:rsid w:val="009F1CFF"/>
    <w:rsid w:val="009F1E1A"/>
    <w:rsid w:val="009F44AE"/>
    <w:rsid w:val="009F4CA0"/>
    <w:rsid w:val="009F7294"/>
    <w:rsid w:val="009F732D"/>
    <w:rsid w:val="00A0027B"/>
    <w:rsid w:val="00A0069E"/>
    <w:rsid w:val="00A01232"/>
    <w:rsid w:val="00A0148F"/>
    <w:rsid w:val="00A026F1"/>
    <w:rsid w:val="00A0285B"/>
    <w:rsid w:val="00A028BA"/>
    <w:rsid w:val="00A02B58"/>
    <w:rsid w:val="00A0320D"/>
    <w:rsid w:val="00A03B0F"/>
    <w:rsid w:val="00A043D4"/>
    <w:rsid w:val="00A048CB"/>
    <w:rsid w:val="00A04C35"/>
    <w:rsid w:val="00A054B4"/>
    <w:rsid w:val="00A05CF8"/>
    <w:rsid w:val="00A05CFF"/>
    <w:rsid w:val="00A07CEA"/>
    <w:rsid w:val="00A1068F"/>
    <w:rsid w:val="00A11192"/>
    <w:rsid w:val="00A11768"/>
    <w:rsid w:val="00A11ADA"/>
    <w:rsid w:val="00A12AA8"/>
    <w:rsid w:val="00A138AD"/>
    <w:rsid w:val="00A14A26"/>
    <w:rsid w:val="00A17A9A"/>
    <w:rsid w:val="00A20C44"/>
    <w:rsid w:val="00A22150"/>
    <w:rsid w:val="00A221D2"/>
    <w:rsid w:val="00A22328"/>
    <w:rsid w:val="00A2259E"/>
    <w:rsid w:val="00A22EB6"/>
    <w:rsid w:val="00A24AD8"/>
    <w:rsid w:val="00A24CAC"/>
    <w:rsid w:val="00A31679"/>
    <w:rsid w:val="00A32158"/>
    <w:rsid w:val="00A334DA"/>
    <w:rsid w:val="00A3389F"/>
    <w:rsid w:val="00A34055"/>
    <w:rsid w:val="00A343A2"/>
    <w:rsid w:val="00A3443B"/>
    <w:rsid w:val="00A3463D"/>
    <w:rsid w:val="00A36AB0"/>
    <w:rsid w:val="00A371EA"/>
    <w:rsid w:val="00A37A53"/>
    <w:rsid w:val="00A40178"/>
    <w:rsid w:val="00A402E9"/>
    <w:rsid w:val="00A40378"/>
    <w:rsid w:val="00A40A15"/>
    <w:rsid w:val="00A40F6D"/>
    <w:rsid w:val="00A42E18"/>
    <w:rsid w:val="00A43E7E"/>
    <w:rsid w:val="00A4587C"/>
    <w:rsid w:val="00A45DB1"/>
    <w:rsid w:val="00A461F4"/>
    <w:rsid w:val="00A468CC"/>
    <w:rsid w:val="00A47403"/>
    <w:rsid w:val="00A47B55"/>
    <w:rsid w:val="00A50B27"/>
    <w:rsid w:val="00A51815"/>
    <w:rsid w:val="00A51BA2"/>
    <w:rsid w:val="00A5258C"/>
    <w:rsid w:val="00A5291C"/>
    <w:rsid w:val="00A5551C"/>
    <w:rsid w:val="00A556AD"/>
    <w:rsid w:val="00A55811"/>
    <w:rsid w:val="00A56CF2"/>
    <w:rsid w:val="00A57F9E"/>
    <w:rsid w:val="00A617ED"/>
    <w:rsid w:val="00A6583B"/>
    <w:rsid w:val="00A668C6"/>
    <w:rsid w:val="00A673DD"/>
    <w:rsid w:val="00A71810"/>
    <w:rsid w:val="00A72112"/>
    <w:rsid w:val="00A724FB"/>
    <w:rsid w:val="00A73673"/>
    <w:rsid w:val="00A739AD"/>
    <w:rsid w:val="00A73C48"/>
    <w:rsid w:val="00A7415D"/>
    <w:rsid w:val="00A74418"/>
    <w:rsid w:val="00A75AA4"/>
    <w:rsid w:val="00A7657E"/>
    <w:rsid w:val="00A76E69"/>
    <w:rsid w:val="00A77706"/>
    <w:rsid w:val="00A779AA"/>
    <w:rsid w:val="00A80A4E"/>
    <w:rsid w:val="00A812D0"/>
    <w:rsid w:val="00A81656"/>
    <w:rsid w:val="00A81899"/>
    <w:rsid w:val="00A8335F"/>
    <w:rsid w:val="00A8498D"/>
    <w:rsid w:val="00A85AB2"/>
    <w:rsid w:val="00A874CC"/>
    <w:rsid w:val="00A87AD7"/>
    <w:rsid w:val="00A90FAD"/>
    <w:rsid w:val="00A921A8"/>
    <w:rsid w:val="00A92FAA"/>
    <w:rsid w:val="00A93C32"/>
    <w:rsid w:val="00A93D50"/>
    <w:rsid w:val="00AA0F46"/>
    <w:rsid w:val="00AA142D"/>
    <w:rsid w:val="00AA1850"/>
    <w:rsid w:val="00AA48F4"/>
    <w:rsid w:val="00AA497B"/>
    <w:rsid w:val="00AA4FCE"/>
    <w:rsid w:val="00AA50E0"/>
    <w:rsid w:val="00AA580C"/>
    <w:rsid w:val="00AA7137"/>
    <w:rsid w:val="00AA7613"/>
    <w:rsid w:val="00AA763F"/>
    <w:rsid w:val="00AB036B"/>
    <w:rsid w:val="00AB1421"/>
    <w:rsid w:val="00AB4576"/>
    <w:rsid w:val="00AB5009"/>
    <w:rsid w:val="00AB747D"/>
    <w:rsid w:val="00AB7481"/>
    <w:rsid w:val="00AC0885"/>
    <w:rsid w:val="00AC0ECA"/>
    <w:rsid w:val="00AC1228"/>
    <w:rsid w:val="00AC13E7"/>
    <w:rsid w:val="00AC1AD1"/>
    <w:rsid w:val="00AC1EF3"/>
    <w:rsid w:val="00AC30FE"/>
    <w:rsid w:val="00AC36B1"/>
    <w:rsid w:val="00AC4167"/>
    <w:rsid w:val="00AC4887"/>
    <w:rsid w:val="00AC5693"/>
    <w:rsid w:val="00AC7976"/>
    <w:rsid w:val="00AD0145"/>
    <w:rsid w:val="00AD07A7"/>
    <w:rsid w:val="00AD10DA"/>
    <w:rsid w:val="00AD16F9"/>
    <w:rsid w:val="00AD187D"/>
    <w:rsid w:val="00AD1CCE"/>
    <w:rsid w:val="00AD3053"/>
    <w:rsid w:val="00AD3329"/>
    <w:rsid w:val="00AD3987"/>
    <w:rsid w:val="00AD4433"/>
    <w:rsid w:val="00AD444A"/>
    <w:rsid w:val="00AD4B29"/>
    <w:rsid w:val="00AD52E6"/>
    <w:rsid w:val="00AD5CE1"/>
    <w:rsid w:val="00AD72F1"/>
    <w:rsid w:val="00AD778D"/>
    <w:rsid w:val="00AE0518"/>
    <w:rsid w:val="00AE0E7A"/>
    <w:rsid w:val="00AE34F3"/>
    <w:rsid w:val="00AE3960"/>
    <w:rsid w:val="00AE4213"/>
    <w:rsid w:val="00AE5C88"/>
    <w:rsid w:val="00AE6110"/>
    <w:rsid w:val="00AE6E8D"/>
    <w:rsid w:val="00AF12DC"/>
    <w:rsid w:val="00AF20C6"/>
    <w:rsid w:val="00AF20F5"/>
    <w:rsid w:val="00AF29F8"/>
    <w:rsid w:val="00AF37CF"/>
    <w:rsid w:val="00AF39D0"/>
    <w:rsid w:val="00AF434E"/>
    <w:rsid w:val="00AF43F3"/>
    <w:rsid w:val="00AF5447"/>
    <w:rsid w:val="00AF5757"/>
    <w:rsid w:val="00AF6264"/>
    <w:rsid w:val="00AF6E21"/>
    <w:rsid w:val="00B00850"/>
    <w:rsid w:val="00B00982"/>
    <w:rsid w:val="00B01402"/>
    <w:rsid w:val="00B023BE"/>
    <w:rsid w:val="00B02A55"/>
    <w:rsid w:val="00B04152"/>
    <w:rsid w:val="00B057B6"/>
    <w:rsid w:val="00B059C2"/>
    <w:rsid w:val="00B062F2"/>
    <w:rsid w:val="00B06F8A"/>
    <w:rsid w:val="00B07122"/>
    <w:rsid w:val="00B0791B"/>
    <w:rsid w:val="00B07C49"/>
    <w:rsid w:val="00B07CE7"/>
    <w:rsid w:val="00B1029F"/>
    <w:rsid w:val="00B10467"/>
    <w:rsid w:val="00B108A9"/>
    <w:rsid w:val="00B11839"/>
    <w:rsid w:val="00B11D9D"/>
    <w:rsid w:val="00B12429"/>
    <w:rsid w:val="00B1270C"/>
    <w:rsid w:val="00B12EFC"/>
    <w:rsid w:val="00B14FAE"/>
    <w:rsid w:val="00B1572E"/>
    <w:rsid w:val="00B161FE"/>
    <w:rsid w:val="00B16EA7"/>
    <w:rsid w:val="00B17019"/>
    <w:rsid w:val="00B17655"/>
    <w:rsid w:val="00B17CFB"/>
    <w:rsid w:val="00B200F9"/>
    <w:rsid w:val="00B20210"/>
    <w:rsid w:val="00B2079E"/>
    <w:rsid w:val="00B21601"/>
    <w:rsid w:val="00B219FC"/>
    <w:rsid w:val="00B22070"/>
    <w:rsid w:val="00B2386C"/>
    <w:rsid w:val="00B23BBE"/>
    <w:rsid w:val="00B23D8A"/>
    <w:rsid w:val="00B23F30"/>
    <w:rsid w:val="00B24BA8"/>
    <w:rsid w:val="00B274F2"/>
    <w:rsid w:val="00B27F67"/>
    <w:rsid w:val="00B30171"/>
    <w:rsid w:val="00B30A09"/>
    <w:rsid w:val="00B321C3"/>
    <w:rsid w:val="00B3299C"/>
    <w:rsid w:val="00B3329A"/>
    <w:rsid w:val="00B3649C"/>
    <w:rsid w:val="00B36F45"/>
    <w:rsid w:val="00B4017A"/>
    <w:rsid w:val="00B40257"/>
    <w:rsid w:val="00B408AB"/>
    <w:rsid w:val="00B42F73"/>
    <w:rsid w:val="00B432A3"/>
    <w:rsid w:val="00B44C5D"/>
    <w:rsid w:val="00B452F1"/>
    <w:rsid w:val="00B45BAD"/>
    <w:rsid w:val="00B4661E"/>
    <w:rsid w:val="00B467F2"/>
    <w:rsid w:val="00B50C37"/>
    <w:rsid w:val="00B50E0C"/>
    <w:rsid w:val="00B5195B"/>
    <w:rsid w:val="00B52B83"/>
    <w:rsid w:val="00B52BB1"/>
    <w:rsid w:val="00B569F7"/>
    <w:rsid w:val="00B62907"/>
    <w:rsid w:val="00B63BFD"/>
    <w:rsid w:val="00B641BA"/>
    <w:rsid w:val="00B6439F"/>
    <w:rsid w:val="00B64FA0"/>
    <w:rsid w:val="00B65CE8"/>
    <w:rsid w:val="00B65D47"/>
    <w:rsid w:val="00B66071"/>
    <w:rsid w:val="00B66674"/>
    <w:rsid w:val="00B67B4C"/>
    <w:rsid w:val="00B710B0"/>
    <w:rsid w:val="00B72A2D"/>
    <w:rsid w:val="00B73E2B"/>
    <w:rsid w:val="00B742E4"/>
    <w:rsid w:val="00B742EB"/>
    <w:rsid w:val="00B7431A"/>
    <w:rsid w:val="00B746E1"/>
    <w:rsid w:val="00B7479D"/>
    <w:rsid w:val="00B7518F"/>
    <w:rsid w:val="00B7546D"/>
    <w:rsid w:val="00B755FD"/>
    <w:rsid w:val="00B77784"/>
    <w:rsid w:val="00B77F2D"/>
    <w:rsid w:val="00B81266"/>
    <w:rsid w:val="00B81B2E"/>
    <w:rsid w:val="00B84A46"/>
    <w:rsid w:val="00B8581D"/>
    <w:rsid w:val="00B8646C"/>
    <w:rsid w:val="00B86BF4"/>
    <w:rsid w:val="00B9067A"/>
    <w:rsid w:val="00B93A8F"/>
    <w:rsid w:val="00B94BD9"/>
    <w:rsid w:val="00B94FAD"/>
    <w:rsid w:val="00B95032"/>
    <w:rsid w:val="00B955BD"/>
    <w:rsid w:val="00B95AE6"/>
    <w:rsid w:val="00B97BEB"/>
    <w:rsid w:val="00BA2516"/>
    <w:rsid w:val="00BA25A9"/>
    <w:rsid w:val="00BA28F5"/>
    <w:rsid w:val="00BA2F2C"/>
    <w:rsid w:val="00BA38C4"/>
    <w:rsid w:val="00BA3904"/>
    <w:rsid w:val="00BA4528"/>
    <w:rsid w:val="00BA4998"/>
    <w:rsid w:val="00BA5CF4"/>
    <w:rsid w:val="00BA6249"/>
    <w:rsid w:val="00BA69D2"/>
    <w:rsid w:val="00BA6A57"/>
    <w:rsid w:val="00BA6AA5"/>
    <w:rsid w:val="00BA7500"/>
    <w:rsid w:val="00BA7A5C"/>
    <w:rsid w:val="00BB015D"/>
    <w:rsid w:val="00BB0E6A"/>
    <w:rsid w:val="00BB13CA"/>
    <w:rsid w:val="00BB155A"/>
    <w:rsid w:val="00BB23EA"/>
    <w:rsid w:val="00BB2C99"/>
    <w:rsid w:val="00BB3DB3"/>
    <w:rsid w:val="00BB3E0A"/>
    <w:rsid w:val="00BB40D0"/>
    <w:rsid w:val="00BB4676"/>
    <w:rsid w:val="00BB565F"/>
    <w:rsid w:val="00BB58C6"/>
    <w:rsid w:val="00BB596C"/>
    <w:rsid w:val="00BB5C4C"/>
    <w:rsid w:val="00BB5F3D"/>
    <w:rsid w:val="00BB603F"/>
    <w:rsid w:val="00BB6DB1"/>
    <w:rsid w:val="00BB74A4"/>
    <w:rsid w:val="00BB74FB"/>
    <w:rsid w:val="00BB7C9B"/>
    <w:rsid w:val="00BB7ED9"/>
    <w:rsid w:val="00BC163A"/>
    <w:rsid w:val="00BC22C1"/>
    <w:rsid w:val="00BC2361"/>
    <w:rsid w:val="00BC24EB"/>
    <w:rsid w:val="00BC27E0"/>
    <w:rsid w:val="00BC4676"/>
    <w:rsid w:val="00BC4B88"/>
    <w:rsid w:val="00BC542A"/>
    <w:rsid w:val="00BC6DBF"/>
    <w:rsid w:val="00BC7BDA"/>
    <w:rsid w:val="00BC7D1A"/>
    <w:rsid w:val="00BD1F69"/>
    <w:rsid w:val="00BD24D6"/>
    <w:rsid w:val="00BD263D"/>
    <w:rsid w:val="00BD44A7"/>
    <w:rsid w:val="00BD4B3E"/>
    <w:rsid w:val="00BD584D"/>
    <w:rsid w:val="00BD5871"/>
    <w:rsid w:val="00BD6113"/>
    <w:rsid w:val="00BD6D15"/>
    <w:rsid w:val="00BD6EB3"/>
    <w:rsid w:val="00BD78AC"/>
    <w:rsid w:val="00BD79A1"/>
    <w:rsid w:val="00BE0744"/>
    <w:rsid w:val="00BE09D3"/>
    <w:rsid w:val="00BE283D"/>
    <w:rsid w:val="00BE3570"/>
    <w:rsid w:val="00BE4414"/>
    <w:rsid w:val="00BE44E8"/>
    <w:rsid w:val="00BE5CC4"/>
    <w:rsid w:val="00BE7817"/>
    <w:rsid w:val="00BF0993"/>
    <w:rsid w:val="00BF0A19"/>
    <w:rsid w:val="00BF0D51"/>
    <w:rsid w:val="00BF1FCE"/>
    <w:rsid w:val="00BF4673"/>
    <w:rsid w:val="00BF4B60"/>
    <w:rsid w:val="00BF55C9"/>
    <w:rsid w:val="00BF57FF"/>
    <w:rsid w:val="00BF67F1"/>
    <w:rsid w:val="00BF704A"/>
    <w:rsid w:val="00BF7393"/>
    <w:rsid w:val="00BF762F"/>
    <w:rsid w:val="00C00D5F"/>
    <w:rsid w:val="00C02928"/>
    <w:rsid w:val="00C02CC3"/>
    <w:rsid w:val="00C049C4"/>
    <w:rsid w:val="00C054D7"/>
    <w:rsid w:val="00C05C33"/>
    <w:rsid w:val="00C061E9"/>
    <w:rsid w:val="00C06214"/>
    <w:rsid w:val="00C06777"/>
    <w:rsid w:val="00C072BA"/>
    <w:rsid w:val="00C0785A"/>
    <w:rsid w:val="00C079BC"/>
    <w:rsid w:val="00C07C96"/>
    <w:rsid w:val="00C10AF0"/>
    <w:rsid w:val="00C12D6A"/>
    <w:rsid w:val="00C21E6F"/>
    <w:rsid w:val="00C22100"/>
    <w:rsid w:val="00C221EE"/>
    <w:rsid w:val="00C2305A"/>
    <w:rsid w:val="00C237EA"/>
    <w:rsid w:val="00C24C70"/>
    <w:rsid w:val="00C2621F"/>
    <w:rsid w:val="00C27A20"/>
    <w:rsid w:val="00C27BD4"/>
    <w:rsid w:val="00C27CBA"/>
    <w:rsid w:val="00C31A8B"/>
    <w:rsid w:val="00C31E4A"/>
    <w:rsid w:val="00C32445"/>
    <w:rsid w:val="00C329CF"/>
    <w:rsid w:val="00C3368E"/>
    <w:rsid w:val="00C342D0"/>
    <w:rsid w:val="00C34D97"/>
    <w:rsid w:val="00C350AE"/>
    <w:rsid w:val="00C36E97"/>
    <w:rsid w:val="00C375F7"/>
    <w:rsid w:val="00C37CA8"/>
    <w:rsid w:val="00C37F26"/>
    <w:rsid w:val="00C410BB"/>
    <w:rsid w:val="00C422DC"/>
    <w:rsid w:val="00C42F71"/>
    <w:rsid w:val="00C45CCB"/>
    <w:rsid w:val="00C47049"/>
    <w:rsid w:val="00C4738D"/>
    <w:rsid w:val="00C47AC5"/>
    <w:rsid w:val="00C50429"/>
    <w:rsid w:val="00C5089C"/>
    <w:rsid w:val="00C50EAB"/>
    <w:rsid w:val="00C5259A"/>
    <w:rsid w:val="00C525EA"/>
    <w:rsid w:val="00C528AF"/>
    <w:rsid w:val="00C543D5"/>
    <w:rsid w:val="00C55B75"/>
    <w:rsid w:val="00C55EBD"/>
    <w:rsid w:val="00C570FF"/>
    <w:rsid w:val="00C57A12"/>
    <w:rsid w:val="00C608D2"/>
    <w:rsid w:val="00C62618"/>
    <w:rsid w:val="00C62A7E"/>
    <w:rsid w:val="00C63067"/>
    <w:rsid w:val="00C6344E"/>
    <w:rsid w:val="00C63CB5"/>
    <w:rsid w:val="00C63E01"/>
    <w:rsid w:val="00C649CC"/>
    <w:rsid w:val="00C66BAD"/>
    <w:rsid w:val="00C67DAA"/>
    <w:rsid w:val="00C70DE9"/>
    <w:rsid w:val="00C7569A"/>
    <w:rsid w:val="00C76B7F"/>
    <w:rsid w:val="00C76F3A"/>
    <w:rsid w:val="00C77903"/>
    <w:rsid w:val="00C80D1B"/>
    <w:rsid w:val="00C81B87"/>
    <w:rsid w:val="00C848DE"/>
    <w:rsid w:val="00C85764"/>
    <w:rsid w:val="00C858BA"/>
    <w:rsid w:val="00C85BDB"/>
    <w:rsid w:val="00C85DF3"/>
    <w:rsid w:val="00C86214"/>
    <w:rsid w:val="00C875A8"/>
    <w:rsid w:val="00C94105"/>
    <w:rsid w:val="00C9559D"/>
    <w:rsid w:val="00C97BA7"/>
    <w:rsid w:val="00C97E88"/>
    <w:rsid w:val="00CA1758"/>
    <w:rsid w:val="00CA2F4D"/>
    <w:rsid w:val="00CA30C3"/>
    <w:rsid w:val="00CA354B"/>
    <w:rsid w:val="00CA3895"/>
    <w:rsid w:val="00CA4A72"/>
    <w:rsid w:val="00CA4ADC"/>
    <w:rsid w:val="00CA4FB4"/>
    <w:rsid w:val="00CA5957"/>
    <w:rsid w:val="00CA5D7E"/>
    <w:rsid w:val="00CA5E32"/>
    <w:rsid w:val="00CB0B2F"/>
    <w:rsid w:val="00CB124D"/>
    <w:rsid w:val="00CB2B98"/>
    <w:rsid w:val="00CB3025"/>
    <w:rsid w:val="00CB4697"/>
    <w:rsid w:val="00CB48BB"/>
    <w:rsid w:val="00CB5521"/>
    <w:rsid w:val="00CB57D9"/>
    <w:rsid w:val="00CB6F0D"/>
    <w:rsid w:val="00CC0A6B"/>
    <w:rsid w:val="00CC1462"/>
    <w:rsid w:val="00CC44A9"/>
    <w:rsid w:val="00CC505D"/>
    <w:rsid w:val="00CC537C"/>
    <w:rsid w:val="00CC6014"/>
    <w:rsid w:val="00CC6C78"/>
    <w:rsid w:val="00CC6E20"/>
    <w:rsid w:val="00CC74C3"/>
    <w:rsid w:val="00CC7CE0"/>
    <w:rsid w:val="00CD0441"/>
    <w:rsid w:val="00CD0F6D"/>
    <w:rsid w:val="00CD109B"/>
    <w:rsid w:val="00CD1366"/>
    <w:rsid w:val="00CD2658"/>
    <w:rsid w:val="00CD3129"/>
    <w:rsid w:val="00CD3153"/>
    <w:rsid w:val="00CD32B8"/>
    <w:rsid w:val="00CD3FC7"/>
    <w:rsid w:val="00CD434D"/>
    <w:rsid w:val="00CD5A40"/>
    <w:rsid w:val="00CD63DB"/>
    <w:rsid w:val="00CD6D57"/>
    <w:rsid w:val="00CD7534"/>
    <w:rsid w:val="00CE0514"/>
    <w:rsid w:val="00CE07D2"/>
    <w:rsid w:val="00CE0ABF"/>
    <w:rsid w:val="00CE102C"/>
    <w:rsid w:val="00CE1197"/>
    <w:rsid w:val="00CE1CA5"/>
    <w:rsid w:val="00CE22E2"/>
    <w:rsid w:val="00CE2C0F"/>
    <w:rsid w:val="00CE39AC"/>
    <w:rsid w:val="00CE3BDF"/>
    <w:rsid w:val="00CE3E83"/>
    <w:rsid w:val="00CE4A83"/>
    <w:rsid w:val="00CE518C"/>
    <w:rsid w:val="00CE6CB9"/>
    <w:rsid w:val="00CE6FCA"/>
    <w:rsid w:val="00CE70EE"/>
    <w:rsid w:val="00CE71A6"/>
    <w:rsid w:val="00CE7DB6"/>
    <w:rsid w:val="00CF08D0"/>
    <w:rsid w:val="00CF1542"/>
    <w:rsid w:val="00CF16A4"/>
    <w:rsid w:val="00CF1A6B"/>
    <w:rsid w:val="00CF2943"/>
    <w:rsid w:val="00CF2AD0"/>
    <w:rsid w:val="00CF2E11"/>
    <w:rsid w:val="00CF38BD"/>
    <w:rsid w:val="00CF3F46"/>
    <w:rsid w:val="00CF406A"/>
    <w:rsid w:val="00CF41E9"/>
    <w:rsid w:val="00CF4B78"/>
    <w:rsid w:val="00CF5510"/>
    <w:rsid w:val="00CF62A0"/>
    <w:rsid w:val="00CF7920"/>
    <w:rsid w:val="00CF7F7A"/>
    <w:rsid w:val="00D01698"/>
    <w:rsid w:val="00D02064"/>
    <w:rsid w:val="00D02090"/>
    <w:rsid w:val="00D02A65"/>
    <w:rsid w:val="00D03C34"/>
    <w:rsid w:val="00D05EAE"/>
    <w:rsid w:val="00D1323A"/>
    <w:rsid w:val="00D13251"/>
    <w:rsid w:val="00D13794"/>
    <w:rsid w:val="00D14925"/>
    <w:rsid w:val="00D206EC"/>
    <w:rsid w:val="00D2112F"/>
    <w:rsid w:val="00D2123F"/>
    <w:rsid w:val="00D21DC1"/>
    <w:rsid w:val="00D22CD9"/>
    <w:rsid w:val="00D24EAA"/>
    <w:rsid w:val="00D24F6E"/>
    <w:rsid w:val="00D25F93"/>
    <w:rsid w:val="00D26223"/>
    <w:rsid w:val="00D266C2"/>
    <w:rsid w:val="00D26DE8"/>
    <w:rsid w:val="00D30135"/>
    <w:rsid w:val="00D30DB7"/>
    <w:rsid w:val="00D318F1"/>
    <w:rsid w:val="00D3406C"/>
    <w:rsid w:val="00D35CDE"/>
    <w:rsid w:val="00D371A1"/>
    <w:rsid w:val="00D377D8"/>
    <w:rsid w:val="00D37FE0"/>
    <w:rsid w:val="00D40637"/>
    <w:rsid w:val="00D40783"/>
    <w:rsid w:val="00D44004"/>
    <w:rsid w:val="00D468CA"/>
    <w:rsid w:val="00D502B1"/>
    <w:rsid w:val="00D51457"/>
    <w:rsid w:val="00D520F9"/>
    <w:rsid w:val="00D53054"/>
    <w:rsid w:val="00D53493"/>
    <w:rsid w:val="00D557F6"/>
    <w:rsid w:val="00D56A4A"/>
    <w:rsid w:val="00D56BF4"/>
    <w:rsid w:val="00D61B3A"/>
    <w:rsid w:val="00D62891"/>
    <w:rsid w:val="00D628EB"/>
    <w:rsid w:val="00D629E6"/>
    <w:rsid w:val="00D63444"/>
    <w:rsid w:val="00D670E6"/>
    <w:rsid w:val="00D70A10"/>
    <w:rsid w:val="00D72708"/>
    <w:rsid w:val="00D72794"/>
    <w:rsid w:val="00D73C6D"/>
    <w:rsid w:val="00D73D7D"/>
    <w:rsid w:val="00D73E48"/>
    <w:rsid w:val="00D73EC3"/>
    <w:rsid w:val="00D7425E"/>
    <w:rsid w:val="00D7492F"/>
    <w:rsid w:val="00D76C7F"/>
    <w:rsid w:val="00D77B5C"/>
    <w:rsid w:val="00D80966"/>
    <w:rsid w:val="00D80FC8"/>
    <w:rsid w:val="00D8176B"/>
    <w:rsid w:val="00D830EF"/>
    <w:rsid w:val="00D834F0"/>
    <w:rsid w:val="00D83B12"/>
    <w:rsid w:val="00D85391"/>
    <w:rsid w:val="00D85AF4"/>
    <w:rsid w:val="00D85F92"/>
    <w:rsid w:val="00D863C4"/>
    <w:rsid w:val="00D8656C"/>
    <w:rsid w:val="00D866F1"/>
    <w:rsid w:val="00D86A7F"/>
    <w:rsid w:val="00D86E1D"/>
    <w:rsid w:val="00D86E26"/>
    <w:rsid w:val="00D87A25"/>
    <w:rsid w:val="00D87AED"/>
    <w:rsid w:val="00D9158E"/>
    <w:rsid w:val="00D9528D"/>
    <w:rsid w:val="00D9633E"/>
    <w:rsid w:val="00D9722E"/>
    <w:rsid w:val="00DA17F9"/>
    <w:rsid w:val="00DA2D9E"/>
    <w:rsid w:val="00DA2DBD"/>
    <w:rsid w:val="00DA4E82"/>
    <w:rsid w:val="00DA53C1"/>
    <w:rsid w:val="00DA5B73"/>
    <w:rsid w:val="00DA6B63"/>
    <w:rsid w:val="00DB1386"/>
    <w:rsid w:val="00DB3686"/>
    <w:rsid w:val="00DB4CF6"/>
    <w:rsid w:val="00DB5140"/>
    <w:rsid w:val="00DB58DF"/>
    <w:rsid w:val="00DB5B46"/>
    <w:rsid w:val="00DB6390"/>
    <w:rsid w:val="00DB6639"/>
    <w:rsid w:val="00DC0418"/>
    <w:rsid w:val="00DC19C9"/>
    <w:rsid w:val="00DC2650"/>
    <w:rsid w:val="00DC2CB5"/>
    <w:rsid w:val="00DC325B"/>
    <w:rsid w:val="00DC3711"/>
    <w:rsid w:val="00DC4021"/>
    <w:rsid w:val="00DC4B8B"/>
    <w:rsid w:val="00DC658A"/>
    <w:rsid w:val="00DC67FF"/>
    <w:rsid w:val="00DC7791"/>
    <w:rsid w:val="00DC784E"/>
    <w:rsid w:val="00DC7876"/>
    <w:rsid w:val="00DD0D38"/>
    <w:rsid w:val="00DD1B75"/>
    <w:rsid w:val="00DD3237"/>
    <w:rsid w:val="00DD55CA"/>
    <w:rsid w:val="00DD59CA"/>
    <w:rsid w:val="00DD5A0D"/>
    <w:rsid w:val="00DD73B0"/>
    <w:rsid w:val="00DE0F97"/>
    <w:rsid w:val="00DE1B58"/>
    <w:rsid w:val="00DE20F5"/>
    <w:rsid w:val="00DE246D"/>
    <w:rsid w:val="00DE4F0C"/>
    <w:rsid w:val="00DE559E"/>
    <w:rsid w:val="00DE5704"/>
    <w:rsid w:val="00DE7183"/>
    <w:rsid w:val="00DF4844"/>
    <w:rsid w:val="00DF697A"/>
    <w:rsid w:val="00DF732A"/>
    <w:rsid w:val="00DF7BE2"/>
    <w:rsid w:val="00E02F9B"/>
    <w:rsid w:val="00E0529F"/>
    <w:rsid w:val="00E0568C"/>
    <w:rsid w:val="00E05A43"/>
    <w:rsid w:val="00E07423"/>
    <w:rsid w:val="00E0790E"/>
    <w:rsid w:val="00E07C8E"/>
    <w:rsid w:val="00E07E7F"/>
    <w:rsid w:val="00E104DC"/>
    <w:rsid w:val="00E1231F"/>
    <w:rsid w:val="00E14B4D"/>
    <w:rsid w:val="00E1545E"/>
    <w:rsid w:val="00E1650F"/>
    <w:rsid w:val="00E16E6A"/>
    <w:rsid w:val="00E20C22"/>
    <w:rsid w:val="00E20E00"/>
    <w:rsid w:val="00E21558"/>
    <w:rsid w:val="00E2158B"/>
    <w:rsid w:val="00E237C9"/>
    <w:rsid w:val="00E23A04"/>
    <w:rsid w:val="00E2699A"/>
    <w:rsid w:val="00E26D63"/>
    <w:rsid w:val="00E274FF"/>
    <w:rsid w:val="00E2798E"/>
    <w:rsid w:val="00E27E9A"/>
    <w:rsid w:val="00E304DC"/>
    <w:rsid w:val="00E307B9"/>
    <w:rsid w:val="00E30831"/>
    <w:rsid w:val="00E30AD6"/>
    <w:rsid w:val="00E30FFE"/>
    <w:rsid w:val="00E31921"/>
    <w:rsid w:val="00E3315A"/>
    <w:rsid w:val="00E34C3B"/>
    <w:rsid w:val="00E34D00"/>
    <w:rsid w:val="00E37911"/>
    <w:rsid w:val="00E40D7D"/>
    <w:rsid w:val="00E41164"/>
    <w:rsid w:val="00E433AF"/>
    <w:rsid w:val="00E43A34"/>
    <w:rsid w:val="00E47953"/>
    <w:rsid w:val="00E47E7D"/>
    <w:rsid w:val="00E500BB"/>
    <w:rsid w:val="00E50394"/>
    <w:rsid w:val="00E51225"/>
    <w:rsid w:val="00E535B9"/>
    <w:rsid w:val="00E53AB0"/>
    <w:rsid w:val="00E53C00"/>
    <w:rsid w:val="00E548FD"/>
    <w:rsid w:val="00E54DDC"/>
    <w:rsid w:val="00E54EF7"/>
    <w:rsid w:val="00E5519D"/>
    <w:rsid w:val="00E56885"/>
    <w:rsid w:val="00E57BA4"/>
    <w:rsid w:val="00E57E3A"/>
    <w:rsid w:val="00E60F65"/>
    <w:rsid w:val="00E615CB"/>
    <w:rsid w:val="00E62029"/>
    <w:rsid w:val="00E63595"/>
    <w:rsid w:val="00E637D5"/>
    <w:rsid w:val="00E63FE9"/>
    <w:rsid w:val="00E64BD1"/>
    <w:rsid w:val="00E65685"/>
    <w:rsid w:val="00E65CFD"/>
    <w:rsid w:val="00E67DA0"/>
    <w:rsid w:val="00E71231"/>
    <w:rsid w:val="00E72601"/>
    <w:rsid w:val="00E73547"/>
    <w:rsid w:val="00E7591B"/>
    <w:rsid w:val="00E75DAD"/>
    <w:rsid w:val="00E80D87"/>
    <w:rsid w:val="00E8114B"/>
    <w:rsid w:val="00E83B62"/>
    <w:rsid w:val="00E850A5"/>
    <w:rsid w:val="00E90023"/>
    <w:rsid w:val="00E905E4"/>
    <w:rsid w:val="00E911CC"/>
    <w:rsid w:val="00E92C68"/>
    <w:rsid w:val="00E92F35"/>
    <w:rsid w:val="00E933D3"/>
    <w:rsid w:val="00E93E00"/>
    <w:rsid w:val="00E94C0D"/>
    <w:rsid w:val="00E966CC"/>
    <w:rsid w:val="00E97A41"/>
    <w:rsid w:val="00EA1114"/>
    <w:rsid w:val="00EA25E7"/>
    <w:rsid w:val="00EA3419"/>
    <w:rsid w:val="00EA34FA"/>
    <w:rsid w:val="00EA5780"/>
    <w:rsid w:val="00EA63EC"/>
    <w:rsid w:val="00EA749E"/>
    <w:rsid w:val="00EA7550"/>
    <w:rsid w:val="00EB17E1"/>
    <w:rsid w:val="00EB4AA4"/>
    <w:rsid w:val="00EB680A"/>
    <w:rsid w:val="00EB7AAB"/>
    <w:rsid w:val="00EC0B71"/>
    <w:rsid w:val="00EC0FC4"/>
    <w:rsid w:val="00EC1E67"/>
    <w:rsid w:val="00EC2F8C"/>
    <w:rsid w:val="00EC2FDA"/>
    <w:rsid w:val="00EC31E5"/>
    <w:rsid w:val="00EC3523"/>
    <w:rsid w:val="00EC356D"/>
    <w:rsid w:val="00EC3F59"/>
    <w:rsid w:val="00EC4541"/>
    <w:rsid w:val="00EC4F7D"/>
    <w:rsid w:val="00EC6351"/>
    <w:rsid w:val="00ED0812"/>
    <w:rsid w:val="00ED1008"/>
    <w:rsid w:val="00ED102D"/>
    <w:rsid w:val="00ED107F"/>
    <w:rsid w:val="00ED281E"/>
    <w:rsid w:val="00ED3775"/>
    <w:rsid w:val="00ED466B"/>
    <w:rsid w:val="00ED4C38"/>
    <w:rsid w:val="00ED5ECC"/>
    <w:rsid w:val="00ED71E1"/>
    <w:rsid w:val="00ED7622"/>
    <w:rsid w:val="00ED7C08"/>
    <w:rsid w:val="00EE0912"/>
    <w:rsid w:val="00EE1F19"/>
    <w:rsid w:val="00EE23E1"/>
    <w:rsid w:val="00EE25E1"/>
    <w:rsid w:val="00EE2BE6"/>
    <w:rsid w:val="00EE359A"/>
    <w:rsid w:val="00EE35FB"/>
    <w:rsid w:val="00EE439B"/>
    <w:rsid w:val="00EE509C"/>
    <w:rsid w:val="00EE652E"/>
    <w:rsid w:val="00EE7C79"/>
    <w:rsid w:val="00EF0876"/>
    <w:rsid w:val="00EF17AF"/>
    <w:rsid w:val="00EF1FA5"/>
    <w:rsid w:val="00EF22C0"/>
    <w:rsid w:val="00EF286C"/>
    <w:rsid w:val="00EF2AF9"/>
    <w:rsid w:val="00EF4258"/>
    <w:rsid w:val="00EF43CE"/>
    <w:rsid w:val="00EF454B"/>
    <w:rsid w:val="00EF4989"/>
    <w:rsid w:val="00EF5B4A"/>
    <w:rsid w:val="00EF5D6F"/>
    <w:rsid w:val="00EF6D8A"/>
    <w:rsid w:val="00EF72D3"/>
    <w:rsid w:val="00EF754F"/>
    <w:rsid w:val="00EF756F"/>
    <w:rsid w:val="00F0049D"/>
    <w:rsid w:val="00F00936"/>
    <w:rsid w:val="00F02D29"/>
    <w:rsid w:val="00F03D8C"/>
    <w:rsid w:val="00F05415"/>
    <w:rsid w:val="00F05DA6"/>
    <w:rsid w:val="00F066C8"/>
    <w:rsid w:val="00F07269"/>
    <w:rsid w:val="00F11729"/>
    <w:rsid w:val="00F12978"/>
    <w:rsid w:val="00F138CC"/>
    <w:rsid w:val="00F14636"/>
    <w:rsid w:val="00F14E21"/>
    <w:rsid w:val="00F15071"/>
    <w:rsid w:val="00F150B7"/>
    <w:rsid w:val="00F162AD"/>
    <w:rsid w:val="00F16341"/>
    <w:rsid w:val="00F1770F"/>
    <w:rsid w:val="00F20D05"/>
    <w:rsid w:val="00F20E1A"/>
    <w:rsid w:val="00F222FA"/>
    <w:rsid w:val="00F227A0"/>
    <w:rsid w:val="00F22B7A"/>
    <w:rsid w:val="00F2435D"/>
    <w:rsid w:val="00F24471"/>
    <w:rsid w:val="00F24C9F"/>
    <w:rsid w:val="00F25CD6"/>
    <w:rsid w:val="00F26716"/>
    <w:rsid w:val="00F27D59"/>
    <w:rsid w:val="00F30840"/>
    <w:rsid w:val="00F31AA4"/>
    <w:rsid w:val="00F32B97"/>
    <w:rsid w:val="00F35951"/>
    <w:rsid w:val="00F37D31"/>
    <w:rsid w:val="00F40059"/>
    <w:rsid w:val="00F401A9"/>
    <w:rsid w:val="00F427E4"/>
    <w:rsid w:val="00F439DB"/>
    <w:rsid w:val="00F445C5"/>
    <w:rsid w:val="00F45166"/>
    <w:rsid w:val="00F45A2F"/>
    <w:rsid w:val="00F468CF"/>
    <w:rsid w:val="00F51804"/>
    <w:rsid w:val="00F5200A"/>
    <w:rsid w:val="00F52DB5"/>
    <w:rsid w:val="00F533A4"/>
    <w:rsid w:val="00F53D50"/>
    <w:rsid w:val="00F54EF5"/>
    <w:rsid w:val="00F578DA"/>
    <w:rsid w:val="00F607C0"/>
    <w:rsid w:val="00F61457"/>
    <w:rsid w:val="00F61CFC"/>
    <w:rsid w:val="00F62EAC"/>
    <w:rsid w:val="00F6395E"/>
    <w:rsid w:val="00F65C2F"/>
    <w:rsid w:val="00F65E1B"/>
    <w:rsid w:val="00F66A55"/>
    <w:rsid w:val="00F66E4F"/>
    <w:rsid w:val="00F670C4"/>
    <w:rsid w:val="00F7055E"/>
    <w:rsid w:val="00F706B3"/>
    <w:rsid w:val="00F718E9"/>
    <w:rsid w:val="00F72172"/>
    <w:rsid w:val="00F721AE"/>
    <w:rsid w:val="00F72298"/>
    <w:rsid w:val="00F72EE3"/>
    <w:rsid w:val="00F73C03"/>
    <w:rsid w:val="00F74A3A"/>
    <w:rsid w:val="00F74B20"/>
    <w:rsid w:val="00F756CE"/>
    <w:rsid w:val="00F757AE"/>
    <w:rsid w:val="00F7662A"/>
    <w:rsid w:val="00F76AE0"/>
    <w:rsid w:val="00F80D5D"/>
    <w:rsid w:val="00F81B5B"/>
    <w:rsid w:val="00F82368"/>
    <w:rsid w:val="00F82890"/>
    <w:rsid w:val="00F82CF7"/>
    <w:rsid w:val="00F82E5C"/>
    <w:rsid w:val="00F837DE"/>
    <w:rsid w:val="00F83ECC"/>
    <w:rsid w:val="00F84C52"/>
    <w:rsid w:val="00F84CE9"/>
    <w:rsid w:val="00F853C5"/>
    <w:rsid w:val="00F87203"/>
    <w:rsid w:val="00F90A93"/>
    <w:rsid w:val="00F90B20"/>
    <w:rsid w:val="00F90EFE"/>
    <w:rsid w:val="00F91950"/>
    <w:rsid w:val="00F91FF3"/>
    <w:rsid w:val="00F93E93"/>
    <w:rsid w:val="00F943FC"/>
    <w:rsid w:val="00F96050"/>
    <w:rsid w:val="00F9614C"/>
    <w:rsid w:val="00FA07F7"/>
    <w:rsid w:val="00FA0A28"/>
    <w:rsid w:val="00FA1467"/>
    <w:rsid w:val="00FA1BB2"/>
    <w:rsid w:val="00FA1FA6"/>
    <w:rsid w:val="00FA21B4"/>
    <w:rsid w:val="00FA350A"/>
    <w:rsid w:val="00FA3D98"/>
    <w:rsid w:val="00FA425D"/>
    <w:rsid w:val="00FA4B61"/>
    <w:rsid w:val="00FA5009"/>
    <w:rsid w:val="00FA5EAC"/>
    <w:rsid w:val="00FA68C9"/>
    <w:rsid w:val="00FA692C"/>
    <w:rsid w:val="00FB241A"/>
    <w:rsid w:val="00FB608A"/>
    <w:rsid w:val="00FB63AF"/>
    <w:rsid w:val="00FB66E9"/>
    <w:rsid w:val="00FB6FBD"/>
    <w:rsid w:val="00FC02D7"/>
    <w:rsid w:val="00FC1552"/>
    <w:rsid w:val="00FC158A"/>
    <w:rsid w:val="00FC3587"/>
    <w:rsid w:val="00FC397E"/>
    <w:rsid w:val="00FC41C2"/>
    <w:rsid w:val="00FC5135"/>
    <w:rsid w:val="00FC64B3"/>
    <w:rsid w:val="00FC7B4B"/>
    <w:rsid w:val="00FC7D17"/>
    <w:rsid w:val="00FD19AE"/>
    <w:rsid w:val="00FD2289"/>
    <w:rsid w:val="00FD35C6"/>
    <w:rsid w:val="00FD3F42"/>
    <w:rsid w:val="00FD407C"/>
    <w:rsid w:val="00FD4387"/>
    <w:rsid w:val="00FD544F"/>
    <w:rsid w:val="00FD6FD5"/>
    <w:rsid w:val="00FD75A6"/>
    <w:rsid w:val="00FE0738"/>
    <w:rsid w:val="00FE1B7B"/>
    <w:rsid w:val="00FE3205"/>
    <w:rsid w:val="00FE3B88"/>
    <w:rsid w:val="00FE4168"/>
    <w:rsid w:val="00FE61B8"/>
    <w:rsid w:val="00FF0704"/>
    <w:rsid w:val="00FF1339"/>
    <w:rsid w:val="00FF20B3"/>
    <w:rsid w:val="00FF3063"/>
    <w:rsid w:val="00FF3CBE"/>
    <w:rsid w:val="00FF3D22"/>
    <w:rsid w:val="00FF449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455D4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Cambria"/>
        <w:lang w:val="en-GB"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27A20"/>
    <w:rPr>
      <w:rFonts w:ascii="Times New Roman" w:hAnsi="Times New Roman" w:cs="Times New Roman"/>
      <w:sz w:val="24"/>
      <w:szCs w:val="24"/>
    </w:rPr>
  </w:style>
  <w:style w:type="paragraph" w:styleId="Heading1">
    <w:name w:val="heading 1"/>
    <w:basedOn w:val="Normal"/>
    <w:next w:val="Normal"/>
    <w:link w:val="Heading1Char"/>
    <w:pPr>
      <w:keepNext/>
      <w:keepLines/>
      <w:spacing w:before="100" w:after="100"/>
      <w:outlineLvl w:val="0"/>
    </w:pPr>
    <w:rPr>
      <w:rFonts w:ascii="Times" w:eastAsia="Times" w:hAnsi="Times" w:cs="Times"/>
      <w:b/>
      <w:color w:val="000000"/>
      <w:sz w:val="48"/>
      <w:szCs w:val="48"/>
      <w:lang w:val="en-US"/>
    </w:rPr>
  </w:style>
  <w:style w:type="paragraph" w:styleId="Heading2">
    <w:name w:val="heading 2"/>
    <w:basedOn w:val="Normal"/>
    <w:next w:val="Normal"/>
    <w:link w:val="Heading2Char"/>
    <w:uiPriority w:val="9"/>
    <w:qFormat/>
    <w:pPr>
      <w:keepNext/>
      <w:keepLines/>
      <w:spacing w:before="100" w:after="100"/>
      <w:outlineLvl w:val="1"/>
    </w:pPr>
    <w:rPr>
      <w:rFonts w:ascii="Times" w:eastAsia="Times" w:hAnsi="Times" w:cs="Times"/>
      <w:b/>
      <w:color w:val="000000"/>
      <w:sz w:val="36"/>
      <w:szCs w:val="36"/>
      <w:lang w:val="en-US"/>
    </w:rPr>
  </w:style>
  <w:style w:type="paragraph" w:styleId="Heading3">
    <w:name w:val="heading 3"/>
    <w:basedOn w:val="Normal"/>
    <w:next w:val="Normal"/>
    <w:link w:val="Heading3Char"/>
    <w:pPr>
      <w:keepNext/>
      <w:keepLines/>
      <w:spacing w:before="100" w:after="100"/>
      <w:outlineLvl w:val="2"/>
    </w:pPr>
    <w:rPr>
      <w:rFonts w:ascii="Times" w:eastAsia="Times" w:hAnsi="Times" w:cs="Times"/>
      <w:b/>
      <w:color w:val="000000"/>
      <w:sz w:val="27"/>
      <w:szCs w:val="27"/>
      <w:lang w:val="en-US"/>
    </w:rPr>
  </w:style>
  <w:style w:type="paragraph" w:styleId="Heading4">
    <w:name w:val="heading 4"/>
    <w:basedOn w:val="Normal"/>
    <w:next w:val="Normal"/>
    <w:pPr>
      <w:keepNext/>
      <w:keepLines/>
      <w:spacing w:before="100" w:after="100"/>
      <w:outlineLvl w:val="3"/>
    </w:pPr>
    <w:rPr>
      <w:rFonts w:ascii="Times" w:eastAsia="Times" w:hAnsi="Times" w:cs="Times"/>
      <w:b/>
      <w:color w:val="000000"/>
      <w:lang w:val="en-US"/>
    </w:rPr>
  </w:style>
  <w:style w:type="paragraph" w:styleId="Heading5">
    <w:name w:val="heading 5"/>
    <w:basedOn w:val="Normal"/>
    <w:next w:val="Normal"/>
    <w:pPr>
      <w:keepNext/>
      <w:keepLines/>
      <w:spacing w:before="220" w:after="40"/>
      <w:contextualSpacing/>
      <w:outlineLvl w:val="4"/>
    </w:pPr>
    <w:rPr>
      <w:rFonts w:ascii="Cambria" w:hAnsi="Cambria" w:cs="Cambria"/>
      <w:b/>
      <w:color w:val="000000"/>
      <w:sz w:val="22"/>
      <w:szCs w:val="22"/>
      <w:lang w:val="en-US"/>
    </w:rPr>
  </w:style>
  <w:style w:type="paragraph" w:styleId="Heading6">
    <w:name w:val="heading 6"/>
    <w:basedOn w:val="Normal"/>
    <w:next w:val="Normal"/>
    <w:pPr>
      <w:keepNext/>
      <w:keepLines/>
      <w:spacing w:before="200" w:after="40"/>
      <w:contextualSpacing/>
      <w:outlineLvl w:val="5"/>
    </w:pPr>
    <w:rPr>
      <w:rFonts w:ascii="Cambria" w:hAnsi="Cambria" w:cs="Cambria"/>
      <w:b/>
      <w:color w:val="000000"/>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rFonts w:ascii="Cambria" w:hAnsi="Cambria" w:cs="Cambria"/>
      <w:b/>
      <w:color w:val="000000"/>
      <w:sz w:val="72"/>
      <w:szCs w:val="72"/>
      <w:lang w:val="en-US"/>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lang w:val="en-US"/>
    </w:rPr>
  </w:style>
  <w:style w:type="paragraph" w:styleId="CommentText">
    <w:name w:val="annotation text"/>
    <w:basedOn w:val="Normal"/>
    <w:link w:val="CommentTextChar"/>
    <w:uiPriority w:val="99"/>
    <w:unhideWhenUsed/>
    <w:rPr>
      <w:rFonts w:ascii="Cambria" w:hAnsi="Cambria" w:cs="Cambria"/>
      <w:color w:val="000000"/>
      <w:lang w:val="en-US"/>
    </w:rPr>
  </w:style>
  <w:style w:type="character" w:customStyle="1" w:styleId="CommentTextChar">
    <w:name w:val="Comment Text Char"/>
    <w:basedOn w:val="DefaultParagraphFont"/>
    <w:link w:val="CommentText"/>
    <w:uiPriority w:val="99"/>
  </w:style>
  <w:style w:type="character" w:styleId="CommentReference">
    <w:name w:val="annotation reference"/>
    <w:uiPriority w:val="99"/>
    <w:semiHidden/>
    <w:unhideWhenUsed/>
    <w:rPr>
      <w:sz w:val="18"/>
      <w:szCs w:val="18"/>
    </w:rPr>
  </w:style>
  <w:style w:type="paragraph" w:styleId="BalloonText">
    <w:name w:val="Balloon Text"/>
    <w:basedOn w:val="Normal"/>
    <w:link w:val="BalloonTextChar"/>
    <w:uiPriority w:val="99"/>
    <w:semiHidden/>
    <w:unhideWhenUsed/>
    <w:rsid w:val="00BF1FCE"/>
    <w:rPr>
      <w:color w:val="000000"/>
      <w:sz w:val="18"/>
      <w:szCs w:val="18"/>
      <w:lang w:val="en-US"/>
    </w:rPr>
  </w:style>
  <w:style w:type="character" w:customStyle="1" w:styleId="BalloonTextChar">
    <w:name w:val="Balloon Text Char"/>
    <w:link w:val="BalloonText"/>
    <w:uiPriority w:val="99"/>
    <w:semiHidden/>
    <w:rsid w:val="00BF1FCE"/>
    <w:rPr>
      <w:rFonts w:ascii="Times New Roman" w:hAnsi="Times New Roman" w:cs="Times New Roman"/>
      <w:sz w:val="18"/>
      <w:szCs w:val="18"/>
    </w:rPr>
  </w:style>
  <w:style w:type="paragraph" w:styleId="NormalWeb">
    <w:name w:val="Normal (Web)"/>
    <w:basedOn w:val="Normal"/>
    <w:uiPriority w:val="99"/>
    <w:unhideWhenUsed/>
    <w:rsid w:val="00A24AD8"/>
    <w:pPr>
      <w:spacing w:before="100" w:beforeAutospacing="1" w:after="100" w:afterAutospacing="1"/>
    </w:pPr>
    <w:rPr>
      <w:lang w:val="en-US"/>
    </w:rPr>
  </w:style>
  <w:style w:type="character" w:customStyle="1" w:styleId="Heading3Char">
    <w:name w:val="Heading 3 Char"/>
    <w:link w:val="Heading3"/>
    <w:rsid w:val="00B467F2"/>
    <w:rPr>
      <w:rFonts w:ascii="Times" w:eastAsia="Times" w:hAnsi="Times" w:cs="Times"/>
      <w:b/>
      <w:sz w:val="27"/>
      <w:szCs w:val="27"/>
    </w:rPr>
  </w:style>
  <w:style w:type="paragraph" w:styleId="ListParagraph">
    <w:name w:val="List Paragraph"/>
    <w:basedOn w:val="Normal"/>
    <w:uiPriority w:val="34"/>
    <w:qFormat/>
    <w:rsid w:val="00DB4CF6"/>
    <w:pPr>
      <w:ind w:left="720"/>
      <w:contextualSpacing/>
    </w:pPr>
    <w:rPr>
      <w:rFonts w:ascii="Cambria" w:hAnsi="Cambria" w:cs="Cambria"/>
      <w:color w:val="000000"/>
      <w:lang w:val="en-US"/>
    </w:rPr>
  </w:style>
  <w:style w:type="paragraph" w:styleId="EndnoteText">
    <w:name w:val="endnote text"/>
    <w:basedOn w:val="Normal"/>
    <w:link w:val="EndnoteTextChar"/>
    <w:uiPriority w:val="99"/>
    <w:unhideWhenUsed/>
    <w:rsid w:val="00892E17"/>
    <w:rPr>
      <w:rFonts w:ascii="Cambria" w:hAnsi="Cambria" w:cs="Cambria"/>
      <w:color w:val="000000"/>
      <w:lang w:val="en-US"/>
    </w:rPr>
  </w:style>
  <w:style w:type="character" w:customStyle="1" w:styleId="EndnoteTextChar">
    <w:name w:val="Endnote Text Char"/>
    <w:basedOn w:val="DefaultParagraphFont"/>
    <w:link w:val="EndnoteText"/>
    <w:uiPriority w:val="99"/>
    <w:rsid w:val="00892E17"/>
  </w:style>
  <w:style w:type="character" w:styleId="EndnoteReference">
    <w:name w:val="endnote reference"/>
    <w:uiPriority w:val="99"/>
    <w:unhideWhenUsed/>
    <w:rsid w:val="00892E17"/>
    <w:rPr>
      <w:vertAlign w:val="superscript"/>
    </w:rPr>
  </w:style>
  <w:style w:type="paragraph" w:customStyle="1" w:styleId="EndNoteBibliographyTitle">
    <w:name w:val="EndNote Bibliography Title"/>
    <w:basedOn w:val="Normal"/>
    <w:rsid w:val="00892E17"/>
    <w:pPr>
      <w:jc w:val="center"/>
    </w:pPr>
    <w:rPr>
      <w:color w:val="000000"/>
      <w:sz w:val="22"/>
      <w:lang w:val="en-US"/>
    </w:rPr>
  </w:style>
  <w:style w:type="paragraph" w:customStyle="1" w:styleId="EndNoteBibliography">
    <w:name w:val="EndNote Bibliography"/>
    <w:basedOn w:val="Normal"/>
    <w:rsid w:val="00892E17"/>
    <w:rPr>
      <w:color w:val="000000"/>
      <w:sz w:val="22"/>
      <w:lang w:val="en-US"/>
    </w:rPr>
  </w:style>
  <w:style w:type="paragraph" w:styleId="CommentSubject">
    <w:name w:val="annotation subject"/>
    <w:basedOn w:val="CommentText"/>
    <w:next w:val="CommentText"/>
    <w:link w:val="CommentSubjectChar"/>
    <w:uiPriority w:val="99"/>
    <w:semiHidden/>
    <w:unhideWhenUsed/>
    <w:rsid w:val="007900E4"/>
    <w:rPr>
      <w:b/>
      <w:bCs/>
      <w:sz w:val="20"/>
      <w:szCs w:val="20"/>
    </w:rPr>
  </w:style>
  <w:style w:type="character" w:customStyle="1" w:styleId="CommentSubjectChar">
    <w:name w:val="Comment Subject Char"/>
    <w:link w:val="CommentSubject"/>
    <w:uiPriority w:val="99"/>
    <w:semiHidden/>
    <w:rsid w:val="007900E4"/>
    <w:rPr>
      <w:b/>
      <w:bCs/>
      <w:sz w:val="20"/>
      <w:szCs w:val="20"/>
    </w:rPr>
  </w:style>
  <w:style w:type="character" w:styleId="Hyperlink">
    <w:name w:val="Hyperlink"/>
    <w:uiPriority w:val="99"/>
    <w:unhideWhenUsed/>
    <w:rsid w:val="00D834F0"/>
    <w:rPr>
      <w:color w:val="0563C1"/>
      <w:u w:val="single"/>
    </w:rPr>
  </w:style>
  <w:style w:type="character" w:styleId="PlaceholderText">
    <w:name w:val="Placeholder Text"/>
    <w:uiPriority w:val="99"/>
    <w:semiHidden/>
    <w:rsid w:val="009C3897"/>
    <w:rPr>
      <w:color w:val="808080"/>
    </w:rPr>
  </w:style>
  <w:style w:type="paragraph" w:customStyle="1" w:styleId="ListParagraph1">
    <w:name w:val="List Paragraph1"/>
    <w:basedOn w:val="Normal"/>
    <w:uiPriority w:val="34"/>
    <w:qFormat/>
    <w:rsid w:val="004D5899"/>
    <w:pPr>
      <w:ind w:left="720"/>
      <w:contextualSpacing/>
    </w:pPr>
    <w:rPr>
      <w:rFonts w:ascii="Cambria" w:eastAsia="MS Mincho" w:hAnsi="Cambria"/>
      <w:lang w:val="en-US" w:eastAsia="en-US"/>
    </w:rPr>
  </w:style>
  <w:style w:type="paragraph" w:styleId="Caption">
    <w:name w:val="caption"/>
    <w:basedOn w:val="Normal"/>
    <w:next w:val="Normal"/>
    <w:autoRedefine/>
    <w:uiPriority w:val="35"/>
    <w:unhideWhenUsed/>
    <w:qFormat/>
    <w:rsid w:val="00E80D87"/>
    <w:pPr>
      <w:spacing w:after="200"/>
      <w:jc w:val="both"/>
    </w:pPr>
    <w:rPr>
      <w:rFonts w:eastAsia="Arial" w:cs="Cambria"/>
      <w:i/>
      <w:iCs/>
      <w:color w:val="000000" w:themeColor="text1"/>
      <w:sz w:val="22"/>
      <w:szCs w:val="22"/>
      <w:lang w:val="en-US"/>
    </w:rPr>
  </w:style>
  <w:style w:type="paragraph" w:styleId="FootnoteText">
    <w:name w:val="footnote text"/>
    <w:basedOn w:val="Normal"/>
    <w:link w:val="FootnoteTextChar"/>
    <w:uiPriority w:val="99"/>
    <w:semiHidden/>
    <w:unhideWhenUsed/>
    <w:rsid w:val="003E1502"/>
    <w:rPr>
      <w:rFonts w:ascii="Cambria" w:hAnsi="Cambria" w:cs="Cambria"/>
      <w:color w:val="000000"/>
      <w:sz w:val="20"/>
      <w:szCs w:val="20"/>
      <w:lang w:val="en-US"/>
    </w:rPr>
  </w:style>
  <w:style w:type="character" w:customStyle="1" w:styleId="FootnoteTextChar">
    <w:name w:val="Footnote Text Char"/>
    <w:link w:val="FootnoteText"/>
    <w:uiPriority w:val="99"/>
    <w:semiHidden/>
    <w:rsid w:val="003E1502"/>
    <w:rPr>
      <w:sz w:val="20"/>
      <w:szCs w:val="20"/>
    </w:rPr>
  </w:style>
  <w:style w:type="character" w:styleId="FootnoteReference">
    <w:name w:val="footnote reference"/>
    <w:uiPriority w:val="99"/>
    <w:semiHidden/>
    <w:unhideWhenUsed/>
    <w:rsid w:val="003E1502"/>
    <w:rPr>
      <w:vertAlign w:val="superscript"/>
    </w:rPr>
  </w:style>
  <w:style w:type="paragraph" w:styleId="Header">
    <w:name w:val="header"/>
    <w:basedOn w:val="Normal"/>
    <w:link w:val="HeaderChar"/>
    <w:uiPriority w:val="99"/>
    <w:unhideWhenUsed/>
    <w:rsid w:val="001039AC"/>
    <w:pPr>
      <w:tabs>
        <w:tab w:val="center" w:pos="4513"/>
        <w:tab w:val="right" w:pos="9026"/>
      </w:tabs>
    </w:pPr>
    <w:rPr>
      <w:lang w:eastAsia="en-GB"/>
    </w:rPr>
  </w:style>
  <w:style w:type="character" w:customStyle="1" w:styleId="HeaderChar">
    <w:name w:val="Header Char"/>
    <w:basedOn w:val="DefaultParagraphFont"/>
    <w:link w:val="Header"/>
    <w:uiPriority w:val="99"/>
    <w:rsid w:val="001039AC"/>
    <w:rPr>
      <w:rFonts w:ascii="Times New Roman" w:hAnsi="Times New Roman" w:cs="Times New Roman"/>
      <w:sz w:val="24"/>
      <w:szCs w:val="24"/>
      <w:lang w:eastAsia="en-GB"/>
    </w:rPr>
  </w:style>
  <w:style w:type="paragraph" w:styleId="Footer">
    <w:name w:val="footer"/>
    <w:basedOn w:val="Normal"/>
    <w:link w:val="FooterChar"/>
    <w:uiPriority w:val="99"/>
    <w:unhideWhenUsed/>
    <w:rsid w:val="001039AC"/>
    <w:pPr>
      <w:tabs>
        <w:tab w:val="center" w:pos="4513"/>
        <w:tab w:val="right" w:pos="9026"/>
      </w:tabs>
    </w:pPr>
    <w:rPr>
      <w:lang w:eastAsia="en-GB"/>
    </w:rPr>
  </w:style>
  <w:style w:type="character" w:customStyle="1" w:styleId="FooterChar">
    <w:name w:val="Footer Char"/>
    <w:basedOn w:val="DefaultParagraphFont"/>
    <w:link w:val="Footer"/>
    <w:uiPriority w:val="99"/>
    <w:rsid w:val="001039AC"/>
    <w:rPr>
      <w:rFonts w:ascii="Times New Roman" w:hAnsi="Times New Roman" w:cs="Times New Roman"/>
      <w:sz w:val="24"/>
      <w:szCs w:val="24"/>
      <w:lang w:eastAsia="en-GB"/>
    </w:rPr>
  </w:style>
  <w:style w:type="table" w:styleId="TableGrid">
    <w:name w:val="Table Grid"/>
    <w:basedOn w:val="TableNormal"/>
    <w:uiPriority w:val="39"/>
    <w:rsid w:val="00884A46"/>
    <w:rPr>
      <w:rFonts w:asciiTheme="minorHAnsi" w:eastAsiaTheme="minorHAnsi" w:hAnsiTheme="minorHAnsi" w:cstheme="minorBidi"/>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semiHidden/>
    <w:unhideWhenUsed/>
    <w:rsid w:val="003E4874"/>
  </w:style>
  <w:style w:type="paragraph" w:styleId="TOC1">
    <w:name w:val="toc 1"/>
    <w:basedOn w:val="Normal"/>
    <w:next w:val="Normal"/>
    <w:autoRedefine/>
    <w:uiPriority w:val="39"/>
    <w:unhideWhenUsed/>
    <w:rsid w:val="00DC7791"/>
    <w:pPr>
      <w:spacing w:before="120"/>
    </w:pPr>
    <w:rPr>
      <w:rFonts w:asciiTheme="minorHAnsi" w:hAnsiTheme="minorHAnsi"/>
      <w:b/>
      <w:bCs/>
      <w:sz w:val="22"/>
      <w:szCs w:val="22"/>
      <w:lang w:eastAsia="en-GB"/>
    </w:rPr>
  </w:style>
  <w:style w:type="paragraph" w:styleId="TOC2">
    <w:name w:val="toc 2"/>
    <w:basedOn w:val="Normal"/>
    <w:next w:val="Normal"/>
    <w:autoRedefine/>
    <w:uiPriority w:val="39"/>
    <w:unhideWhenUsed/>
    <w:rsid w:val="00AC1228"/>
    <w:pPr>
      <w:tabs>
        <w:tab w:val="right" w:pos="8290"/>
      </w:tabs>
      <w:ind w:left="240"/>
    </w:pPr>
    <w:rPr>
      <w:rFonts w:asciiTheme="majorBidi" w:hAnsiTheme="majorBidi" w:cstheme="majorBidi"/>
      <w:i/>
      <w:iCs/>
      <w:noProof/>
      <w:lang w:eastAsia="en-GB"/>
    </w:rPr>
  </w:style>
  <w:style w:type="paragraph" w:styleId="TOC3">
    <w:name w:val="toc 3"/>
    <w:basedOn w:val="Normal"/>
    <w:next w:val="Normal"/>
    <w:autoRedefine/>
    <w:uiPriority w:val="39"/>
    <w:unhideWhenUsed/>
    <w:rsid w:val="00DC7791"/>
    <w:pPr>
      <w:ind w:left="480"/>
    </w:pPr>
    <w:rPr>
      <w:rFonts w:asciiTheme="minorHAnsi" w:hAnsiTheme="minorHAnsi"/>
      <w:sz w:val="22"/>
      <w:szCs w:val="22"/>
      <w:lang w:eastAsia="en-GB"/>
    </w:rPr>
  </w:style>
  <w:style w:type="paragraph" w:styleId="TOC4">
    <w:name w:val="toc 4"/>
    <w:basedOn w:val="Normal"/>
    <w:next w:val="Normal"/>
    <w:autoRedefine/>
    <w:uiPriority w:val="39"/>
    <w:unhideWhenUsed/>
    <w:rsid w:val="00DC7791"/>
    <w:pPr>
      <w:ind w:left="720"/>
    </w:pPr>
    <w:rPr>
      <w:rFonts w:asciiTheme="minorHAnsi" w:hAnsiTheme="minorHAnsi"/>
      <w:sz w:val="20"/>
      <w:szCs w:val="20"/>
      <w:lang w:eastAsia="en-GB"/>
    </w:rPr>
  </w:style>
  <w:style w:type="paragraph" w:styleId="TOC5">
    <w:name w:val="toc 5"/>
    <w:basedOn w:val="Normal"/>
    <w:next w:val="Normal"/>
    <w:autoRedefine/>
    <w:uiPriority w:val="39"/>
    <w:unhideWhenUsed/>
    <w:rsid w:val="00DC7791"/>
    <w:pPr>
      <w:ind w:left="960"/>
    </w:pPr>
    <w:rPr>
      <w:rFonts w:asciiTheme="minorHAnsi" w:hAnsiTheme="minorHAnsi"/>
      <w:sz w:val="20"/>
      <w:szCs w:val="20"/>
      <w:lang w:eastAsia="en-GB"/>
    </w:rPr>
  </w:style>
  <w:style w:type="paragraph" w:styleId="TOC6">
    <w:name w:val="toc 6"/>
    <w:basedOn w:val="Normal"/>
    <w:next w:val="Normal"/>
    <w:autoRedefine/>
    <w:uiPriority w:val="39"/>
    <w:unhideWhenUsed/>
    <w:rsid w:val="00DC7791"/>
    <w:pPr>
      <w:ind w:left="1200"/>
    </w:pPr>
    <w:rPr>
      <w:rFonts w:asciiTheme="minorHAnsi" w:hAnsiTheme="minorHAnsi"/>
      <w:sz w:val="20"/>
      <w:szCs w:val="20"/>
      <w:lang w:eastAsia="en-GB"/>
    </w:rPr>
  </w:style>
  <w:style w:type="paragraph" w:styleId="TOC7">
    <w:name w:val="toc 7"/>
    <w:basedOn w:val="Normal"/>
    <w:next w:val="Normal"/>
    <w:autoRedefine/>
    <w:uiPriority w:val="39"/>
    <w:unhideWhenUsed/>
    <w:rsid w:val="00DC7791"/>
    <w:pPr>
      <w:ind w:left="1440"/>
    </w:pPr>
    <w:rPr>
      <w:rFonts w:asciiTheme="minorHAnsi" w:hAnsiTheme="minorHAnsi"/>
      <w:sz w:val="20"/>
      <w:szCs w:val="20"/>
      <w:lang w:eastAsia="en-GB"/>
    </w:rPr>
  </w:style>
  <w:style w:type="paragraph" w:styleId="TOC8">
    <w:name w:val="toc 8"/>
    <w:basedOn w:val="Normal"/>
    <w:next w:val="Normal"/>
    <w:autoRedefine/>
    <w:uiPriority w:val="39"/>
    <w:unhideWhenUsed/>
    <w:rsid w:val="00DC7791"/>
    <w:pPr>
      <w:ind w:left="1680"/>
    </w:pPr>
    <w:rPr>
      <w:rFonts w:asciiTheme="minorHAnsi" w:hAnsiTheme="minorHAnsi"/>
      <w:sz w:val="20"/>
      <w:szCs w:val="20"/>
      <w:lang w:eastAsia="en-GB"/>
    </w:rPr>
  </w:style>
  <w:style w:type="paragraph" w:styleId="TOC9">
    <w:name w:val="toc 9"/>
    <w:basedOn w:val="Normal"/>
    <w:next w:val="Normal"/>
    <w:autoRedefine/>
    <w:uiPriority w:val="39"/>
    <w:unhideWhenUsed/>
    <w:rsid w:val="00DC7791"/>
    <w:pPr>
      <w:ind w:left="1920"/>
    </w:pPr>
    <w:rPr>
      <w:rFonts w:asciiTheme="minorHAnsi" w:hAnsiTheme="minorHAnsi"/>
      <w:sz w:val="20"/>
      <w:szCs w:val="20"/>
      <w:lang w:eastAsia="en-GB"/>
    </w:rPr>
  </w:style>
  <w:style w:type="paragraph" w:styleId="TOCHeading">
    <w:name w:val="TOC Heading"/>
    <w:basedOn w:val="Heading1"/>
    <w:next w:val="Normal"/>
    <w:uiPriority w:val="39"/>
    <w:unhideWhenUsed/>
    <w:qFormat/>
    <w:rsid w:val="004F557C"/>
    <w:pPr>
      <w:spacing w:before="480" w:after="0" w:line="276" w:lineRule="auto"/>
      <w:outlineLvl w:val="9"/>
    </w:pPr>
    <w:rPr>
      <w:rFonts w:asciiTheme="majorHAnsi" w:eastAsiaTheme="majorEastAsia" w:hAnsiTheme="majorHAnsi" w:cstheme="majorBidi"/>
      <w:bCs/>
      <w:color w:val="2F5496" w:themeColor="accent1" w:themeShade="BF"/>
      <w:sz w:val="28"/>
      <w:szCs w:val="28"/>
      <w:lang w:eastAsia="en-US"/>
    </w:rPr>
  </w:style>
  <w:style w:type="paragraph" w:styleId="Date">
    <w:name w:val="Date"/>
    <w:basedOn w:val="Normal"/>
    <w:next w:val="Normal"/>
    <w:link w:val="DateChar"/>
    <w:uiPriority w:val="99"/>
    <w:semiHidden/>
    <w:unhideWhenUsed/>
    <w:rsid w:val="00AF20C6"/>
    <w:rPr>
      <w:lang w:eastAsia="en-GB"/>
    </w:rPr>
  </w:style>
  <w:style w:type="character" w:customStyle="1" w:styleId="DateChar">
    <w:name w:val="Date Char"/>
    <w:basedOn w:val="DefaultParagraphFont"/>
    <w:link w:val="Date"/>
    <w:uiPriority w:val="99"/>
    <w:semiHidden/>
    <w:rsid w:val="00AF20C6"/>
    <w:rPr>
      <w:rFonts w:ascii="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AD5CE1"/>
    <w:rPr>
      <w:color w:val="954F72" w:themeColor="followedHyperlink"/>
      <w:u w:val="single"/>
    </w:rPr>
  </w:style>
  <w:style w:type="character" w:customStyle="1" w:styleId="Heading2Char">
    <w:name w:val="Heading 2 Char"/>
    <w:basedOn w:val="DefaultParagraphFont"/>
    <w:link w:val="Heading2"/>
    <w:uiPriority w:val="9"/>
    <w:rsid w:val="008D5498"/>
    <w:rPr>
      <w:rFonts w:ascii="Times" w:eastAsia="Times" w:hAnsi="Times" w:cs="Times"/>
      <w:b/>
      <w:color w:val="000000"/>
      <w:sz w:val="36"/>
      <w:szCs w:val="36"/>
      <w:lang w:val="en-US"/>
    </w:rPr>
  </w:style>
  <w:style w:type="character" w:styleId="Emphasis">
    <w:name w:val="Emphasis"/>
    <w:basedOn w:val="DefaultParagraphFont"/>
    <w:uiPriority w:val="20"/>
    <w:qFormat/>
    <w:rsid w:val="008D5498"/>
    <w:rPr>
      <w:i/>
      <w:iCs/>
    </w:rPr>
  </w:style>
  <w:style w:type="character" w:customStyle="1" w:styleId="Heading1Char">
    <w:name w:val="Heading 1 Char"/>
    <w:basedOn w:val="DefaultParagraphFont"/>
    <w:link w:val="Heading1"/>
    <w:rsid w:val="007A0440"/>
    <w:rPr>
      <w:rFonts w:ascii="Times" w:eastAsia="Times" w:hAnsi="Times" w:cs="Times"/>
      <w:b/>
      <w:color w:val="000000"/>
      <w:sz w:val="48"/>
      <w:szCs w:val="48"/>
      <w:lang w:val="en-US"/>
    </w:rPr>
  </w:style>
  <w:style w:type="table" w:customStyle="1" w:styleId="GridTable1Light1">
    <w:name w:val="Grid Table 1 Light1"/>
    <w:basedOn w:val="TableNormal"/>
    <w:uiPriority w:val="46"/>
    <w:rsid w:val="00724EA7"/>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11">
    <w:name w:val="Plain Table 11"/>
    <w:basedOn w:val="TableNormal"/>
    <w:uiPriority w:val="41"/>
    <w:rsid w:val="00724EA7"/>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5Dark-Accent31">
    <w:name w:val="Grid Table 5 Dark - Accent 31"/>
    <w:basedOn w:val="TableNormal"/>
    <w:uiPriority w:val="50"/>
    <w:rsid w:val="00724EA7"/>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TableofFigures">
    <w:name w:val="table of figures"/>
    <w:basedOn w:val="Normal"/>
    <w:next w:val="Normal"/>
    <w:uiPriority w:val="99"/>
    <w:unhideWhenUsed/>
    <w:rsid w:val="00A11192"/>
    <w:rPr>
      <w:rFonts w:ascii="Arial" w:hAnsi="Arial"/>
      <w: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100436">
      <w:bodyDiv w:val="1"/>
      <w:marLeft w:val="0"/>
      <w:marRight w:val="0"/>
      <w:marTop w:val="0"/>
      <w:marBottom w:val="0"/>
      <w:divBdr>
        <w:top w:val="none" w:sz="0" w:space="0" w:color="auto"/>
        <w:left w:val="none" w:sz="0" w:space="0" w:color="auto"/>
        <w:bottom w:val="none" w:sz="0" w:space="0" w:color="auto"/>
        <w:right w:val="none" w:sz="0" w:space="0" w:color="auto"/>
      </w:divBdr>
    </w:div>
    <w:div w:id="116796660">
      <w:bodyDiv w:val="1"/>
      <w:marLeft w:val="0"/>
      <w:marRight w:val="0"/>
      <w:marTop w:val="0"/>
      <w:marBottom w:val="0"/>
      <w:divBdr>
        <w:top w:val="none" w:sz="0" w:space="0" w:color="auto"/>
        <w:left w:val="none" w:sz="0" w:space="0" w:color="auto"/>
        <w:bottom w:val="none" w:sz="0" w:space="0" w:color="auto"/>
        <w:right w:val="none" w:sz="0" w:space="0" w:color="auto"/>
      </w:divBdr>
    </w:div>
    <w:div w:id="161242524">
      <w:bodyDiv w:val="1"/>
      <w:marLeft w:val="0"/>
      <w:marRight w:val="0"/>
      <w:marTop w:val="0"/>
      <w:marBottom w:val="0"/>
      <w:divBdr>
        <w:top w:val="none" w:sz="0" w:space="0" w:color="auto"/>
        <w:left w:val="none" w:sz="0" w:space="0" w:color="auto"/>
        <w:bottom w:val="none" w:sz="0" w:space="0" w:color="auto"/>
        <w:right w:val="none" w:sz="0" w:space="0" w:color="auto"/>
      </w:divBdr>
    </w:div>
    <w:div w:id="166948974">
      <w:bodyDiv w:val="1"/>
      <w:marLeft w:val="0"/>
      <w:marRight w:val="0"/>
      <w:marTop w:val="0"/>
      <w:marBottom w:val="0"/>
      <w:divBdr>
        <w:top w:val="none" w:sz="0" w:space="0" w:color="auto"/>
        <w:left w:val="none" w:sz="0" w:space="0" w:color="auto"/>
        <w:bottom w:val="none" w:sz="0" w:space="0" w:color="auto"/>
        <w:right w:val="none" w:sz="0" w:space="0" w:color="auto"/>
      </w:divBdr>
    </w:div>
    <w:div w:id="211886809">
      <w:bodyDiv w:val="1"/>
      <w:marLeft w:val="0"/>
      <w:marRight w:val="0"/>
      <w:marTop w:val="0"/>
      <w:marBottom w:val="0"/>
      <w:divBdr>
        <w:top w:val="none" w:sz="0" w:space="0" w:color="auto"/>
        <w:left w:val="none" w:sz="0" w:space="0" w:color="auto"/>
        <w:bottom w:val="none" w:sz="0" w:space="0" w:color="auto"/>
        <w:right w:val="none" w:sz="0" w:space="0" w:color="auto"/>
      </w:divBdr>
    </w:div>
    <w:div w:id="242759329">
      <w:bodyDiv w:val="1"/>
      <w:marLeft w:val="0"/>
      <w:marRight w:val="0"/>
      <w:marTop w:val="0"/>
      <w:marBottom w:val="0"/>
      <w:divBdr>
        <w:top w:val="none" w:sz="0" w:space="0" w:color="auto"/>
        <w:left w:val="none" w:sz="0" w:space="0" w:color="auto"/>
        <w:bottom w:val="none" w:sz="0" w:space="0" w:color="auto"/>
        <w:right w:val="none" w:sz="0" w:space="0" w:color="auto"/>
      </w:divBdr>
    </w:div>
    <w:div w:id="293412764">
      <w:bodyDiv w:val="1"/>
      <w:marLeft w:val="0"/>
      <w:marRight w:val="0"/>
      <w:marTop w:val="0"/>
      <w:marBottom w:val="0"/>
      <w:divBdr>
        <w:top w:val="none" w:sz="0" w:space="0" w:color="auto"/>
        <w:left w:val="none" w:sz="0" w:space="0" w:color="auto"/>
        <w:bottom w:val="none" w:sz="0" w:space="0" w:color="auto"/>
        <w:right w:val="none" w:sz="0" w:space="0" w:color="auto"/>
      </w:divBdr>
    </w:div>
    <w:div w:id="334965970">
      <w:bodyDiv w:val="1"/>
      <w:marLeft w:val="0"/>
      <w:marRight w:val="0"/>
      <w:marTop w:val="0"/>
      <w:marBottom w:val="0"/>
      <w:divBdr>
        <w:top w:val="none" w:sz="0" w:space="0" w:color="auto"/>
        <w:left w:val="none" w:sz="0" w:space="0" w:color="auto"/>
        <w:bottom w:val="none" w:sz="0" w:space="0" w:color="auto"/>
        <w:right w:val="none" w:sz="0" w:space="0" w:color="auto"/>
      </w:divBdr>
    </w:div>
    <w:div w:id="361246135">
      <w:bodyDiv w:val="1"/>
      <w:marLeft w:val="0"/>
      <w:marRight w:val="0"/>
      <w:marTop w:val="0"/>
      <w:marBottom w:val="0"/>
      <w:divBdr>
        <w:top w:val="none" w:sz="0" w:space="0" w:color="auto"/>
        <w:left w:val="none" w:sz="0" w:space="0" w:color="auto"/>
        <w:bottom w:val="none" w:sz="0" w:space="0" w:color="auto"/>
        <w:right w:val="none" w:sz="0" w:space="0" w:color="auto"/>
      </w:divBdr>
    </w:div>
    <w:div w:id="378285532">
      <w:bodyDiv w:val="1"/>
      <w:marLeft w:val="0"/>
      <w:marRight w:val="0"/>
      <w:marTop w:val="0"/>
      <w:marBottom w:val="0"/>
      <w:divBdr>
        <w:top w:val="none" w:sz="0" w:space="0" w:color="auto"/>
        <w:left w:val="none" w:sz="0" w:space="0" w:color="auto"/>
        <w:bottom w:val="none" w:sz="0" w:space="0" w:color="auto"/>
        <w:right w:val="none" w:sz="0" w:space="0" w:color="auto"/>
      </w:divBdr>
    </w:div>
    <w:div w:id="526286641">
      <w:bodyDiv w:val="1"/>
      <w:marLeft w:val="0"/>
      <w:marRight w:val="0"/>
      <w:marTop w:val="0"/>
      <w:marBottom w:val="0"/>
      <w:divBdr>
        <w:top w:val="none" w:sz="0" w:space="0" w:color="auto"/>
        <w:left w:val="none" w:sz="0" w:space="0" w:color="auto"/>
        <w:bottom w:val="none" w:sz="0" w:space="0" w:color="auto"/>
        <w:right w:val="none" w:sz="0" w:space="0" w:color="auto"/>
      </w:divBdr>
    </w:div>
    <w:div w:id="549655468">
      <w:bodyDiv w:val="1"/>
      <w:marLeft w:val="0"/>
      <w:marRight w:val="0"/>
      <w:marTop w:val="0"/>
      <w:marBottom w:val="0"/>
      <w:divBdr>
        <w:top w:val="none" w:sz="0" w:space="0" w:color="auto"/>
        <w:left w:val="none" w:sz="0" w:space="0" w:color="auto"/>
        <w:bottom w:val="none" w:sz="0" w:space="0" w:color="auto"/>
        <w:right w:val="none" w:sz="0" w:space="0" w:color="auto"/>
      </w:divBdr>
    </w:div>
    <w:div w:id="609355309">
      <w:bodyDiv w:val="1"/>
      <w:marLeft w:val="0"/>
      <w:marRight w:val="0"/>
      <w:marTop w:val="0"/>
      <w:marBottom w:val="0"/>
      <w:divBdr>
        <w:top w:val="none" w:sz="0" w:space="0" w:color="auto"/>
        <w:left w:val="none" w:sz="0" w:space="0" w:color="auto"/>
        <w:bottom w:val="none" w:sz="0" w:space="0" w:color="auto"/>
        <w:right w:val="none" w:sz="0" w:space="0" w:color="auto"/>
      </w:divBdr>
    </w:div>
    <w:div w:id="660085026">
      <w:bodyDiv w:val="1"/>
      <w:marLeft w:val="0"/>
      <w:marRight w:val="0"/>
      <w:marTop w:val="0"/>
      <w:marBottom w:val="0"/>
      <w:divBdr>
        <w:top w:val="none" w:sz="0" w:space="0" w:color="auto"/>
        <w:left w:val="none" w:sz="0" w:space="0" w:color="auto"/>
        <w:bottom w:val="none" w:sz="0" w:space="0" w:color="auto"/>
        <w:right w:val="none" w:sz="0" w:space="0" w:color="auto"/>
      </w:divBdr>
    </w:div>
    <w:div w:id="693992574">
      <w:bodyDiv w:val="1"/>
      <w:marLeft w:val="0"/>
      <w:marRight w:val="0"/>
      <w:marTop w:val="0"/>
      <w:marBottom w:val="0"/>
      <w:divBdr>
        <w:top w:val="none" w:sz="0" w:space="0" w:color="auto"/>
        <w:left w:val="none" w:sz="0" w:space="0" w:color="auto"/>
        <w:bottom w:val="none" w:sz="0" w:space="0" w:color="auto"/>
        <w:right w:val="none" w:sz="0" w:space="0" w:color="auto"/>
      </w:divBdr>
    </w:div>
    <w:div w:id="779955092">
      <w:bodyDiv w:val="1"/>
      <w:marLeft w:val="0"/>
      <w:marRight w:val="0"/>
      <w:marTop w:val="0"/>
      <w:marBottom w:val="0"/>
      <w:divBdr>
        <w:top w:val="none" w:sz="0" w:space="0" w:color="auto"/>
        <w:left w:val="none" w:sz="0" w:space="0" w:color="auto"/>
        <w:bottom w:val="none" w:sz="0" w:space="0" w:color="auto"/>
        <w:right w:val="none" w:sz="0" w:space="0" w:color="auto"/>
      </w:divBdr>
    </w:div>
    <w:div w:id="810291535">
      <w:bodyDiv w:val="1"/>
      <w:marLeft w:val="0"/>
      <w:marRight w:val="0"/>
      <w:marTop w:val="0"/>
      <w:marBottom w:val="0"/>
      <w:divBdr>
        <w:top w:val="none" w:sz="0" w:space="0" w:color="auto"/>
        <w:left w:val="none" w:sz="0" w:space="0" w:color="auto"/>
        <w:bottom w:val="none" w:sz="0" w:space="0" w:color="auto"/>
        <w:right w:val="none" w:sz="0" w:space="0" w:color="auto"/>
      </w:divBdr>
    </w:div>
    <w:div w:id="819155189">
      <w:bodyDiv w:val="1"/>
      <w:marLeft w:val="0"/>
      <w:marRight w:val="0"/>
      <w:marTop w:val="0"/>
      <w:marBottom w:val="0"/>
      <w:divBdr>
        <w:top w:val="none" w:sz="0" w:space="0" w:color="auto"/>
        <w:left w:val="none" w:sz="0" w:space="0" w:color="auto"/>
        <w:bottom w:val="none" w:sz="0" w:space="0" w:color="auto"/>
        <w:right w:val="none" w:sz="0" w:space="0" w:color="auto"/>
      </w:divBdr>
    </w:div>
    <w:div w:id="829373926">
      <w:bodyDiv w:val="1"/>
      <w:marLeft w:val="0"/>
      <w:marRight w:val="0"/>
      <w:marTop w:val="0"/>
      <w:marBottom w:val="0"/>
      <w:divBdr>
        <w:top w:val="none" w:sz="0" w:space="0" w:color="auto"/>
        <w:left w:val="none" w:sz="0" w:space="0" w:color="auto"/>
        <w:bottom w:val="none" w:sz="0" w:space="0" w:color="auto"/>
        <w:right w:val="none" w:sz="0" w:space="0" w:color="auto"/>
      </w:divBdr>
    </w:div>
    <w:div w:id="837773382">
      <w:bodyDiv w:val="1"/>
      <w:marLeft w:val="0"/>
      <w:marRight w:val="0"/>
      <w:marTop w:val="0"/>
      <w:marBottom w:val="0"/>
      <w:divBdr>
        <w:top w:val="none" w:sz="0" w:space="0" w:color="auto"/>
        <w:left w:val="none" w:sz="0" w:space="0" w:color="auto"/>
        <w:bottom w:val="none" w:sz="0" w:space="0" w:color="auto"/>
        <w:right w:val="none" w:sz="0" w:space="0" w:color="auto"/>
      </w:divBdr>
    </w:div>
    <w:div w:id="850729092">
      <w:bodyDiv w:val="1"/>
      <w:marLeft w:val="0"/>
      <w:marRight w:val="0"/>
      <w:marTop w:val="0"/>
      <w:marBottom w:val="0"/>
      <w:divBdr>
        <w:top w:val="none" w:sz="0" w:space="0" w:color="auto"/>
        <w:left w:val="none" w:sz="0" w:space="0" w:color="auto"/>
        <w:bottom w:val="none" w:sz="0" w:space="0" w:color="auto"/>
        <w:right w:val="none" w:sz="0" w:space="0" w:color="auto"/>
      </w:divBdr>
    </w:div>
    <w:div w:id="861633155">
      <w:bodyDiv w:val="1"/>
      <w:marLeft w:val="0"/>
      <w:marRight w:val="0"/>
      <w:marTop w:val="0"/>
      <w:marBottom w:val="0"/>
      <w:divBdr>
        <w:top w:val="none" w:sz="0" w:space="0" w:color="auto"/>
        <w:left w:val="none" w:sz="0" w:space="0" w:color="auto"/>
        <w:bottom w:val="none" w:sz="0" w:space="0" w:color="auto"/>
        <w:right w:val="none" w:sz="0" w:space="0" w:color="auto"/>
      </w:divBdr>
    </w:div>
    <w:div w:id="893274376">
      <w:bodyDiv w:val="1"/>
      <w:marLeft w:val="0"/>
      <w:marRight w:val="0"/>
      <w:marTop w:val="0"/>
      <w:marBottom w:val="0"/>
      <w:divBdr>
        <w:top w:val="none" w:sz="0" w:space="0" w:color="auto"/>
        <w:left w:val="none" w:sz="0" w:space="0" w:color="auto"/>
        <w:bottom w:val="none" w:sz="0" w:space="0" w:color="auto"/>
        <w:right w:val="none" w:sz="0" w:space="0" w:color="auto"/>
      </w:divBdr>
    </w:div>
    <w:div w:id="935947003">
      <w:bodyDiv w:val="1"/>
      <w:marLeft w:val="0"/>
      <w:marRight w:val="0"/>
      <w:marTop w:val="0"/>
      <w:marBottom w:val="0"/>
      <w:divBdr>
        <w:top w:val="none" w:sz="0" w:space="0" w:color="auto"/>
        <w:left w:val="none" w:sz="0" w:space="0" w:color="auto"/>
        <w:bottom w:val="none" w:sz="0" w:space="0" w:color="auto"/>
        <w:right w:val="none" w:sz="0" w:space="0" w:color="auto"/>
      </w:divBdr>
      <w:divsChild>
        <w:div w:id="632291452">
          <w:marLeft w:val="0"/>
          <w:marRight w:val="0"/>
          <w:marTop w:val="0"/>
          <w:marBottom w:val="0"/>
          <w:divBdr>
            <w:top w:val="none" w:sz="0" w:space="0" w:color="auto"/>
            <w:left w:val="none" w:sz="0" w:space="0" w:color="auto"/>
            <w:bottom w:val="none" w:sz="0" w:space="0" w:color="auto"/>
            <w:right w:val="none" w:sz="0" w:space="0" w:color="auto"/>
          </w:divBdr>
        </w:div>
        <w:div w:id="407848686">
          <w:marLeft w:val="0"/>
          <w:marRight w:val="0"/>
          <w:marTop w:val="0"/>
          <w:marBottom w:val="0"/>
          <w:divBdr>
            <w:top w:val="none" w:sz="0" w:space="0" w:color="auto"/>
            <w:left w:val="none" w:sz="0" w:space="0" w:color="auto"/>
            <w:bottom w:val="none" w:sz="0" w:space="0" w:color="auto"/>
            <w:right w:val="none" w:sz="0" w:space="0" w:color="auto"/>
          </w:divBdr>
        </w:div>
      </w:divsChild>
    </w:div>
    <w:div w:id="1024360051">
      <w:bodyDiv w:val="1"/>
      <w:marLeft w:val="0"/>
      <w:marRight w:val="0"/>
      <w:marTop w:val="0"/>
      <w:marBottom w:val="0"/>
      <w:divBdr>
        <w:top w:val="none" w:sz="0" w:space="0" w:color="auto"/>
        <w:left w:val="none" w:sz="0" w:space="0" w:color="auto"/>
        <w:bottom w:val="none" w:sz="0" w:space="0" w:color="auto"/>
        <w:right w:val="none" w:sz="0" w:space="0" w:color="auto"/>
      </w:divBdr>
    </w:div>
    <w:div w:id="1025252828">
      <w:bodyDiv w:val="1"/>
      <w:marLeft w:val="0"/>
      <w:marRight w:val="0"/>
      <w:marTop w:val="0"/>
      <w:marBottom w:val="0"/>
      <w:divBdr>
        <w:top w:val="none" w:sz="0" w:space="0" w:color="auto"/>
        <w:left w:val="none" w:sz="0" w:space="0" w:color="auto"/>
        <w:bottom w:val="none" w:sz="0" w:space="0" w:color="auto"/>
        <w:right w:val="none" w:sz="0" w:space="0" w:color="auto"/>
      </w:divBdr>
    </w:div>
    <w:div w:id="1080983377">
      <w:bodyDiv w:val="1"/>
      <w:marLeft w:val="0"/>
      <w:marRight w:val="0"/>
      <w:marTop w:val="0"/>
      <w:marBottom w:val="0"/>
      <w:divBdr>
        <w:top w:val="none" w:sz="0" w:space="0" w:color="auto"/>
        <w:left w:val="none" w:sz="0" w:space="0" w:color="auto"/>
        <w:bottom w:val="none" w:sz="0" w:space="0" w:color="auto"/>
        <w:right w:val="none" w:sz="0" w:space="0" w:color="auto"/>
      </w:divBdr>
    </w:div>
    <w:div w:id="1120761462">
      <w:bodyDiv w:val="1"/>
      <w:marLeft w:val="0"/>
      <w:marRight w:val="0"/>
      <w:marTop w:val="0"/>
      <w:marBottom w:val="0"/>
      <w:divBdr>
        <w:top w:val="none" w:sz="0" w:space="0" w:color="auto"/>
        <w:left w:val="none" w:sz="0" w:space="0" w:color="auto"/>
        <w:bottom w:val="none" w:sz="0" w:space="0" w:color="auto"/>
        <w:right w:val="none" w:sz="0" w:space="0" w:color="auto"/>
      </w:divBdr>
    </w:div>
    <w:div w:id="1142625310">
      <w:bodyDiv w:val="1"/>
      <w:marLeft w:val="0"/>
      <w:marRight w:val="0"/>
      <w:marTop w:val="0"/>
      <w:marBottom w:val="0"/>
      <w:divBdr>
        <w:top w:val="none" w:sz="0" w:space="0" w:color="auto"/>
        <w:left w:val="none" w:sz="0" w:space="0" w:color="auto"/>
        <w:bottom w:val="none" w:sz="0" w:space="0" w:color="auto"/>
        <w:right w:val="none" w:sz="0" w:space="0" w:color="auto"/>
      </w:divBdr>
    </w:div>
    <w:div w:id="1151170545">
      <w:bodyDiv w:val="1"/>
      <w:marLeft w:val="0"/>
      <w:marRight w:val="0"/>
      <w:marTop w:val="0"/>
      <w:marBottom w:val="0"/>
      <w:divBdr>
        <w:top w:val="none" w:sz="0" w:space="0" w:color="auto"/>
        <w:left w:val="none" w:sz="0" w:space="0" w:color="auto"/>
        <w:bottom w:val="none" w:sz="0" w:space="0" w:color="auto"/>
        <w:right w:val="none" w:sz="0" w:space="0" w:color="auto"/>
      </w:divBdr>
    </w:div>
    <w:div w:id="1154563593">
      <w:bodyDiv w:val="1"/>
      <w:marLeft w:val="0"/>
      <w:marRight w:val="0"/>
      <w:marTop w:val="0"/>
      <w:marBottom w:val="0"/>
      <w:divBdr>
        <w:top w:val="none" w:sz="0" w:space="0" w:color="auto"/>
        <w:left w:val="none" w:sz="0" w:space="0" w:color="auto"/>
        <w:bottom w:val="none" w:sz="0" w:space="0" w:color="auto"/>
        <w:right w:val="none" w:sz="0" w:space="0" w:color="auto"/>
      </w:divBdr>
    </w:div>
    <w:div w:id="1175681977">
      <w:bodyDiv w:val="1"/>
      <w:marLeft w:val="0"/>
      <w:marRight w:val="0"/>
      <w:marTop w:val="0"/>
      <w:marBottom w:val="0"/>
      <w:divBdr>
        <w:top w:val="none" w:sz="0" w:space="0" w:color="auto"/>
        <w:left w:val="none" w:sz="0" w:space="0" w:color="auto"/>
        <w:bottom w:val="none" w:sz="0" w:space="0" w:color="auto"/>
        <w:right w:val="none" w:sz="0" w:space="0" w:color="auto"/>
      </w:divBdr>
    </w:div>
    <w:div w:id="1187476761">
      <w:bodyDiv w:val="1"/>
      <w:marLeft w:val="0"/>
      <w:marRight w:val="0"/>
      <w:marTop w:val="0"/>
      <w:marBottom w:val="0"/>
      <w:divBdr>
        <w:top w:val="none" w:sz="0" w:space="0" w:color="auto"/>
        <w:left w:val="none" w:sz="0" w:space="0" w:color="auto"/>
        <w:bottom w:val="none" w:sz="0" w:space="0" w:color="auto"/>
        <w:right w:val="none" w:sz="0" w:space="0" w:color="auto"/>
      </w:divBdr>
    </w:div>
    <w:div w:id="1195653199">
      <w:bodyDiv w:val="1"/>
      <w:marLeft w:val="0"/>
      <w:marRight w:val="0"/>
      <w:marTop w:val="0"/>
      <w:marBottom w:val="0"/>
      <w:divBdr>
        <w:top w:val="none" w:sz="0" w:space="0" w:color="auto"/>
        <w:left w:val="none" w:sz="0" w:space="0" w:color="auto"/>
        <w:bottom w:val="none" w:sz="0" w:space="0" w:color="auto"/>
        <w:right w:val="none" w:sz="0" w:space="0" w:color="auto"/>
      </w:divBdr>
    </w:div>
    <w:div w:id="1301106572">
      <w:bodyDiv w:val="1"/>
      <w:marLeft w:val="0"/>
      <w:marRight w:val="0"/>
      <w:marTop w:val="0"/>
      <w:marBottom w:val="0"/>
      <w:divBdr>
        <w:top w:val="none" w:sz="0" w:space="0" w:color="auto"/>
        <w:left w:val="none" w:sz="0" w:space="0" w:color="auto"/>
        <w:bottom w:val="none" w:sz="0" w:space="0" w:color="auto"/>
        <w:right w:val="none" w:sz="0" w:space="0" w:color="auto"/>
      </w:divBdr>
    </w:div>
    <w:div w:id="1305234051">
      <w:bodyDiv w:val="1"/>
      <w:marLeft w:val="0"/>
      <w:marRight w:val="0"/>
      <w:marTop w:val="0"/>
      <w:marBottom w:val="0"/>
      <w:divBdr>
        <w:top w:val="none" w:sz="0" w:space="0" w:color="auto"/>
        <w:left w:val="none" w:sz="0" w:space="0" w:color="auto"/>
        <w:bottom w:val="none" w:sz="0" w:space="0" w:color="auto"/>
        <w:right w:val="none" w:sz="0" w:space="0" w:color="auto"/>
      </w:divBdr>
    </w:div>
    <w:div w:id="1337732577">
      <w:bodyDiv w:val="1"/>
      <w:marLeft w:val="0"/>
      <w:marRight w:val="0"/>
      <w:marTop w:val="0"/>
      <w:marBottom w:val="0"/>
      <w:divBdr>
        <w:top w:val="none" w:sz="0" w:space="0" w:color="auto"/>
        <w:left w:val="none" w:sz="0" w:space="0" w:color="auto"/>
        <w:bottom w:val="none" w:sz="0" w:space="0" w:color="auto"/>
        <w:right w:val="none" w:sz="0" w:space="0" w:color="auto"/>
      </w:divBdr>
    </w:div>
    <w:div w:id="1354259370">
      <w:bodyDiv w:val="1"/>
      <w:marLeft w:val="0"/>
      <w:marRight w:val="0"/>
      <w:marTop w:val="0"/>
      <w:marBottom w:val="0"/>
      <w:divBdr>
        <w:top w:val="none" w:sz="0" w:space="0" w:color="auto"/>
        <w:left w:val="none" w:sz="0" w:space="0" w:color="auto"/>
        <w:bottom w:val="none" w:sz="0" w:space="0" w:color="auto"/>
        <w:right w:val="none" w:sz="0" w:space="0" w:color="auto"/>
      </w:divBdr>
    </w:div>
    <w:div w:id="1388607379">
      <w:bodyDiv w:val="1"/>
      <w:marLeft w:val="0"/>
      <w:marRight w:val="0"/>
      <w:marTop w:val="0"/>
      <w:marBottom w:val="0"/>
      <w:divBdr>
        <w:top w:val="none" w:sz="0" w:space="0" w:color="auto"/>
        <w:left w:val="none" w:sz="0" w:space="0" w:color="auto"/>
        <w:bottom w:val="none" w:sz="0" w:space="0" w:color="auto"/>
        <w:right w:val="none" w:sz="0" w:space="0" w:color="auto"/>
      </w:divBdr>
    </w:div>
    <w:div w:id="1420756114">
      <w:bodyDiv w:val="1"/>
      <w:marLeft w:val="0"/>
      <w:marRight w:val="0"/>
      <w:marTop w:val="0"/>
      <w:marBottom w:val="0"/>
      <w:divBdr>
        <w:top w:val="none" w:sz="0" w:space="0" w:color="auto"/>
        <w:left w:val="none" w:sz="0" w:space="0" w:color="auto"/>
        <w:bottom w:val="none" w:sz="0" w:space="0" w:color="auto"/>
        <w:right w:val="none" w:sz="0" w:space="0" w:color="auto"/>
      </w:divBdr>
    </w:div>
    <w:div w:id="1449734880">
      <w:bodyDiv w:val="1"/>
      <w:marLeft w:val="0"/>
      <w:marRight w:val="0"/>
      <w:marTop w:val="0"/>
      <w:marBottom w:val="0"/>
      <w:divBdr>
        <w:top w:val="none" w:sz="0" w:space="0" w:color="auto"/>
        <w:left w:val="none" w:sz="0" w:space="0" w:color="auto"/>
        <w:bottom w:val="none" w:sz="0" w:space="0" w:color="auto"/>
        <w:right w:val="none" w:sz="0" w:space="0" w:color="auto"/>
      </w:divBdr>
    </w:div>
    <w:div w:id="1490092984">
      <w:bodyDiv w:val="1"/>
      <w:marLeft w:val="0"/>
      <w:marRight w:val="0"/>
      <w:marTop w:val="0"/>
      <w:marBottom w:val="0"/>
      <w:divBdr>
        <w:top w:val="none" w:sz="0" w:space="0" w:color="auto"/>
        <w:left w:val="none" w:sz="0" w:space="0" w:color="auto"/>
        <w:bottom w:val="none" w:sz="0" w:space="0" w:color="auto"/>
        <w:right w:val="none" w:sz="0" w:space="0" w:color="auto"/>
      </w:divBdr>
    </w:div>
    <w:div w:id="1505631109">
      <w:bodyDiv w:val="1"/>
      <w:marLeft w:val="0"/>
      <w:marRight w:val="0"/>
      <w:marTop w:val="0"/>
      <w:marBottom w:val="0"/>
      <w:divBdr>
        <w:top w:val="none" w:sz="0" w:space="0" w:color="auto"/>
        <w:left w:val="none" w:sz="0" w:space="0" w:color="auto"/>
        <w:bottom w:val="none" w:sz="0" w:space="0" w:color="auto"/>
        <w:right w:val="none" w:sz="0" w:space="0" w:color="auto"/>
      </w:divBdr>
    </w:div>
    <w:div w:id="1599827452">
      <w:bodyDiv w:val="1"/>
      <w:marLeft w:val="0"/>
      <w:marRight w:val="0"/>
      <w:marTop w:val="0"/>
      <w:marBottom w:val="0"/>
      <w:divBdr>
        <w:top w:val="none" w:sz="0" w:space="0" w:color="auto"/>
        <w:left w:val="none" w:sz="0" w:space="0" w:color="auto"/>
        <w:bottom w:val="none" w:sz="0" w:space="0" w:color="auto"/>
        <w:right w:val="none" w:sz="0" w:space="0" w:color="auto"/>
      </w:divBdr>
    </w:div>
    <w:div w:id="1614945472">
      <w:bodyDiv w:val="1"/>
      <w:marLeft w:val="0"/>
      <w:marRight w:val="0"/>
      <w:marTop w:val="0"/>
      <w:marBottom w:val="0"/>
      <w:divBdr>
        <w:top w:val="none" w:sz="0" w:space="0" w:color="auto"/>
        <w:left w:val="none" w:sz="0" w:space="0" w:color="auto"/>
        <w:bottom w:val="none" w:sz="0" w:space="0" w:color="auto"/>
        <w:right w:val="none" w:sz="0" w:space="0" w:color="auto"/>
      </w:divBdr>
    </w:div>
    <w:div w:id="1692759786">
      <w:bodyDiv w:val="1"/>
      <w:marLeft w:val="0"/>
      <w:marRight w:val="0"/>
      <w:marTop w:val="0"/>
      <w:marBottom w:val="0"/>
      <w:divBdr>
        <w:top w:val="none" w:sz="0" w:space="0" w:color="auto"/>
        <w:left w:val="none" w:sz="0" w:space="0" w:color="auto"/>
        <w:bottom w:val="none" w:sz="0" w:space="0" w:color="auto"/>
        <w:right w:val="none" w:sz="0" w:space="0" w:color="auto"/>
      </w:divBdr>
    </w:div>
    <w:div w:id="1719547946">
      <w:bodyDiv w:val="1"/>
      <w:marLeft w:val="0"/>
      <w:marRight w:val="0"/>
      <w:marTop w:val="0"/>
      <w:marBottom w:val="0"/>
      <w:divBdr>
        <w:top w:val="none" w:sz="0" w:space="0" w:color="auto"/>
        <w:left w:val="none" w:sz="0" w:space="0" w:color="auto"/>
        <w:bottom w:val="none" w:sz="0" w:space="0" w:color="auto"/>
        <w:right w:val="none" w:sz="0" w:space="0" w:color="auto"/>
      </w:divBdr>
    </w:div>
    <w:div w:id="1732192549">
      <w:bodyDiv w:val="1"/>
      <w:marLeft w:val="0"/>
      <w:marRight w:val="0"/>
      <w:marTop w:val="0"/>
      <w:marBottom w:val="0"/>
      <w:divBdr>
        <w:top w:val="none" w:sz="0" w:space="0" w:color="auto"/>
        <w:left w:val="none" w:sz="0" w:space="0" w:color="auto"/>
        <w:bottom w:val="none" w:sz="0" w:space="0" w:color="auto"/>
        <w:right w:val="none" w:sz="0" w:space="0" w:color="auto"/>
      </w:divBdr>
    </w:div>
    <w:div w:id="1756004217">
      <w:bodyDiv w:val="1"/>
      <w:marLeft w:val="0"/>
      <w:marRight w:val="0"/>
      <w:marTop w:val="0"/>
      <w:marBottom w:val="0"/>
      <w:divBdr>
        <w:top w:val="none" w:sz="0" w:space="0" w:color="auto"/>
        <w:left w:val="none" w:sz="0" w:space="0" w:color="auto"/>
        <w:bottom w:val="none" w:sz="0" w:space="0" w:color="auto"/>
        <w:right w:val="none" w:sz="0" w:space="0" w:color="auto"/>
      </w:divBdr>
    </w:div>
    <w:div w:id="1804496832">
      <w:bodyDiv w:val="1"/>
      <w:marLeft w:val="0"/>
      <w:marRight w:val="0"/>
      <w:marTop w:val="0"/>
      <w:marBottom w:val="0"/>
      <w:divBdr>
        <w:top w:val="none" w:sz="0" w:space="0" w:color="auto"/>
        <w:left w:val="none" w:sz="0" w:space="0" w:color="auto"/>
        <w:bottom w:val="none" w:sz="0" w:space="0" w:color="auto"/>
        <w:right w:val="none" w:sz="0" w:space="0" w:color="auto"/>
      </w:divBdr>
    </w:div>
    <w:div w:id="1807430731">
      <w:bodyDiv w:val="1"/>
      <w:marLeft w:val="0"/>
      <w:marRight w:val="0"/>
      <w:marTop w:val="0"/>
      <w:marBottom w:val="0"/>
      <w:divBdr>
        <w:top w:val="none" w:sz="0" w:space="0" w:color="auto"/>
        <w:left w:val="none" w:sz="0" w:space="0" w:color="auto"/>
        <w:bottom w:val="none" w:sz="0" w:space="0" w:color="auto"/>
        <w:right w:val="none" w:sz="0" w:space="0" w:color="auto"/>
      </w:divBdr>
    </w:div>
    <w:div w:id="1857890750">
      <w:bodyDiv w:val="1"/>
      <w:marLeft w:val="0"/>
      <w:marRight w:val="0"/>
      <w:marTop w:val="0"/>
      <w:marBottom w:val="0"/>
      <w:divBdr>
        <w:top w:val="none" w:sz="0" w:space="0" w:color="auto"/>
        <w:left w:val="none" w:sz="0" w:space="0" w:color="auto"/>
        <w:bottom w:val="none" w:sz="0" w:space="0" w:color="auto"/>
        <w:right w:val="none" w:sz="0" w:space="0" w:color="auto"/>
      </w:divBdr>
    </w:div>
    <w:div w:id="1859270068">
      <w:bodyDiv w:val="1"/>
      <w:marLeft w:val="0"/>
      <w:marRight w:val="0"/>
      <w:marTop w:val="0"/>
      <w:marBottom w:val="0"/>
      <w:divBdr>
        <w:top w:val="none" w:sz="0" w:space="0" w:color="auto"/>
        <w:left w:val="none" w:sz="0" w:space="0" w:color="auto"/>
        <w:bottom w:val="none" w:sz="0" w:space="0" w:color="auto"/>
        <w:right w:val="none" w:sz="0" w:space="0" w:color="auto"/>
      </w:divBdr>
    </w:div>
    <w:div w:id="1962377087">
      <w:bodyDiv w:val="1"/>
      <w:marLeft w:val="0"/>
      <w:marRight w:val="0"/>
      <w:marTop w:val="0"/>
      <w:marBottom w:val="0"/>
      <w:divBdr>
        <w:top w:val="none" w:sz="0" w:space="0" w:color="auto"/>
        <w:left w:val="none" w:sz="0" w:space="0" w:color="auto"/>
        <w:bottom w:val="none" w:sz="0" w:space="0" w:color="auto"/>
        <w:right w:val="none" w:sz="0" w:space="0" w:color="auto"/>
      </w:divBdr>
    </w:div>
    <w:div w:id="1969892734">
      <w:bodyDiv w:val="1"/>
      <w:marLeft w:val="0"/>
      <w:marRight w:val="0"/>
      <w:marTop w:val="0"/>
      <w:marBottom w:val="0"/>
      <w:divBdr>
        <w:top w:val="none" w:sz="0" w:space="0" w:color="auto"/>
        <w:left w:val="none" w:sz="0" w:space="0" w:color="auto"/>
        <w:bottom w:val="none" w:sz="0" w:space="0" w:color="auto"/>
        <w:right w:val="none" w:sz="0" w:space="0" w:color="auto"/>
      </w:divBdr>
    </w:div>
    <w:div w:id="1991326687">
      <w:bodyDiv w:val="1"/>
      <w:marLeft w:val="0"/>
      <w:marRight w:val="0"/>
      <w:marTop w:val="0"/>
      <w:marBottom w:val="0"/>
      <w:divBdr>
        <w:top w:val="none" w:sz="0" w:space="0" w:color="auto"/>
        <w:left w:val="none" w:sz="0" w:space="0" w:color="auto"/>
        <w:bottom w:val="none" w:sz="0" w:space="0" w:color="auto"/>
        <w:right w:val="none" w:sz="0" w:space="0" w:color="auto"/>
      </w:divBdr>
    </w:div>
    <w:div w:id="2006780353">
      <w:bodyDiv w:val="1"/>
      <w:marLeft w:val="0"/>
      <w:marRight w:val="0"/>
      <w:marTop w:val="0"/>
      <w:marBottom w:val="0"/>
      <w:divBdr>
        <w:top w:val="none" w:sz="0" w:space="0" w:color="auto"/>
        <w:left w:val="none" w:sz="0" w:space="0" w:color="auto"/>
        <w:bottom w:val="none" w:sz="0" w:space="0" w:color="auto"/>
        <w:right w:val="none" w:sz="0" w:space="0" w:color="auto"/>
      </w:divBdr>
    </w:div>
    <w:div w:id="2008707102">
      <w:bodyDiv w:val="1"/>
      <w:marLeft w:val="0"/>
      <w:marRight w:val="0"/>
      <w:marTop w:val="0"/>
      <w:marBottom w:val="0"/>
      <w:divBdr>
        <w:top w:val="none" w:sz="0" w:space="0" w:color="auto"/>
        <w:left w:val="none" w:sz="0" w:space="0" w:color="auto"/>
        <w:bottom w:val="none" w:sz="0" w:space="0" w:color="auto"/>
        <w:right w:val="none" w:sz="0" w:space="0" w:color="auto"/>
      </w:divBdr>
    </w:div>
    <w:div w:id="2008944283">
      <w:bodyDiv w:val="1"/>
      <w:marLeft w:val="0"/>
      <w:marRight w:val="0"/>
      <w:marTop w:val="0"/>
      <w:marBottom w:val="0"/>
      <w:divBdr>
        <w:top w:val="none" w:sz="0" w:space="0" w:color="auto"/>
        <w:left w:val="none" w:sz="0" w:space="0" w:color="auto"/>
        <w:bottom w:val="none" w:sz="0" w:space="0" w:color="auto"/>
        <w:right w:val="none" w:sz="0" w:space="0" w:color="auto"/>
      </w:divBdr>
    </w:div>
    <w:div w:id="2029402421">
      <w:bodyDiv w:val="1"/>
      <w:marLeft w:val="0"/>
      <w:marRight w:val="0"/>
      <w:marTop w:val="0"/>
      <w:marBottom w:val="0"/>
      <w:divBdr>
        <w:top w:val="none" w:sz="0" w:space="0" w:color="auto"/>
        <w:left w:val="none" w:sz="0" w:space="0" w:color="auto"/>
        <w:bottom w:val="none" w:sz="0" w:space="0" w:color="auto"/>
        <w:right w:val="none" w:sz="0" w:space="0" w:color="auto"/>
      </w:divBdr>
    </w:div>
    <w:div w:id="2035231108">
      <w:bodyDiv w:val="1"/>
      <w:marLeft w:val="0"/>
      <w:marRight w:val="0"/>
      <w:marTop w:val="0"/>
      <w:marBottom w:val="0"/>
      <w:divBdr>
        <w:top w:val="none" w:sz="0" w:space="0" w:color="auto"/>
        <w:left w:val="none" w:sz="0" w:space="0" w:color="auto"/>
        <w:bottom w:val="none" w:sz="0" w:space="0" w:color="auto"/>
        <w:right w:val="none" w:sz="0" w:space="0" w:color="auto"/>
      </w:divBdr>
    </w:div>
    <w:div w:id="2049915123">
      <w:bodyDiv w:val="1"/>
      <w:marLeft w:val="0"/>
      <w:marRight w:val="0"/>
      <w:marTop w:val="0"/>
      <w:marBottom w:val="0"/>
      <w:divBdr>
        <w:top w:val="none" w:sz="0" w:space="0" w:color="auto"/>
        <w:left w:val="none" w:sz="0" w:space="0" w:color="auto"/>
        <w:bottom w:val="none" w:sz="0" w:space="0" w:color="auto"/>
        <w:right w:val="none" w:sz="0" w:space="0" w:color="auto"/>
      </w:divBdr>
    </w:div>
    <w:div w:id="21188629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emf"/><Relationship Id="rId18" Type="http://schemas.openxmlformats.org/officeDocument/2006/relationships/image" Target="media/image10.png"/><Relationship Id="rId19" Type="http://schemas.openxmlformats.org/officeDocument/2006/relationships/image" Target="media/image11.emf"/><Relationship Id="rId50" Type="http://schemas.openxmlformats.org/officeDocument/2006/relationships/image" Target="media/image41.(null)"/><Relationship Id="rId51" Type="http://schemas.openxmlformats.org/officeDocument/2006/relationships/image" Target="media/image42.(null)"/><Relationship Id="rId52" Type="http://schemas.openxmlformats.org/officeDocument/2006/relationships/image" Target="media/image43.(null)"/><Relationship Id="rId53" Type="http://schemas.openxmlformats.org/officeDocument/2006/relationships/image" Target="media/image44.(null)"/><Relationship Id="rId54" Type="http://schemas.openxmlformats.org/officeDocument/2006/relationships/hyperlink" Target="http://www.tumorfusions.org/" TargetMode="External"/><Relationship Id="rId55" Type="http://schemas.openxmlformats.org/officeDocument/2006/relationships/hyperlink" Target="http://cancer.sanger.ac.uk/cosmic/fusion" TargetMode="External"/><Relationship Id="rId56" Type="http://schemas.openxmlformats.org/officeDocument/2006/relationships/hyperlink" Target="https://CRAN.R-project.org/package=mclust" TargetMode="External"/><Relationship Id="rId57" Type="http://schemas.openxmlformats.org/officeDocument/2006/relationships/footer" Target="footer1.xml"/><Relationship Id="rId58" Type="http://schemas.openxmlformats.org/officeDocument/2006/relationships/footer" Target="footer2.xml"/><Relationship Id="rId59" Type="http://schemas.openxmlformats.org/officeDocument/2006/relationships/fontTable" Target="fontTable.xml"/><Relationship Id="rId40" Type="http://schemas.openxmlformats.org/officeDocument/2006/relationships/image" Target="media/image31.emf"/><Relationship Id="rId41" Type="http://schemas.openxmlformats.org/officeDocument/2006/relationships/image" Target="media/image32.emf"/><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emf"/><Relationship Id="rId45" Type="http://schemas.openxmlformats.org/officeDocument/2006/relationships/image" Target="media/image36.png"/><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jpe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emf"/><Relationship Id="rId39" Type="http://schemas.openxmlformats.org/officeDocument/2006/relationships/image" Target="media/image30.jpeg"/><Relationship Id="rId20" Type="http://schemas.openxmlformats.org/officeDocument/2006/relationships/hyperlink" Target="https://www.ibm.com/software/commerce/optimization/cplex-optimizer/" TargetMode="External"/><Relationship Id="rId21" Type="http://schemas.openxmlformats.org/officeDocument/2006/relationships/image" Target="media/image12.emf"/><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60"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b:Source>
    <b:Tag>car</b:Tag>
    <b:SourceType>Book</b:SourceType>
    <b:Guid>{F127EF3F-A151-6D46-BBAF-1A6B3BB3E1A7}</b:Guid>
    <b:Author>
      <b:Author>
        <b:NameList>
          <b:Person>
            <b:Last>carter</b:Last>
          </b:Person>
        </b:NameList>
      </b:Author>
    </b:Author>
    <b:RefOrder>1</b:RefOrder>
  </b:Source>
</b:Sources>
</file>

<file path=customXml/item2.xml><?xml version="1.0" encoding="utf-8"?>
<b:Sources xmlns:b="http://schemas.openxmlformats.org/officeDocument/2006/bibliography" xmlns="http://schemas.openxmlformats.org/officeDocument/2006/bibliography" SelectedStyle="/APASixthEditionOfficeOnline.xsl" StyleName="APA">
  <b:Source>
    <b:Tag>car</b:Tag>
    <b:SourceType>Book</b:SourceType>
    <b:Guid>{F127EF3F-A151-6D46-BBAF-1A6B3BB3E1A7}</b:Guid>
    <b:Author>
      <b:Author>
        <b:NameList>
          <b:Person>
            <b:Last>carter</b:Last>
          </b:Person>
        </b:NameList>
      </b:Author>
    </b:Author>
    <b:RefOrder>1</b:RefOrder>
  </b:Source>
</b:Sources>
</file>

<file path=customXml/itemProps1.xml><?xml version="1.0" encoding="utf-8"?>
<ds:datastoreItem xmlns:ds="http://schemas.openxmlformats.org/officeDocument/2006/customXml" ds:itemID="{B97359EE-E964-A34A-B7D3-0F4C8EC181F9}">
  <ds:schemaRefs>
    <ds:schemaRef ds:uri="http://schemas.openxmlformats.org/officeDocument/2006/bibliography"/>
  </ds:schemaRefs>
</ds:datastoreItem>
</file>

<file path=customXml/itemProps2.xml><?xml version="1.0" encoding="utf-8"?>
<ds:datastoreItem xmlns:ds="http://schemas.openxmlformats.org/officeDocument/2006/customXml" ds:itemID="{559C52ED-B108-624C-A0A6-2709BB861A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97</Pages>
  <Words>39448</Words>
  <Characters>224857</Characters>
  <Application>Microsoft Macintosh Word</Application>
  <DocSecurity>0</DocSecurity>
  <Lines>1873</Lines>
  <Paragraphs>527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263778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Wedge</dc:creator>
  <cp:keywords/>
  <dc:description/>
  <cp:lastModifiedBy>Stefan Christiaan Dentro</cp:lastModifiedBy>
  <cp:revision>23</cp:revision>
  <cp:lastPrinted>2018-04-30T16:26:00Z</cp:lastPrinted>
  <dcterms:created xsi:type="dcterms:W3CDTF">2018-07-09T22:50:00Z</dcterms:created>
  <dcterms:modified xsi:type="dcterms:W3CDTF">2018-07-13T09:50:00Z</dcterms:modified>
</cp:coreProperties>
</file>