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E5" w:rsidRPr="002733EE" w:rsidRDefault="00377CE5" w:rsidP="002733EE">
      <w:pPr>
        <w:rPr>
          <w:rFonts w:ascii="Times New Roman" w:hAnsi="Times New Roman" w:cs="Times New Roman"/>
          <w:b/>
          <w:i/>
          <w:sz w:val="20"/>
          <w:szCs w:val="20"/>
          <w:lang w:val="en-GB"/>
        </w:rPr>
      </w:pPr>
      <w:r w:rsidRPr="00C57EEB">
        <w:rPr>
          <w:rFonts w:ascii="Times New Roman" w:hAnsi="Times New Roman" w:cs="Times New Roman"/>
          <w:b/>
          <w:i/>
          <w:sz w:val="20"/>
          <w:szCs w:val="20"/>
          <w:lang w:val="en-GB"/>
        </w:rPr>
        <w:t>Supplemental Experimental Procedure</w:t>
      </w:r>
    </w:p>
    <w:p w:rsidR="00377CE5" w:rsidRPr="00C57EEB" w:rsidRDefault="00377CE5" w:rsidP="00377CE5">
      <w:pPr>
        <w:spacing w:before="120"/>
        <w:rPr>
          <w:rFonts w:ascii="Times New Roman" w:hAnsi="Times New Roman" w:cs="Times New Roman"/>
          <w:i/>
          <w:sz w:val="20"/>
          <w:szCs w:val="20"/>
          <w:lang w:val="en-GB"/>
        </w:rPr>
      </w:pPr>
      <w:r w:rsidRPr="00C57EEB">
        <w:rPr>
          <w:rFonts w:ascii="Times New Roman" w:hAnsi="Times New Roman" w:cs="Times New Roman"/>
          <w:i/>
          <w:sz w:val="20"/>
          <w:szCs w:val="20"/>
          <w:lang w:val="en-GB"/>
        </w:rPr>
        <w:t>RNA extraction and reverse transcription</w:t>
      </w:r>
    </w:p>
    <w:p w:rsidR="00377CE5" w:rsidRPr="00C57EEB" w:rsidRDefault="00377CE5" w:rsidP="00377CE5">
      <w:pPr>
        <w:jc w:val="both"/>
        <w:rPr>
          <w:rFonts w:ascii="Times New Roman" w:hAnsi="Times New Roman" w:cs="Times New Roman"/>
          <w:i/>
          <w:sz w:val="20"/>
          <w:szCs w:val="20"/>
          <w:lang w:val="en-GB"/>
        </w:rPr>
      </w:pPr>
      <w:r w:rsidRPr="00C57EEB">
        <w:rPr>
          <w:rFonts w:ascii="Times New Roman" w:hAnsi="Times New Roman" w:cs="Times New Roman"/>
          <w:sz w:val="20"/>
          <w:szCs w:val="20"/>
          <w:lang w:val="en-GB"/>
        </w:rPr>
        <w:t>RNA was extracted from 30 mg of muscle tissue using the RNeasy Fibrous Tissue Mini Kit (</w:t>
      </w:r>
      <w:proofErr w:type="spellStart"/>
      <w:r w:rsidRPr="00C57EEB">
        <w:rPr>
          <w:rFonts w:ascii="Times New Roman" w:hAnsi="Times New Roman" w:cs="Times New Roman"/>
          <w:sz w:val="20"/>
          <w:szCs w:val="20"/>
          <w:lang w:val="en-GB"/>
        </w:rPr>
        <w:t>Qiagen</w:t>
      </w:r>
      <w:proofErr w:type="spellEnd"/>
      <w:r w:rsidRPr="00C57EEB">
        <w:rPr>
          <w:rFonts w:ascii="Times New Roman" w:hAnsi="Times New Roman" w:cs="Times New Roman"/>
          <w:sz w:val="20"/>
          <w:szCs w:val="20"/>
          <w:lang w:val="en-GB"/>
        </w:rPr>
        <w:t xml:space="preserve">, Hilden, Germany) according to the manufacturer’s instructions and included a genomic DNA removal step with </w:t>
      </w:r>
      <w:proofErr w:type="spellStart"/>
      <w:r w:rsidRPr="00C57EEB">
        <w:rPr>
          <w:rFonts w:ascii="Times New Roman" w:hAnsi="Times New Roman" w:cs="Times New Roman"/>
          <w:i/>
          <w:sz w:val="20"/>
          <w:szCs w:val="20"/>
          <w:lang w:val="en-GB"/>
        </w:rPr>
        <w:t>DNaseI</w:t>
      </w:r>
      <w:proofErr w:type="spellEnd"/>
      <w:r w:rsidRPr="00C57EEB">
        <w:rPr>
          <w:rFonts w:ascii="Times New Roman" w:hAnsi="Times New Roman" w:cs="Times New Roman"/>
          <w:sz w:val="20"/>
          <w:szCs w:val="20"/>
          <w:lang w:val="en-GB"/>
        </w:rPr>
        <w:t xml:space="preserve">. RNA quantity and quality was determined with </w:t>
      </w:r>
      <w:proofErr w:type="spellStart"/>
      <w:r w:rsidRPr="00C57EEB">
        <w:rPr>
          <w:rFonts w:ascii="Times New Roman" w:hAnsi="Times New Roman" w:cs="Times New Roman"/>
          <w:sz w:val="20"/>
          <w:szCs w:val="20"/>
          <w:lang w:val="en-GB"/>
        </w:rPr>
        <w:t>Nanodrop</w:t>
      </w:r>
      <w:proofErr w:type="spellEnd"/>
      <w:r w:rsidRPr="00C57EEB">
        <w:rPr>
          <w:rFonts w:ascii="Times New Roman" w:hAnsi="Times New Roman" w:cs="Times New Roman"/>
          <w:sz w:val="20"/>
          <w:szCs w:val="20"/>
          <w:lang w:val="en-GB"/>
        </w:rPr>
        <w:t xml:space="preserve"> 2000c (PEQLAB </w:t>
      </w:r>
      <w:proofErr w:type="spellStart"/>
      <w:r w:rsidRPr="00C57EEB">
        <w:rPr>
          <w:rFonts w:ascii="Times New Roman" w:hAnsi="Times New Roman" w:cs="Times New Roman"/>
          <w:sz w:val="20"/>
          <w:szCs w:val="20"/>
          <w:lang w:val="en-GB"/>
        </w:rPr>
        <w:t>Biotechnologie</w:t>
      </w:r>
      <w:proofErr w:type="spellEnd"/>
      <w:r w:rsidRPr="00C57EEB">
        <w:rPr>
          <w:rFonts w:ascii="Times New Roman" w:hAnsi="Times New Roman" w:cs="Times New Roman"/>
          <w:sz w:val="20"/>
          <w:szCs w:val="20"/>
          <w:lang w:val="en-GB"/>
        </w:rPr>
        <w:t xml:space="preserve"> GmbH, Erlangen, Germany) with further quality control of the extracted RNA via electrophoresis on a 1% agarose gel (</w:t>
      </w:r>
      <w:proofErr w:type="spellStart"/>
      <w:r w:rsidRPr="00C57EEB">
        <w:rPr>
          <w:rFonts w:ascii="Times New Roman" w:hAnsi="Times New Roman" w:cs="Times New Roman"/>
          <w:sz w:val="20"/>
          <w:szCs w:val="20"/>
          <w:lang w:val="en-GB"/>
        </w:rPr>
        <w:t>peqGOLD</w:t>
      </w:r>
      <w:proofErr w:type="spellEnd"/>
      <w:r w:rsidRPr="00C57EEB">
        <w:rPr>
          <w:rFonts w:ascii="Times New Roman" w:hAnsi="Times New Roman" w:cs="Times New Roman"/>
          <w:sz w:val="20"/>
          <w:szCs w:val="20"/>
          <w:lang w:val="en-GB"/>
        </w:rPr>
        <w:t xml:space="preserve"> Universal Agarose, PEQLAB). For cDNA synthesis, 1 µg of RNA was reverse-transcribed with </w:t>
      </w:r>
      <w:proofErr w:type="spellStart"/>
      <w:r w:rsidRPr="00C57EEB">
        <w:rPr>
          <w:rFonts w:ascii="Times New Roman" w:hAnsi="Times New Roman" w:cs="Times New Roman"/>
          <w:sz w:val="20"/>
          <w:szCs w:val="20"/>
          <w:lang w:val="en-GB"/>
        </w:rPr>
        <w:t>MultiScribe</w:t>
      </w:r>
      <w:proofErr w:type="spellEnd"/>
      <w:r w:rsidRPr="00C57EEB">
        <w:rPr>
          <w:rFonts w:ascii="Times New Roman" w:hAnsi="Times New Roman" w:cs="Times New Roman"/>
          <w:sz w:val="20"/>
          <w:szCs w:val="20"/>
          <w:lang w:val="en-GB"/>
        </w:rPr>
        <w:t xml:space="preserve">™ Reverse Transcriptase (High Capacity cDNA Reverse Transcription Kits, </w:t>
      </w:r>
      <w:proofErr w:type="spellStart"/>
      <w:r w:rsidRPr="00C57EEB">
        <w:rPr>
          <w:rFonts w:ascii="Times New Roman" w:hAnsi="Times New Roman" w:cs="Times New Roman"/>
          <w:sz w:val="20"/>
          <w:szCs w:val="20"/>
          <w:lang w:val="en-GB"/>
        </w:rPr>
        <w:t>ThermoFisher</w:t>
      </w:r>
      <w:proofErr w:type="spellEnd"/>
      <w:r w:rsidRPr="00C57EEB">
        <w:rPr>
          <w:rFonts w:ascii="Times New Roman" w:hAnsi="Times New Roman" w:cs="Times New Roman"/>
          <w:sz w:val="20"/>
          <w:szCs w:val="20"/>
          <w:lang w:val="en-GB"/>
        </w:rPr>
        <w:t xml:space="preserve"> Scientific) using random hexamer primers.</w:t>
      </w:r>
    </w:p>
    <w:p w:rsidR="00377CE5" w:rsidRPr="00C57EEB" w:rsidRDefault="00377CE5" w:rsidP="00377CE5">
      <w:pPr>
        <w:spacing w:before="120"/>
        <w:jc w:val="both"/>
        <w:rPr>
          <w:rFonts w:ascii="Times New Roman" w:hAnsi="Times New Roman" w:cs="Times New Roman"/>
          <w:i/>
          <w:sz w:val="20"/>
          <w:szCs w:val="20"/>
          <w:lang w:val="en-GB"/>
        </w:rPr>
      </w:pPr>
      <w:r w:rsidRPr="00C57EEB">
        <w:rPr>
          <w:rFonts w:ascii="Times New Roman" w:hAnsi="Times New Roman" w:cs="Times New Roman"/>
          <w:i/>
          <w:sz w:val="20"/>
          <w:szCs w:val="20"/>
          <w:lang w:val="en-GB"/>
        </w:rPr>
        <w:t>Primer and probe design</w:t>
      </w:r>
    </w:p>
    <w:p w:rsidR="00377CE5" w:rsidRPr="00C57EEB" w:rsidRDefault="00377CE5" w:rsidP="00377CE5">
      <w:pPr>
        <w:jc w:val="both"/>
        <w:rPr>
          <w:rFonts w:ascii="Times New Roman" w:hAnsi="Times New Roman" w:cs="Times New Roman"/>
          <w:sz w:val="20"/>
          <w:szCs w:val="20"/>
          <w:lang w:val="en-GB"/>
        </w:rPr>
      </w:pPr>
      <w:r w:rsidRPr="00C57EEB">
        <w:rPr>
          <w:rFonts w:ascii="Times New Roman" w:hAnsi="Times New Roman" w:cs="Times New Roman"/>
          <w:sz w:val="20"/>
          <w:szCs w:val="20"/>
          <w:lang w:val="en-GB"/>
        </w:rPr>
        <w:t xml:space="preserve">Primer sequences for the target gene, </w:t>
      </w:r>
      <w:r w:rsidR="00D26C9C">
        <w:rPr>
          <w:rFonts w:ascii="Times New Roman" w:hAnsi="Times New Roman" w:cs="Times New Roman"/>
          <w:sz w:val="20"/>
          <w:szCs w:val="20"/>
          <w:lang w:val="en-GB"/>
        </w:rPr>
        <w:t>sarcolipin (</w:t>
      </w:r>
      <w:r w:rsidRPr="00C57EEB">
        <w:rPr>
          <w:rFonts w:ascii="Times New Roman" w:hAnsi="Times New Roman" w:cs="Times New Roman"/>
          <w:sz w:val="20"/>
          <w:szCs w:val="20"/>
          <w:lang w:val="en-GB"/>
        </w:rPr>
        <w:t>SLN</w:t>
      </w:r>
      <w:r w:rsidR="00D26C9C">
        <w:rPr>
          <w:rFonts w:ascii="Times New Roman" w:hAnsi="Times New Roman" w:cs="Times New Roman"/>
          <w:sz w:val="20"/>
          <w:szCs w:val="20"/>
          <w:lang w:val="en-GB"/>
        </w:rPr>
        <w:t>)</w:t>
      </w:r>
      <w:r w:rsidRPr="00C57EEB">
        <w:rPr>
          <w:rFonts w:ascii="Times New Roman" w:hAnsi="Times New Roman" w:cs="Times New Roman"/>
          <w:sz w:val="20"/>
          <w:szCs w:val="20"/>
          <w:lang w:val="en-GB"/>
        </w:rPr>
        <w:t xml:space="preserve">, were available from </w:t>
      </w:r>
      <w:proofErr w:type="spellStart"/>
      <w:r w:rsidRPr="00C57EEB">
        <w:rPr>
          <w:rFonts w:ascii="Times New Roman" w:hAnsi="Times New Roman" w:cs="Times New Roman"/>
          <w:sz w:val="20"/>
          <w:szCs w:val="20"/>
          <w:lang w:val="en-GB"/>
        </w:rPr>
        <w:t>Vangheluwe</w:t>
      </w:r>
      <w:proofErr w:type="spellEnd"/>
      <w:r w:rsidRPr="00C57EEB">
        <w:rPr>
          <w:rFonts w:ascii="Times New Roman" w:hAnsi="Times New Roman" w:cs="Times New Roman"/>
          <w:sz w:val="20"/>
          <w:szCs w:val="20"/>
          <w:lang w:val="en-GB"/>
        </w:rPr>
        <w:t xml:space="preserve"> </w:t>
      </w:r>
      <w:r w:rsidRPr="00C57EEB">
        <w:rPr>
          <w:rFonts w:ascii="Times New Roman" w:hAnsi="Times New Roman" w:cs="Times New Roman"/>
          <w:i/>
          <w:sz w:val="20"/>
          <w:szCs w:val="20"/>
          <w:lang w:val="en-GB"/>
        </w:rPr>
        <w:t>et al.</w:t>
      </w:r>
      <w:r w:rsidRPr="00C57EEB">
        <w:rPr>
          <w:rFonts w:ascii="Times New Roman" w:hAnsi="Times New Roman" w:cs="Times New Roman"/>
          <w:sz w:val="20"/>
          <w:szCs w:val="20"/>
          <w:lang w:val="en-GB"/>
        </w:rPr>
        <w:t xml:space="preserve"> (2005) and were checked against the reference mRNA sequence from NCBI (NM_001044566.2). No primer sequence was available for </w:t>
      </w:r>
      <w:r w:rsidR="009A0FE0">
        <w:rPr>
          <w:rFonts w:ascii="Times New Roman" w:hAnsi="Times New Roman" w:cs="Times New Roman"/>
          <w:sz w:val="20"/>
          <w:szCs w:val="20"/>
          <w:lang w:val="en-GB"/>
        </w:rPr>
        <w:t>the sarcoplasm</w:t>
      </w:r>
      <w:r w:rsidR="00D26C9C">
        <w:rPr>
          <w:rFonts w:ascii="Times New Roman" w:hAnsi="Times New Roman" w:cs="Times New Roman"/>
          <w:sz w:val="20"/>
          <w:szCs w:val="20"/>
          <w:lang w:val="en-GB"/>
        </w:rPr>
        <w:t>ic reticulum Ca</w:t>
      </w:r>
      <w:r w:rsidR="00D26C9C" w:rsidRPr="00D26C9C">
        <w:rPr>
          <w:rFonts w:ascii="Times New Roman" w:hAnsi="Times New Roman" w:cs="Times New Roman"/>
          <w:sz w:val="20"/>
          <w:szCs w:val="20"/>
          <w:vertAlign w:val="superscript"/>
          <w:lang w:val="en-GB"/>
        </w:rPr>
        <w:t>2+</w:t>
      </w:r>
      <w:r w:rsidR="00D26C9C">
        <w:rPr>
          <w:rFonts w:ascii="Times New Roman" w:hAnsi="Times New Roman" w:cs="Times New Roman"/>
          <w:sz w:val="20"/>
          <w:szCs w:val="20"/>
          <w:lang w:val="en-GB"/>
        </w:rPr>
        <w:t>-ATPase (</w:t>
      </w:r>
      <w:r w:rsidRPr="00C57EEB">
        <w:rPr>
          <w:rFonts w:ascii="Times New Roman" w:hAnsi="Times New Roman" w:cs="Times New Roman"/>
          <w:sz w:val="20"/>
          <w:szCs w:val="20"/>
          <w:lang w:val="en-GB"/>
        </w:rPr>
        <w:t>SERCA</w:t>
      </w:r>
      <w:r w:rsidR="00D26C9C">
        <w:rPr>
          <w:rFonts w:ascii="Times New Roman" w:hAnsi="Times New Roman" w:cs="Times New Roman"/>
          <w:sz w:val="20"/>
          <w:szCs w:val="20"/>
          <w:lang w:val="en-GB"/>
        </w:rPr>
        <w:t>)</w:t>
      </w:r>
      <w:r w:rsidRPr="00C57EEB">
        <w:rPr>
          <w:rFonts w:ascii="Times New Roman" w:hAnsi="Times New Roman" w:cs="Times New Roman"/>
          <w:sz w:val="20"/>
          <w:szCs w:val="20"/>
          <w:lang w:val="en-GB"/>
        </w:rPr>
        <w:t>1a</w:t>
      </w:r>
      <w:r w:rsidR="00D26C9C">
        <w:rPr>
          <w:rFonts w:ascii="Times New Roman" w:hAnsi="Times New Roman" w:cs="Times New Roman"/>
          <w:sz w:val="20"/>
          <w:szCs w:val="20"/>
          <w:lang w:val="en-GB"/>
        </w:rPr>
        <w:t>,</w:t>
      </w:r>
      <w:r w:rsidRPr="00C57EEB">
        <w:rPr>
          <w:rFonts w:ascii="Times New Roman" w:hAnsi="Times New Roman" w:cs="Times New Roman"/>
          <w:sz w:val="20"/>
          <w:szCs w:val="20"/>
          <w:lang w:val="en-GB"/>
        </w:rPr>
        <w:t xml:space="preserve"> so we designed suitable primers from the reference sequence NM_001204393.1 with the assistance of the NCBI primer design tool (Ye </w:t>
      </w:r>
      <w:r w:rsidRPr="00C57EEB">
        <w:rPr>
          <w:rFonts w:ascii="Times New Roman" w:hAnsi="Times New Roman" w:cs="Times New Roman"/>
          <w:i/>
          <w:sz w:val="20"/>
          <w:szCs w:val="20"/>
          <w:lang w:val="en-GB"/>
        </w:rPr>
        <w:t>et al.</w:t>
      </w:r>
      <w:r w:rsidRPr="00C57EEB">
        <w:rPr>
          <w:rFonts w:ascii="Times New Roman" w:hAnsi="Times New Roman" w:cs="Times New Roman"/>
          <w:sz w:val="20"/>
          <w:szCs w:val="20"/>
          <w:lang w:val="en-GB"/>
        </w:rPr>
        <w:t xml:space="preserve"> 2012). Primers for candidate reference genes </w:t>
      </w:r>
      <w:r w:rsidRPr="00C57EEB">
        <w:rPr>
          <w:rFonts w:ascii="Times New Roman" w:hAnsi="Times New Roman" w:cs="Times New Roman"/>
          <w:i/>
          <w:sz w:val="20"/>
          <w:szCs w:val="20"/>
          <w:lang w:val="en-GB"/>
        </w:rPr>
        <w:t xml:space="preserve">Hypoxanthine </w:t>
      </w:r>
      <w:proofErr w:type="spellStart"/>
      <w:r w:rsidRPr="00C57EEB">
        <w:rPr>
          <w:rFonts w:ascii="Times New Roman" w:hAnsi="Times New Roman" w:cs="Times New Roman"/>
          <w:i/>
          <w:sz w:val="20"/>
          <w:szCs w:val="20"/>
          <w:lang w:val="en-GB"/>
        </w:rPr>
        <w:t>Phosphoribosyltransferase</w:t>
      </w:r>
      <w:proofErr w:type="spellEnd"/>
      <w:r w:rsidRPr="00C57EEB">
        <w:rPr>
          <w:rFonts w:ascii="Times New Roman" w:hAnsi="Times New Roman" w:cs="Times New Roman"/>
          <w:i/>
          <w:sz w:val="20"/>
          <w:szCs w:val="20"/>
          <w:lang w:val="en-GB"/>
        </w:rPr>
        <w:t xml:space="preserve"> 1 (HPRT1)</w:t>
      </w:r>
      <w:r w:rsidRPr="00C57EEB">
        <w:rPr>
          <w:rFonts w:ascii="Times New Roman" w:hAnsi="Times New Roman" w:cs="Times New Roman"/>
          <w:sz w:val="20"/>
          <w:szCs w:val="20"/>
          <w:lang w:val="en-GB"/>
        </w:rPr>
        <w:t xml:space="preserve"> and </w:t>
      </w:r>
      <w:proofErr w:type="spellStart"/>
      <w:r w:rsidRPr="00C57EEB">
        <w:rPr>
          <w:rFonts w:ascii="Times New Roman" w:hAnsi="Times New Roman" w:cs="Times New Roman"/>
          <w:i/>
          <w:sz w:val="20"/>
          <w:szCs w:val="20"/>
          <w:lang w:val="en-GB"/>
        </w:rPr>
        <w:t>Glucuronidase</w:t>
      </w:r>
      <w:proofErr w:type="spellEnd"/>
      <w:r w:rsidRPr="00C57EEB">
        <w:rPr>
          <w:rFonts w:ascii="Times New Roman" w:hAnsi="Times New Roman" w:cs="Times New Roman"/>
          <w:i/>
          <w:sz w:val="20"/>
          <w:szCs w:val="20"/>
          <w:lang w:val="en-GB"/>
        </w:rPr>
        <w:t xml:space="preserve"> Beta (GUSB)</w:t>
      </w:r>
      <w:r w:rsidRPr="00C57EEB">
        <w:rPr>
          <w:rFonts w:ascii="Times New Roman" w:hAnsi="Times New Roman" w:cs="Times New Roman"/>
          <w:sz w:val="20"/>
          <w:szCs w:val="20"/>
          <w:lang w:val="en-GB"/>
        </w:rPr>
        <w:t xml:space="preserve"> were available from </w:t>
      </w:r>
      <w:proofErr w:type="spellStart"/>
      <w:r w:rsidRPr="00C57EEB">
        <w:rPr>
          <w:rFonts w:ascii="Times New Roman" w:hAnsi="Times New Roman" w:cs="Times New Roman"/>
          <w:sz w:val="20"/>
          <w:szCs w:val="20"/>
          <w:lang w:val="en-GB"/>
        </w:rPr>
        <w:t>Charron</w:t>
      </w:r>
      <w:proofErr w:type="spellEnd"/>
      <w:r w:rsidRPr="00C57EEB">
        <w:rPr>
          <w:rFonts w:ascii="Times New Roman" w:hAnsi="Times New Roman" w:cs="Times New Roman"/>
          <w:sz w:val="20"/>
          <w:szCs w:val="20"/>
          <w:lang w:val="en-GB"/>
        </w:rPr>
        <w:t xml:space="preserve"> et al. (2015) and were checked against the NCBI reference sequences (NM_001032376.2 and NM_001123121.1 respectively). Primers were aligned by eye using </w:t>
      </w:r>
      <w:proofErr w:type="spellStart"/>
      <w:r w:rsidRPr="00C57EEB">
        <w:rPr>
          <w:rFonts w:ascii="Times New Roman" w:hAnsi="Times New Roman" w:cs="Times New Roman"/>
          <w:sz w:val="20"/>
          <w:szCs w:val="20"/>
          <w:lang w:val="en-GB"/>
        </w:rPr>
        <w:t>BioEdit</w:t>
      </w:r>
      <w:proofErr w:type="spellEnd"/>
      <w:r w:rsidRPr="00C57EEB">
        <w:rPr>
          <w:rFonts w:ascii="Times New Roman" w:hAnsi="Times New Roman" w:cs="Times New Roman"/>
          <w:sz w:val="20"/>
          <w:szCs w:val="20"/>
          <w:lang w:val="en-GB"/>
        </w:rPr>
        <w:t xml:space="preserve"> Sequence Alignment Editor </w:t>
      </w:r>
      <w:r w:rsidRPr="00C57EEB">
        <w:rPr>
          <w:rFonts w:ascii="Times New Roman" w:hAnsi="Times New Roman" w:cs="Times New Roman"/>
          <w:sz w:val="20"/>
          <w:szCs w:val="20"/>
          <w:lang w:val="en-GB"/>
        </w:rPr>
        <w:fldChar w:fldCharType="begin"/>
      </w:r>
      <w:r w:rsidR="00C57EEB" w:rsidRPr="00C57EEB">
        <w:rPr>
          <w:rFonts w:ascii="Times New Roman" w:hAnsi="Times New Roman" w:cs="Times New Roman"/>
          <w:sz w:val="20"/>
          <w:szCs w:val="20"/>
          <w:lang w:val="en-GB"/>
        </w:rPr>
        <w:instrText xml:space="preserve"> ADDIN EN.CITE &lt;EndNote&gt;&lt;Cite&gt;&lt;Author&gt;Hall&lt;/Author&gt;&lt;Year&gt;1999&lt;/Year&gt;&lt;RecNum&gt;1099&lt;/RecNum&gt;&lt;DisplayText&gt;[1]&lt;/DisplayText&gt;&lt;record&gt;&lt;rec-number&gt;1099&lt;/rec-number&gt;&lt;foreign-keys&gt;&lt;key app="EN" db-id="x0vp0esr8rxra5eavt4xad9qfae2rpzwt5rz" timestamp="1517389110"&gt;1099&lt;/key&gt;&lt;/foreign-keys&gt;&lt;ref-type name="Journal Article"&gt;17&lt;/ref-type&gt;&lt;contributors&gt;&lt;authors&gt;&lt;author&gt;Hall, TA&lt;/author&gt;&lt;/authors&gt;&lt;/contributors&gt;&lt;titles&gt;&lt;title&gt;A user-friendly biological sequence alignment editor and analysis program for Windows 95/98/NT&lt;/title&gt;&lt;secondary-title&gt;Nucl Acids Symp Ser&lt;/secondary-title&gt;&lt;/titles&gt;&lt;periodical&gt;&lt;full-title&gt;Nucl Acids Symp Ser&lt;/full-title&gt;&lt;/periodical&gt;&lt;pages&gt;95-98&lt;/pages&gt;&lt;volume&gt;41&lt;/volume&gt;&lt;dates&gt;&lt;year&gt;1999&lt;/year&gt;&lt;/dates&gt;&lt;urls&gt;&lt;/urls&gt;&lt;/record&gt;&lt;/Cite&gt;&lt;/EndNote&gt;</w:instrText>
      </w:r>
      <w:r w:rsidRPr="00C57EEB">
        <w:rPr>
          <w:rFonts w:ascii="Times New Roman" w:hAnsi="Times New Roman" w:cs="Times New Roman"/>
          <w:sz w:val="20"/>
          <w:szCs w:val="20"/>
          <w:lang w:val="en-GB"/>
        </w:rPr>
        <w:fldChar w:fldCharType="separate"/>
      </w:r>
      <w:r w:rsidR="00C57EEB" w:rsidRPr="00C57EEB">
        <w:rPr>
          <w:rFonts w:ascii="Times New Roman" w:hAnsi="Times New Roman" w:cs="Times New Roman"/>
          <w:noProof/>
          <w:sz w:val="20"/>
          <w:szCs w:val="20"/>
          <w:lang w:val="en-GB"/>
        </w:rPr>
        <w:t>[1]</w:t>
      </w:r>
      <w:r w:rsidRPr="00C57EEB">
        <w:rPr>
          <w:rFonts w:ascii="Times New Roman" w:hAnsi="Times New Roman" w:cs="Times New Roman"/>
          <w:sz w:val="20"/>
          <w:szCs w:val="20"/>
          <w:lang w:val="en-GB"/>
        </w:rPr>
        <w:fldChar w:fldCharType="end"/>
      </w:r>
      <w:r w:rsidRPr="00C57EEB">
        <w:rPr>
          <w:rFonts w:ascii="Times New Roman" w:hAnsi="Times New Roman" w:cs="Times New Roman"/>
          <w:sz w:val="20"/>
          <w:szCs w:val="20"/>
          <w:lang w:val="en-GB"/>
        </w:rPr>
        <w:t xml:space="preserve"> and their annealing properties and secondary structures were assessed with </w:t>
      </w:r>
      <w:proofErr w:type="spellStart"/>
      <w:r w:rsidRPr="00C57EEB">
        <w:rPr>
          <w:rFonts w:ascii="Times New Roman" w:hAnsi="Times New Roman" w:cs="Times New Roman"/>
          <w:sz w:val="20"/>
          <w:szCs w:val="20"/>
          <w:lang w:val="en-GB"/>
        </w:rPr>
        <w:t>NetPrimer</w:t>
      </w:r>
      <w:proofErr w:type="spellEnd"/>
      <w:r w:rsidRPr="00C57EEB">
        <w:rPr>
          <w:rFonts w:ascii="Times New Roman" w:hAnsi="Times New Roman" w:cs="Times New Roman"/>
          <w:sz w:val="20"/>
          <w:szCs w:val="20"/>
          <w:lang w:val="en-GB"/>
        </w:rPr>
        <w:t xml:space="preserve"> (Premier </w:t>
      </w:r>
      <w:proofErr w:type="spellStart"/>
      <w:r w:rsidRPr="00C57EEB">
        <w:rPr>
          <w:rFonts w:ascii="Times New Roman" w:hAnsi="Times New Roman" w:cs="Times New Roman"/>
          <w:sz w:val="20"/>
          <w:szCs w:val="20"/>
          <w:lang w:val="en-GB"/>
        </w:rPr>
        <w:t>BioSoft</w:t>
      </w:r>
      <w:proofErr w:type="spellEnd"/>
      <w:r w:rsidRPr="00C57EEB">
        <w:rPr>
          <w:rFonts w:ascii="Times New Roman" w:hAnsi="Times New Roman" w:cs="Times New Roman"/>
          <w:sz w:val="20"/>
          <w:szCs w:val="20"/>
          <w:lang w:val="en-GB"/>
        </w:rPr>
        <w:t xml:space="preserve">). Probe design was performed with the assistance of the </w:t>
      </w:r>
      <w:proofErr w:type="spellStart"/>
      <w:r w:rsidRPr="00C57EEB">
        <w:rPr>
          <w:rFonts w:ascii="Times New Roman" w:hAnsi="Times New Roman" w:cs="Times New Roman"/>
          <w:sz w:val="20"/>
          <w:szCs w:val="20"/>
          <w:lang w:val="en-GB"/>
        </w:rPr>
        <w:t>PrimerQuest</w:t>
      </w:r>
      <w:proofErr w:type="spellEnd"/>
      <w:r w:rsidRPr="00C57EEB">
        <w:rPr>
          <w:rFonts w:ascii="Times New Roman" w:hAnsi="Times New Roman" w:cs="Times New Roman"/>
          <w:sz w:val="20"/>
          <w:szCs w:val="20"/>
          <w:lang w:val="en-GB"/>
        </w:rPr>
        <w:t xml:space="preserve"> Tool provided by Integrated DNA Technologies (Leuven, Belgium). Probes were located in close proximity to either the forward or reverse primer and designed such that the annealing temperature was a minimum of 5°C higher than either primer and with no guanine base at the 5’ end. Target gene probes were labelled at the 5’ primed end with FAM and reference gene probes with HEX. Both probe types contained BHQ1 as a quencher at the 3’ end.</w:t>
      </w:r>
    </w:p>
    <w:p w:rsidR="00377CE5" w:rsidRPr="00C57EEB" w:rsidRDefault="00377CE5" w:rsidP="00377CE5">
      <w:pPr>
        <w:spacing w:before="120"/>
        <w:jc w:val="both"/>
        <w:rPr>
          <w:rFonts w:ascii="Times New Roman" w:hAnsi="Times New Roman" w:cs="Times New Roman"/>
          <w:i/>
          <w:sz w:val="20"/>
          <w:szCs w:val="20"/>
          <w:lang w:val="en-GB"/>
        </w:rPr>
      </w:pPr>
      <w:r w:rsidRPr="00C57EEB">
        <w:rPr>
          <w:rFonts w:ascii="Times New Roman" w:hAnsi="Times New Roman" w:cs="Times New Roman"/>
          <w:i/>
          <w:sz w:val="20"/>
          <w:szCs w:val="20"/>
          <w:lang w:val="en-GB"/>
        </w:rPr>
        <w:t>Droplet Digital™ PCR</w:t>
      </w:r>
    </w:p>
    <w:p w:rsidR="00377CE5" w:rsidRPr="00C57EEB" w:rsidRDefault="00377CE5" w:rsidP="00377CE5">
      <w:pPr>
        <w:jc w:val="both"/>
        <w:rPr>
          <w:rFonts w:ascii="Times New Roman" w:hAnsi="Times New Roman" w:cs="Times New Roman"/>
          <w:sz w:val="20"/>
          <w:szCs w:val="20"/>
          <w:lang w:val="en-GB"/>
        </w:rPr>
      </w:pPr>
      <w:r w:rsidRPr="00C57EEB">
        <w:rPr>
          <w:rFonts w:ascii="Times New Roman" w:eastAsia="Times New Roman" w:hAnsi="Times New Roman" w:cs="Times New Roman"/>
          <w:sz w:val="20"/>
          <w:szCs w:val="20"/>
          <w:lang w:val="en-GB" w:eastAsia="de-AT"/>
        </w:rPr>
        <w:t>Dilution factors for cDNA of 1:10, 1:50, and 1:100 were tested to assess the optimal concentration for Droplet Digital PCR (</w:t>
      </w:r>
      <w:proofErr w:type="spellStart"/>
      <w:r w:rsidRPr="00C57EEB">
        <w:rPr>
          <w:rFonts w:ascii="Times New Roman" w:eastAsia="Times New Roman" w:hAnsi="Times New Roman" w:cs="Times New Roman"/>
          <w:sz w:val="20"/>
          <w:szCs w:val="20"/>
          <w:lang w:val="en-GB" w:eastAsia="de-AT"/>
        </w:rPr>
        <w:t>ddPCR</w:t>
      </w:r>
      <w:proofErr w:type="spellEnd"/>
      <w:r w:rsidRPr="00C57EEB">
        <w:rPr>
          <w:rFonts w:ascii="Times New Roman" w:eastAsia="Times New Roman" w:hAnsi="Times New Roman" w:cs="Times New Roman"/>
          <w:sz w:val="20"/>
          <w:szCs w:val="20"/>
          <w:lang w:val="en-GB" w:eastAsia="de-AT"/>
        </w:rPr>
        <w:t xml:space="preserve">™). A cDNA dilution of 1:50 gave the best balance of positive to negative droplets across test samples. For the reaction setup, 1 µl of the diluted cDNA was used with the </w:t>
      </w:r>
      <w:proofErr w:type="spellStart"/>
      <w:r w:rsidRPr="00C57EEB">
        <w:rPr>
          <w:rFonts w:ascii="Times New Roman" w:eastAsia="Times New Roman" w:hAnsi="Times New Roman" w:cs="Times New Roman"/>
          <w:sz w:val="20"/>
          <w:szCs w:val="20"/>
          <w:lang w:val="en-GB" w:eastAsia="de-AT"/>
        </w:rPr>
        <w:t>Supermix</w:t>
      </w:r>
      <w:proofErr w:type="spellEnd"/>
      <w:r w:rsidRPr="00C57EEB">
        <w:rPr>
          <w:rFonts w:ascii="Times New Roman" w:eastAsia="Times New Roman" w:hAnsi="Times New Roman" w:cs="Times New Roman"/>
          <w:sz w:val="20"/>
          <w:szCs w:val="20"/>
          <w:lang w:val="en-GB" w:eastAsia="de-AT"/>
        </w:rPr>
        <w:t xml:space="preserve"> for Probes (No </w:t>
      </w:r>
      <w:proofErr w:type="spellStart"/>
      <w:r w:rsidRPr="00C57EEB">
        <w:rPr>
          <w:rFonts w:ascii="Times New Roman" w:eastAsia="Times New Roman" w:hAnsi="Times New Roman" w:cs="Times New Roman"/>
          <w:sz w:val="20"/>
          <w:szCs w:val="20"/>
          <w:lang w:val="en-GB" w:eastAsia="de-AT"/>
        </w:rPr>
        <w:t>dUTP</w:t>
      </w:r>
      <w:proofErr w:type="spellEnd"/>
      <w:r w:rsidRPr="00C57EEB">
        <w:rPr>
          <w:rFonts w:ascii="Times New Roman" w:eastAsia="Times New Roman" w:hAnsi="Times New Roman" w:cs="Times New Roman"/>
          <w:sz w:val="20"/>
          <w:szCs w:val="20"/>
          <w:lang w:val="en-GB" w:eastAsia="de-AT"/>
        </w:rPr>
        <w:t xml:space="preserve">) according to the manufacturer’s protocol (Bio-Rad Laboratories, California, </w:t>
      </w:r>
      <w:proofErr w:type="gramStart"/>
      <w:r w:rsidRPr="00C57EEB">
        <w:rPr>
          <w:rFonts w:ascii="Times New Roman" w:eastAsia="Times New Roman" w:hAnsi="Times New Roman" w:cs="Times New Roman"/>
          <w:sz w:val="20"/>
          <w:szCs w:val="20"/>
          <w:lang w:val="en-GB" w:eastAsia="de-AT"/>
        </w:rPr>
        <w:t>USA</w:t>
      </w:r>
      <w:proofErr w:type="gramEnd"/>
      <w:r w:rsidRPr="00C57EEB">
        <w:rPr>
          <w:rFonts w:ascii="Times New Roman" w:eastAsia="Times New Roman" w:hAnsi="Times New Roman" w:cs="Times New Roman"/>
          <w:sz w:val="20"/>
          <w:szCs w:val="20"/>
          <w:lang w:val="en-GB" w:eastAsia="de-AT"/>
        </w:rPr>
        <w:t xml:space="preserve">). Briefly, the samples were partitioned into droplets before being transferred into a 96-well plate and sealed with sealing foil. Amplification was performed on a </w:t>
      </w:r>
      <w:proofErr w:type="spellStart"/>
      <w:r w:rsidRPr="00C57EEB">
        <w:rPr>
          <w:rFonts w:ascii="Times New Roman" w:eastAsia="Times New Roman" w:hAnsi="Times New Roman" w:cs="Times New Roman"/>
          <w:sz w:val="20"/>
          <w:szCs w:val="20"/>
          <w:lang w:val="en-GB" w:eastAsia="de-AT"/>
        </w:rPr>
        <w:t>GeneAmp</w:t>
      </w:r>
      <w:proofErr w:type="spellEnd"/>
      <w:r w:rsidRPr="00C57EEB">
        <w:rPr>
          <w:rFonts w:ascii="Times New Roman" w:eastAsia="Times New Roman" w:hAnsi="Times New Roman" w:cs="Times New Roman"/>
          <w:sz w:val="20"/>
          <w:szCs w:val="20"/>
          <w:lang w:val="en-GB" w:eastAsia="de-AT"/>
        </w:rPr>
        <w:t xml:space="preserve">® PCR system 9700 (Applied Biosystems, California, USA). Cycling conditions were used according to </w:t>
      </w:r>
      <w:r w:rsidRPr="00C57EEB">
        <w:rPr>
          <w:rFonts w:ascii="Times New Roman" w:hAnsi="Times New Roman" w:cs="Times New Roman"/>
          <w:sz w:val="20"/>
          <w:szCs w:val="20"/>
          <w:lang w:val="en-GB"/>
        </w:rPr>
        <w:t>the manufacturer’s instructions (</w:t>
      </w:r>
      <w:proofErr w:type="spellStart"/>
      <w:r w:rsidRPr="00C57EEB">
        <w:rPr>
          <w:rFonts w:ascii="Times New Roman" w:eastAsia="Times New Roman" w:hAnsi="Times New Roman" w:cs="Times New Roman"/>
          <w:sz w:val="20"/>
          <w:szCs w:val="20"/>
          <w:lang w:val="en-GB" w:eastAsia="de-AT"/>
        </w:rPr>
        <w:t>ddPCR</w:t>
      </w:r>
      <w:proofErr w:type="spellEnd"/>
      <w:r w:rsidRPr="00C57EEB">
        <w:rPr>
          <w:rFonts w:ascii="Times New Roman" w:eastAsia="Times New Roman" w:hAnsi="Times New Roman" w:cs="Times New Roman"/>
          <w:sz w:val="20"/>
          <w:szCs w:val="20"/>
          <w:lang w:val="en-GB" w:eastAsia="de-AT"/>
        </w:rPr>
        <w:t>™</w:t>
      </w:r>
      <w:r w:rsidRPr="00C57EEB">
        <w:rPr>
          <w:rFonts w:ascii="Times New Roman" w:hAnsi="Times New Roman" w:cs="Times New Roman"/>
          <w:sz w:val="20"/>
          <w:szCs w:val="20"/>
          <w:lang w:val="en-GB"/>
        </w:rPr>
        <w:t xml:space="preserve"> </w:t>
      </w:r>
      <w:proofErr w:type="spellStart"/>
      <w:r w:rsidRPr="00C57EEB">
        <w:rPr>
          <w:rFonts w:ascii="Times New Roman" w:eastAsia="Times New Roman" w:hAnsi="Times New Roman" w:cs="Times New Roman"/>
          <w:sz w:val="20"/>
          <w:szCs w:val="20"/>
          <w:lang w:val="en-GB" w:eastAsia="de-AT"/>
        </w:rPr>
        <w:t>Supermix</w:t>
      </w:r>
      <w:proofErr w:type="spellEnd"/>
      <w:r w:rsidRPr="00C57EEB">
        <w:rPr>
          <w:rFonts w:ascii="Times New Roman" w:eastAsia="Times New Roman" w:hAnsi="Times New Roman" w:cs="Times New Roman"/>
          <w:sz w:val="20"/>
          <w:szCs w:val="20"/>
          <w:lang w:val="en-GB" w:eastAsia="de-AT"/>
        </w:rPr>
        <w:t xml:space="preserve"> for Probes (No </w:t>
      </w:r>
      <w:proofErr w:type="spellStart"/>
      <w:r w:rsidRPr="00C57EEB">
        <w:rPr>
          <w:rFonts w:ascii="Times New Roman" w:eastAsia="Times New Roman" w:hAnsi="Times New Roman" w:cs="Times New Roman"/>
          <w:sz w:val="20"/>
          <w:szCs w:val="20"/>
          <w:lang w:val="en-GB" w:eastAsia="de-AT"/>
        </w:rPr>
        <w:t>dUTP</w:t>
      </w:r>
      <w:proofErr w:type="spellEnd"/>
      <w:r w:rsidRPr="00C57EEB">
        <w:rPr>
          <w:rFonts w:ascii="Times New Roman" w:eastAsia="Times New Roman" w:hAnsi="Times New Roman" w:cs="Times New Roman"/>
          <w:sz w:val="20"/>
          <w:szCs w:val="20"/>
          <w:lang w:val="en-GB" w:eastAsia="de-AT"/>
        </w:rPr>
        <w:t xml:space="preserve">), </w:t>
      </w:r>
      <w:r w:rsidRPr="00C57EEB">
        <w:rPr>
          <w:rFonts w:ascii="Times New Roman" w:hAnsi="Times New Roman" w:cs="Times New Roman"/>
          <w:sz w:val="20"/>
          <w:szCs w:val="20"/>
          <w:lang w:val="en-GB"/>
        </w:rPr>
        <w:t xml:space="preserve">Bio-Rad). The two reference genes were tested on a subset of samples to determine which was the most stable across treatments. Absolute concentrations of the reference genes were normalized against the input amount of cDNA and the average co-efficient of variation (CV) calculated for each reference across the two treatments (day 1 vs. day 5). The reference HPRT1 displayed the lowest average CV and was used for the gene expression analysis of the two target genes. Data acquisition was accomplished by the QX200™ Droplet Reader (Bio-Rad), and analysed using the Bio-Rad Droplet Digital™ PCR </w:t>
      </w:r>
      <w:proofErr w:type="spellStart"/>
      <w:r w:rsidRPr="00C57EEB">
        <w:rPr>
          <w:rFonts w:ascii="Times New Roman" w:hAnsi="Times New Roman" w:cs="Times New Roman"/>
          <w:sz w:val="20"/>
          <w:szCs w:val="20"/>
          <w:lang w:val="en-GB"/>
        </w:rPr>
        <w:t>QuantaSoft</w:t>
      </w:r>
      <w:proofErr w:type="spellEnd"/>
      <w:r w:rsidRPr="00C57EEB">
        <w:rPr>
          <w:rFonts w:ascii="Times New Roman" w:hAnsi="Times New Roman" w:cs="Times New Roman"/>
          <w:sz w:val="20"/>
          <w:szCs w:val="20"/>
          <w:lang w:val="en-GB"/>
        </w:rPr>
        <w:t xml:space="preserve"> software. Expression levels are given as the relative ratio of the concentration (copies/µl) of the assay target gene over the concentration of the reference gene. </w:t>
      </w:r>
    </w:p>
    <w:p w:rsidR="00377CE5" w:rsidRPr="00C57EEB" w:rsidRDefault="00377CE5" w:rsidP="00377CE5">
      <w:pPr>
        <w:rPr>
          <w:rFonts w:ascii="Times New Roman" w:hAnsi="Times New Roman" w:cs="Times New Roman"/>
          <w:sz w:val="20"/>
          <w:szCs w:val="20"/>
          <w:lang w:val="en-GB"/>
        </w:rPr>
      </w:pPr>
    </w:p>
    <w:p w:rsidR="00377CE5" w:rsidRPr="00C57EEB" w:rsidRDefault="00377CE5" w:rsidP="00377CE5">
      <w:pPr>
        <w:rPr>
          <w:rFonts w:ascii="Times New Roman" w:hAnsi="Times New Roman" w:cs="Times New Roman"/>
          <w:sz w:val="20"/>
          <w:szCs w:val="20"/>
          <w:lang w:val="en-GB"/>
        </w:rPr>
      </w:pPr>
      <w:proofErr w:type="gramStart"/>
      <w:r w:rsidRPr="00C57EEB">
        <w:rPr>
          <w:rFonts w:ascii="Times New Roman" w:hAnsi="Times New Roman" w:cs="Times New Roman"/>
          <w:b/>
          <w:sz w:val="20"/>
          <w:szCs w:val="20"/>
          <w:lang w:val="en-GB"/>
        </w:rPr>
        <w:t>Table</w:t>
      </w:r>
      <w:r w:rsidR="002733EE">
        <w:rPr>
          <w:rFonts w:ascii="Times New Roman" w:hAnsi="Times New Roman" w:cs="Times New Roman"/>
          <w:b/>
          <w:sz w:val="20"/>
          <w:szCs w:val="20"/>
          <w:lang w:val="en-GB"/>
        </w:rPr>
        <w:t xml:space="preserve"> S1</w:t>
      </w:r>
      <w:r w:rsidRPr="00C57EEB">
        <w:rPr>
          <w:rFonts w:ascii="Times New Roman" w:hAnsi="Times New Roman" w:cs="Times New Roman"/>
          <w:sz w:val="20"/>
          <w:szCs w:val="20"/>
          <w:lang w:val="en-GB"/>
        </w:rPr>
        <w:t>: Primer and probe sequences used for gene expression analysis in wild boar piglet samples.</w:t>
      </w:r>
      <w:proofErr w:type="gramEnd"/>
    </w:p>
    <w:tbl>
      <w:tblPr>
        <w:tblStyle w:val="Tabellenraster"/>
        <w:tblW w:w="0" w:type="auto"/>
        <w:tblLook w:val="04A0" w:firstRow="1" w:lastRow="0" w:firstColumn="1" w:lastColumn="0" w:noHBand="0" w:noVBand="1"/>
      </w:tblPr>
      <w:tblGrid>
        <w:gridCol w:w="2660"/>
        <w:gridCol w:w="6552"/>
      </w:tblGrid>
      <w:tr w:rsidR="00377CE5" w:rsidRPr="00C57EEB" w:rsidTr="00251FAB">
        <w:tc>
          <w:tcPr>
            <w:tcW w:w="2660" w:type="dxa"/>
          </w:tcPr>
          <w:p w:rsidR="00377CE5" w:rsidRPr="00C57EEB" w:rsidRDefault="00377CE5" w:rsidP="00377CE5">
            <w:pPr>
              <w:rPr>
                <w:rFonts w:ascii="Times New Roman" w:hAnsi="Times New Roman" w:cs="Times New Roman"/>
                <w:b/>
                <w:sz w:val="20"/>
                <w:szCs w:val="20"/>
                <w:lang w:val="en-GB"/>
              </w:rPr>
            </w:pPr>
            <w:r w:rsidRPr="00C57EEB">
              <w:rPr>
                <w:rFonts w:ascii="Times New Roman" w:hAnsi="Times New Roman" w:cs="Times New Roman"/>
                <w:b/>
                <w:sz w:val="20"/>
                <w:szCs w:val="20"/>
                <w:lang w:val="en-GB"/>
              </w:rPr>
              <w:t>Primer name</w:t>
            </w:r>
          </w:p>
        </w:tc>
        <w:tc>
          <w:tcPr>
            <w:tcW w:w="6552" w:type="dxa"/>
          </w:tcPr>
          <w:p w:rsidR="00377CE5" w:rsidRPr="00C57EEB" w:rsidRDefault="00377CE5" w:rsidP="00377CE5">
            <w:pPr>
              <w:rPr>
                <w:rFonts w:ascii="Times New Roman" w:hAnsi="Times New Roman" w:cs="Times New Roman"/>
                <w:b/>
                <w:sz w:val="20"/>
                <w:szCs w:val="20"/>
                <w:lang w:val="en-GB"/>
              </w:rPr>
            </w:pPr>
            <w:r w:rsidRPr="00C57EEB">
              <w:rPr>
                <w:rFonts w:ascii="Times New Roman" w:hAnsi="Times New Roman" w:cs="Times New Roman"/>
                <w:b/>
                <w:sz w:val="20"/>
                <w:szCs w:val="20"/>
                <w:lang w:val="en-GB"/>
              </w:rPr>
              <w:t>Sequence 5’-3’</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proofErr w:type="spellStart"/>
            <w:r w:rsidRPr="00C57EEB">
              <w:rPr>
                <w:rFonts w:ascii="Times New Roman" w:hAnsi="Times New Roman" w:cs="Times New Roman"/>
                <w:sz w:val="20"/>
                <w:szCs w:val="20"/>
                <w:lang w:val="en-GB"/>
              </w:rPr>
              <w:t>SLN_Sus_qPCR_F</w:t>
            </w:r>
            <w:proofErr w:type="spellEnd"/>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GAG AAT GGA GCG ATC CAC CC</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proofErr w:type="spellStart"/>
            <w:r w:rsidRPr="00C57EEB">
              <w:rPr>
                <w:rFonts w:ascii="Times New Roman" w:hAnsi="Times New Roman" w:cs="Times New Roman"/>
                <w:sz w:val="20"/>
                <w:szCs w:val="20"/>
                <w:lang w:val="en-GB"/>
              </w:rPr>
              <w:t>SLN_Sus_qPCR_R</w:t>
            </w:r>
            <w:proofErr w:type="spellEnd"/>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ACT TGG CAG CCC TTG AGA GC</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proofErr w:type="spellStart"/>
            <w:r w:rsidRPr="00C57EEB">
              <w:rPr>
                <w:rFonts w:ascii="Times New Roman" w:hAnsi="Times New Roman" w:cs="Times New Roman"/>
                <w:sz w:val="20"/>
                <w:szCs w:val="20"/>
                <w:lang w:val="en-GB"/>
              </w:rPr>
              <w:t>SLN_Sus_qPCR_Probe</w:t>
            </w:r>
            <w:proofErr w:type="spellEnd"/>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AGT ATT CAA AGT GCC TCC AGT GCC A</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Serca1_Sus_qPCR_F</w:t>
            </w:r>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AAG TGC GGA GAG CAC AAC CC</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Serca1_Sus_qPCR_R</w:t>
            </w:r>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ATC GGC AGA GGG TCC ACG TA</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Serca1_Sus_qPCR_Probe</w:t>
            </w:r>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CTT TGA GGG TGT GGA CTG TGA GGT C</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HPRT1_Sus_qPCR_F</w:t>
            </w:r>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 xml:space="preserve">GGC TCC GTT ATG GCG ACC C </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HPRT1_Sus_qPCR_R</w:t>
            </w:r>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 xml:space="preserve">GAG CAA GCC GTT CAG TCC TGT </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HPRT1_Sus_qPCR_Probe</w:t>
            </w:r>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ACC TAA TCA TTA TGC CGA GGA TTT GGA</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proofErr w:type="spellStart"/>
            <w:r w:rsidRPr="00C57EEB">
              <w:rPr>
                <w:rFonts w:ascii="Times New Roman" w:hAnsi="Times New Roman" w:cs="Times New Roman"/>
                <w:sz w:val="20"/>
                <w:szCs w:val="20"/>
                <w:lang w:val="en-GB"/>
              </w:rPr>
              <w:t>GUSB_Sus_qPCR_F</w:t>
            </w:r>
            <w:proofErr w:type="spellEnd"/>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GAC GGA CAC CTC CAA GTA CCC</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proofErr w:type="spellStart"/>
            <w:r w:rsidRPr="00C57EEB">
              <w:rPr>
                <w:rFonts w:ascii="Times New Roman" w:hAnsi="Times New Roman" w:cs="Times New Roman"/>
                <w:sz w:val="20"/>
                <w:szCs w:val="20"/>
                <w:lang w:val="en-GB"/>
              </w:rPr>
              <w:t>GUSB_Sus_qPCR_R</w:t>
            </w:r>
            <w:proofErr w:type="spellEnd"/>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CGA TGT AGG CGG TAG GCG TG</w:t>
            </w:r>
          </w:p>
        </w:tc>
      </w:tr>
      <w:tr w:rsidR="00377CE5" w:rsidRPr="00C57EEB" w:rsidTr="00251FAB">
        <w:tc>
          <w:tcPr>
            <w:tcW w:w="2660" w:type="dxa"/>
          </w:tcPr>
          <w:p w:rsidR="00377CE5" w:rsidRPr="00C57EEB" w:rsidRDefault="00377CE5" w:rsidP="00377CE5">
            <w:pPr>
              <w:rPr>
                <w:rFonts w:ascii="Times New Roman" w:hAnsi="Times New Roman" w:cs="Times New Roman"/>
                <w:sz w:val="20"/>
                <w:szCs w:val="20"/>
                <w:lang w:val="en-GB"/>
              </w:rPr>
            </w:pPr>
            <w:proofErr w:type="spellStart"/>
            <w:r w:rsidRPr="00C57EEB">
              <w:rPr>
                <w:rFonts w:ascii="Times New Roman" w:hAnsi="Times New Roman" w:cs="Times New Roman"/>
                <w:sz w:val="20"/>
                <w:szCs w:val="20"/>
                <w:lang w:val="en-GB"/>
              </w:rPr>
              <w:t>GUSB_Sus_qPCR_Probe</w:t>
            </w:r>
            <w:proofErr w:type="spellEnd"/>
          </w:p>
        </w:tc>
        <w:tc>
          <w:tcPr>
            <w:tcW w:w="6552" w:type="dxa"/>
          </w:tcPr>
          <w:p w:rsidR="00377CE5" w:rsidRPr="00C57EEB" w:rsidRDefault="00377CE5" w:rsidP="00377CE5">
            <w:pPr>
              <w:rPr>
                <w:rFonts w:ascii="Times New Roman" w:hAnsi="Times New Roman" w:cs="Times New Roman"/>
                <w:sz w:val="20"/>
                <w:szCs w:val="20"/>
                <w:lang w:val="en-GB"/>
              </w:rPr>
            </w:pPr>
            <w:r w:rsidRPr="00C57EEB">
              <w:rPr>
                <w:rFonts w:ascii="Times New Roman" w:hAnsi="Times New Roman" w:cs="Times New Roman"/>
                <w:sz w:val="20"/>
                <w:szCs w:val="20"/>
                <w:lang w:val="en-GB"/>
              </w:rPr>
              <w:t>ACT TCT TCA ACT ACG CGG GAT TGC A</w:t>
            </w:r>
          </w:p>
        </w:tc>
      </w:tr>
    </w:tbl>
    <w:p w:rsidR="00377CE5" w:rsidRPr="00C57EEB" w:rsidRDefault="00377CE5" w:rsidP="00377CE5">
      <w:pPr>
        <w:spacing w:before="120"/>
        <w:jc w:val="both"/>
        <w:rPr>
          <w:rFonts w:ascii="Times New Roman" w:hAnsi="Times New Roman" w:cs="Times New Roman"/>
          <w:i/>
          <w:sz w:val="20"/>
          <w:szCs w:val="20"/>
          <w:lang w:val="en-GB"/>
        </w:rPr>
      </w:pPr>
      <w:r w:rsidRPr="00C57EEB">
        <w:rPr>
          <w:rFonts w:ascii="Times New Roman" w:hAnsi="Times New Roman" w:cs="Times New Roman"/>
          <w:i/>
          <w:sz w:val="20"/>
          <w:szCs w:val="20"/>
          <w:lang w:val="en-GB"/>
        </w:rPr>
        <w:t>Isolation of muscle SR</w:t>
      </w:r>
    </w:p>
    <w:p w:rsidR="00377CE5" w:rsidRPr="00C57EEB" w:rsidRDefault="00377CE5" w:rsidP="00377CE5">
      <w:pPr>
        <w:jc w:val="both"/>
        <w:rPr>
          <w:rFonts w:ascii="Times New Roman" w:hAnsi="Times New Roman" w:cs="Times New Roman"/>
          <w:sz w:val="20"/>
          <w:szCs w:val="20"/>
          <w:lang w:val="en-GB"/>
        </w:rPr>
      </w:pPr>
      <w:r w:rsidRPr="00C57EEB">
        <w:rPr>
          <w:rFonts w:ascii="Times New Roman" w:hAnsi="Times New Roman" w:cs="Times New Roman"/>
          <w:sz w:val="20"/>
          <w:szCs w:val="20"/>
          <w:lang w:val="en-GB"/>
        </w:rPr>
        <w:t xml:space="preserve">Muscle homogenates were prepared from approximately 50 mg muscle tissue. Muscle tissue was washed and minced in ice-cold homogenisation buffer, containing 100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w:t>
      </w:r>
      <w:proofErr w:type="spellStart"/>
      <w:r w:rsidRPr="00C57EEB">
        <w:rPr>
          <w:rFonts w:ascii="Times New Roman" w:hAnsi="Times New Roman" w:cs="Times New Roman"/>
          <w:sz w:val="20"/>
          <w:szCs w:val="20"/>
          <w:lang w:val="en-GB"/>
        </w:rPr>
        <w:t>Tris</w:t>
      </w:r>
      <w:proofErr w:type="spellEnd"/>
      <w:r w:rsidRPr="00C57EEB">
        <w:rPr>
          <w:rFonts w:ascii="Times New Roman" w:hAnsi="Times New Roman" w:cs="Times New Roman"/>
          <w:sz w:val="20"/>
          <w:szCs w:val="20"/>
          <w:lang w:val="en-GB"/>
        </w:rPr>
        <w:t xml:space="preserve"> (pH 7.0), 250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sucrose, 600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KCI, 0.5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DTT and EDTA-free protease inhibitor cocktail (ROCHE). Tissues were then homogenized in 2 mL of homogenisation buffer by 10-15 strokes with a motor-driven Teflon/glass homogenizer (tube volume, 5 mL, </w:t>
      </w:r>
      <w:r w:rsidRPr="00C57EEB">
        <w:rPr>
          <w:rFonts w:ascii="Times New Roman" w:hAnsi="Times New Roman" w:cs="Times New Roman"/>
          <w:sz w:val="20"/>
          <w:szCs w:val="20"/>
          <w:lang w:val="en-GB"/>
        </w:rPr>
        <w:lastRenderedPageBreak/>
        <w:t xml:space="preserve">Wheaton, USA) and the homogenizer rinsed with 1 ml of homogenisation buffer (final volume 3 mL). Homogenates were then centrifuged at 1000 g at 4°C for 20 min to remove cell debris and nuclear fraction. The supernatant was further centrifuged at 15000 g at 4°C for 20 min to remove mitochondria, lysosomes, etc. To the supernatant, </w:t>
      </w:r>
      <w:proofErr w:type="spellStart"/>
      <w:r w:rsidRPr="00C57EEB">
        <w:rPr>
          <w:rFonts w:ascii="Times New Roman" w:hAnsi="Times New Roman" w:cs="Times New Roman"/>
          <w:sz w:val="20"/>
          <w:szCs w:val="20"/>
          <w:lang w:val="en-GB"/>
        </w:rPr>
        <w:t>KCl</w:t>
      </w:r>
      <w:proofErr w:type="spellEnd"/>
      <w:r w:rsidRPr="00C57EEB">
        <w:rPr>
          <w:rFonts w:ascii="Times New Roman" w:hAnsi="Times New Roman" w:cs="Times New Roman"/>
          <w:sz w:val="20"/>
          <w:szCs w:val="20"/>
          <w:lang w:val="en-GB"/>
        </w:rPr>
        <w:t xml:space="preserve"> was added to a final concentration of 600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and centrifuged at 200000 g at 4°C for 30 min. The pellet, containing </w:t>
      </w:r>
      <w:proofErr w:type="spellStart"/>
      <w:r w:rsidRPr="00C57EEB">
        <w:rPr>
          <w:rFonts w:ascii="Times New Roman" w:hAnsi="Times New Roman" w:cs="Times New Roman"/>
          <w:sz w:val="20"/>
          <w:szCs w:val="20"/>
          <w:lang w:val="en-GB"/>
        </w:rPr>
        <w:t>sarcoplasmatic</w:t>
      </w:r>
      <w:proofErr w:type="spellEnd"/>
      <w:r w:rsidRPr="00C57EEB">
        <w:rPr>
          <w:rFonts w:ascii="Times New Roman" w:hAnsi="Times New Roman" w:cs="Times New Roman"/>
          <w:sz w:val="20"/>
          <w:szCs w:val="20"/>
          <w:lang w:val="en-GB"/>
        </w:rPr>
        <w:t xml:space="preserve"> reticulum </w:t>
      </w:r>
      <w:proofErr w:type="spellStart"/>
      <w:r w:rsidRPr="00C57EEB">
        <w:rPr>
          <w:rFonts w:ascii="Times New Roman" w:hAnsi="Times New Roman" w:cs="Times New Roman"/>
          <w:sz w:val="20"/>
          <w:szCs w:val="20"/>
          <w:lang w:val="en-GB"/>
        </w:rPr>
        <w:t>microsomes</w:t>
      </w:r>
      <w:proofErr w:type="spellEnd"/>
      <w:r w:rsidRPr="00C57EEB">
        <w:rPr>
          <w:rFonts w:ascii="Times New Roman" w:hAnsi="Times New Roman" w:cs="Times New Roman"/>
          <w:sz w:val="20"/>
          <w:szCs w:val="20"/>
          <w:lang w:val="en-GB"/>
        </w:rPr>
        <w:t xml:space="preserve"> with SERCA protein embedded in the microsomal membranes, was re-suspended in 200 µL of 250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sucrose, flash-frozen in liquid nitrogen and stored in </w:t>
      </w:r>
      <w:proofErr w:type="spellStart"/>
      <w:r w:rsidRPr="00C57EEB">
        <w:rPr>
          <w:rFonts w:ascii="Times New Roman" w:hAnsi="Times New Roman" w:cs="Times New Roman"/>
          <w:sz w:val="20"/>
          <w:szCs w:val="20"/>
          <w:lang w:val="en-GB"/>
        </w:rPr>
        <w:t>LoBind</w:t>
      </w:r>
      <w:proofErr w:type="spellEnd"/>
      <w:r w:rsidRPr="00C57EEB">
        <w:rPr>
          <w:rFonts w:ascii="Times New Roman" w:hAnsi="Times New Roman" w:cs="Times New Roman"/>
          <w:sz w:val="20"/>
          <w:szCs w:val="20"/>
          <w:lang w:val="en-GB"/>
        </w:rPr>
        <w:t xml:space="preserve"> tubes (Sigma/Aldrich) at -80°C.  Total Protein concentrations were determined using the Bradford method </w:t>
      </w:r>
      <w:r w:rsidRPr="00C57EEB">
        <w:rPr>
          <w:rFonts w:ascii="Times New Roman" w:hAnsi="Times New Roman" w:cs="Times New Roman"/>
          <w:sz w:val="20"/>
          <w:szCs w:val="20"/>
          <w:lang w:val="en-GB"/>
        </w:rPr>
        <w:fldChar w:fldCharType="begin"/>
      </w:r>
      <w:r w:rsidR="00C57EEB" w:rsidRPr="00C57EEB">
        <w:rPr>
          <w:rFonts w:ascii="Times New Roman" w:hAnsi="Times New Roman" w:cs="Times New Roman"/>
          <w:sz w:val="20"/>
          <w:szCs w:val="20"/>
          <w:lang w:val="en-GB"/>
        </w:rPr>
        <w:instrText xml:space="preserve"> ADDIN EN.CITE &lt;EndNote&gt;&lt;Cite&gt;&lt;Author&gt;Bradford&lt;/Author&gt;&lt;Year&gt;1976&lt;/Year&gt;&lt;RecNum&gt;1088&lt;/RecNum&gt;&lt;DisplayText&gt;[2]&lt;/DisplayText&gt;&lt;record&gt;&lt;rec-number&gt;1088&lt;/rec-number&gt;&lt;foreign-keys&gt;&lt;key app="EN" db-id="x0vp0esr8rxra5eavt4xad9qfae2rpzwt5rz" timestamp="1515495332"&gt;1088&lt;/key&gt;&lt;/foreign-keys&gt;&lt;ref-type name="Journal Article"&gt;17&lt;/ref-type&gt;&lt;contributors&gt;&lt;authors&gt;&lt;author&gt;Bradford, Marion M.&lt;/author&gt;&lt;/authors&gt;&lt;/contributors&gt;&lt;titles&gt;&lt;title&gt;A rapid and sensitive method for the quantitation of microgram quantities of protein utilizing the principle of protein-dye binding&lt;/title&gt;&lt;secondary-title&gt;Analytical Biochemistry&lt;/secondary-title&gt;&lt;/titles&gt;&lt;periodical&gt;&lt;full-title&gt;Analytical Biochemistry&lt;/full-title&gt;&lt;/periodical&gt;&lt;pages&gt;248-254&lt;/pages&gt;&lt;volume&gt;72&lt;/volume&gt;&lt;number&gt;1&lt;/number&gt;&lt;dates&gt;&lt;year&gt;1976&lt;/year&gt;&lt;pub-dates&gt;&lt;date&gt;1976/05/07/&lt;/date&gt;&lt;/pub-dates&gt;&lt;/dates&gt;&lt;isbn&gt;0003-2697&lt;/isbn&gt;&lt;urls&gt;&lt;related-urls&gt;&lt;url&gt;http://www.sciencedirect.com/science/article/pii/0003269776905273&lt;/url&gt;&lt;/related-urls&gt;&lt;/urls&gt;&lt;electronic-resource-num&gt;https://doi.org/10.1016/0003-2697(76)90527-3&lt;/electronic-resource-num&gt;&lt;/record&gt;&lt;/Cite&gt;&lt;/EndNote&gt;</w:instrText>
      </w:r>
      <w:r w:rsidRPr="00C57EEB">
        <w:rPr>
          <w:rFonts w:ascii="Times New Roman" w:hAnsi="Times New Roman" w:cs="Times New Roman"/>
          <w:sz w:val="20"/>
          <w:szCs w:val="20"/>
          <w:lang w:val="en-GB"/>
        </w:rPr>
        <w:fldChar w:fldCharType="separate"/>
      </w:r>
      <w:r w:rsidR="00C57EEB" w:rsidRPr="00C57EEB">
        <w:rPr>
          <w:rFonts w:ascii="Times New Roman" w:hAnsi="Times New Roman" w:cs="Times New Roman"/>
          <w:noProof/>
          <w:sz w:val="20"/>
          <w:szCs w:val="20"/>
          <w:lang w:val="en-GB"/>
        </w:rPr>
        <w:t>[2]</w:t>
      </w:r>
      <w:r w:rsidRPr="00C57EEB">
        <w:rPr>
          <w:rFonts w:ascii="Times New Roman" w:hAnsi="Times New Roman" w:cs="Times New Roman"/>
          <w:sz w:val="20"/>
          <w:szCs w:val="20"/>
          <w:lang w:val="en-GB"/>
        </w:rPr>
        <w:fldChar w:fldCharType="end"/>
      </w:r>
      <w:r w:rsidRPr="00C57EEB">
        <w:rPr>
          <w:rFonts w:ascii="Times New Roman" w:hAnsi="Times New Roman" w:cs="Times New Roman"/>
          <w:sz w:val="20"/>
          <w:szCs w:val="20"/>
          <w:lang w:val="en-GB"/>
        </w:rPr>
        <w:t>.</w:t>
      </w:r>
    </w:p>
    <w:p w:rsidR="00377CE5" w:rsidRPr="00C57EEB" w:rsidRDefault="00377CE5" w:rsidP="00377CE5">
      <w:pPr>
        <w:spacing w:before="120"/>
        <w:jc w:val="both"/>
        <w:rPr>
          <w:rFonts w:ascii="Times New Roman" w:hAnsi="Times New Roman" w:cs="Times New Roman"/>
          <w:i/>
          <w:sz w:val="20"/>
          <w:szCs w:val="20"/>
          <w:lang w:val="en-GB"/>
        </w:rPr>
      </w:pPr>
      <w:r w:rsidRPr="00C57EEB">
        <w:rPr>
          <w:rFonts w:ascii="Times New Roman" w:hAnsi="Times New Roman" w:cs="Times New Roman"/>
          <w:i/>
          <w:sz w:val="20"/>
          <w:szCs w:val="20"/>
          <w:lang w:val="en-GB"/>
        </w:rPr>
        <w:t>SERCA Activity Measurements</w:t>
      </w:r>
    </w:p>
    <w:p w:rsidR="00C57EEB" w:rsidRPr="00C57EEB" w:rsidRDefault="00377CE5" w:rsidP="00377CE5">
      <w:pPr>
        <w:jc w:val="both"/>
        <w:rPr>
          <w:rFonts w:ascii="Times New Roman" w:hAnsi="Times New Roman" w:cs="Times New Roman"/>
          <w:sz w:val="20"/>
          <w:szCs w:val="20"/>
          <w:lang w:val="en-GB"/>
        </w:rPr>
      </w:pPr>
      <w:r w:rsidRPr="00C57EEB">
        <w:rPr>
          <w:rFonts w:ascii="Times New Roman" w:hAnsi="Times New Roman" w:cs="Times New Roman"/>
          <w:sz w:val="20"/>
          <w:szCs w:val="20"/>
          <w:lang w:val="en-GB"/>
        </w:rPr>
        <w:t>SERCA Ca</w:t>
      </w:r>
      <w:r w:rsidRPr="00C57EEB">
        <w:rPr>
          <w:rFonts w:ascii="Times New Roman" w:hAnsi="Times New Roman" w:cs="Times New Roman"/>
          <w:sz w:val="20"/>
          <w:szCs w:val="20"/>
          <w:vertAlign w:val="superscript"/>
          <w:lang w:val="en-GB"/>
        </w:rPr>
        <w:t>2+</w:t>
      </w:r>
      <w:r w:rsidRPr="00C57EEB">
        <w:rPr>
          <w:rFonts w:ascii="Times New Roman" w:hAnsi="Times New Roman" w:cs="Times New Roman"/>
          <w:sz w:val="20"/>
          <w:szCs w:val="20"/>
          <w:lang w:val="en-GB"/>
        </w:rPr>
        <w:t xml:space="preserve">-dependent ATPase activities were measured by a standard coupled enzyme assay according to the method previously described by Simonides et al </w:t>
      </w:r>
      <w:r w:rsidRPr="00C57EEB">
        <w:rPr>
          <w:rFonts w:ascii="Times New Roman" w:hAnsi="Times New Roman" w:cs="Times New Roman"/>
          <w:sz w:val="20"/>
          <w:szCs w:val="20"/>
          <w:lang w:val="en-GB"/>
        </w:rPr>
        <w:fldChar w:fldCharType="begin"/>
      </w:r>
      <w:r w:rsidR="00C57EEB" w:rsidRPr="00C57EEB">
        <w:rPr>
          <w:rFonts w:ascii="Times New Roman" w:hAnsi="Times New Roman" w:cs="Times New Roman"/>
          <w:sz w:val="20"/>
          <w:szCs w:val="20"/>
          <w:lang w:val="en-GB"/>
        </w:rPr>
        <w:instrText xml:space="preserve"> ADDIN EN.CITE &lt;EndNote&gt;&lt;Cite&gt;&lt;Author&gt;Simonides&lt;/Author&gt;&lt;Year&gt;1990&lt;/Year&gt;&lt;RecNum&gt;1086&lt;/RecNum&gt;&lt;DisplayText&gt;[3]&lt;/DisplayText&gt;&lt;record&gt;&lt;rec-number&gt;1086&lt;/rec-number&gt;&lt;foreign-keys&gt;&lt;key app="EN" db-id="x0vp0esr8rxra5eavt4xad9qfae2rpzwt5rz" timestamp="1515495234"&gt;1086&lt;/key&gt;&lt;/foreign-keys&gt;&lt;ref-type name="Journal Article"&gt;17&lt;/ref-type&gt;&lt;contributors&gt;&lt;authors&gt;&lt;author&gt;Simonides, Warner S.&lt;/author&gt;&lt;author&gt;van Hardeveld, Cornelis&lt;/author&gt;&lt;/authors&gt;&lt;/contributors&gt;&lt;titles&gt;&lt;title&gt;&lt;style face="normal" font="default" size="100%"&gt;An assay for sarcoplasmic reticulum Ca&lt;/style&gt;&lt;style face="superscript" font="default" size="100%"&gt;2+&lt;/style&gt;&lt;style face="normal" font="default" size="100%"&gt;-ATPase activity in muscle homogenates&lt;/style&gt;&lt;/title&gt;&lt;secondary-title&gt;Analytical Biochemistry&lt;/secondary-title&gt;&lt;/titles&gt;&lt;periodical&gt;&lt;full-title&gt;Analytical Biochemistry&lt;/full-title&gt;&lt;/periodical&gt;&lt;pages&gt;321-331&lt;/pages&gt;&lt;volume&gt;191&lt;/volume&gt;&lt;number&gt;2&lt;/number&gt;&lt;dates&gt;&lt;year&gt;1990&lt;/year&gt;&lt;pub-dates&gt;&lt;date&gt;1990/12/01/&lt;/date&gt;&lt;/pub-dates&gt;&lt;/dates&gt;&lt;isbn&gt;0003-2697&lt;/isbn&gt;&lt;urls&gt;&lt;related-urls&gt;&lt;url&gt;http://www.sciencedirect.com/science/article/pii/000326979090226Y&lt;/url&gt;&lt;/related-urls&gt;&lt;/urls&gt;&lt;electronic-resource-num&gt;https://doi.org/10.1016/0003-2697(90)90226-Y&lt;/electronic-resource-num&gt;&lt;/record&gt;&lt;/Cite&gt;&lt;/EndNote&gt;</w:instrText>
      </w:r>
      <w:r w:rsidRPr="00C57EEB">
        <w:rPr>
          <w:rFonts w:ascii="Times New Roman" w:hAnsi="Times New Roman" w:cs="Times New Roman"/>
          <w:sz w:val="20"/>
          <w:szCs w:val="20"/>
          <w:lang w:val="en-GB"/>
        </w:rPr>
        <w:fldChar w:fldCharType="separate"/>
      </w:r>
      <w:r w:rsidR="00C57EEB" w:rsidRPr="00C57EEB">
        <w:rPr>
          <w:rFonts w:ascii="Times New Roman" w:hAnsi="Times New Roman" w:cs="Times New Roman"/>
          <w:noProof/>
          <w:sz w:val="20"/>
          <w:szCs w:val="20"/>
          <w:lang w:val="en-GB"/>
        </w:rPr>
        <w:t>[3]</w:t>
      </w:r>
      <w:r w:rsidRPr="00C57EEB">
        <w:rPr>
          <w:rFonts w:ascii="Times New Roman" w:hAnsi="Times New Roman" w:cs="Times New Roman"/>
          <w:sz w:val="20"/>
          <w:szCs w:val="20"/>
          <w:lang w:val="en-GB"/>
        </w:rPr>
        <w:fldChar w:fldCharType="end"/>
      </w:r>
      <w:r w:rsidRPr="00C57EEB">
        <w:rPr>
          <w:rFonts w:ascii="Times New Roman" w:hAnsi="Times New Roman" w:cs="Times New Roman"/>
          <w:sz w:val="20"/>
          <w:szCs w:val="20"/>
          <w:lang w:val="en-GB"/>
        </w:rPr>
        <w:t>. ATPase activity was coupled to the reaction catalysed by pyruvate kinase which was, in turn, coupled to the reaction catalysed by lactate dehydrogenase. The rate of ATP hydrolysis was calculated from spectrophotometric recording (Hitachi U-1900 Spectrophotometer) of NADH oxidation at 340 nm (ε = 6.25 mM</w:t>
      </w:r>
      <w:r w:rsidRPr="00C57EEB">
        <w:rPr>
          <w:rFonts w:ascii="Times New Roman" w:hAnsi="Times New Roman" w:cs="Times New Roman"/>
          <w:sz w:val="20"/>
          <w:szCs w:val="20"/>
          <w:vertAlign w:val="superscript"/>
          <w:lang w:val="en-GB"/>
        </w:rPr>
        <w:t>-1</w:t>
      </w:r>
      <w:r w:rsidRPr="00C57EEB">
        <w:rPr>
          <w:rFonts w:ascii="Times New Roman" w:hAnsi="Times New Roman" w:cs="Times New Roman"/>
          <w:sz w:val="20"/>
          <w:szCs w:val="20"/>
          <w:lang w:val="en-GB"/>
        </w:rPr>
        <w:t>.cm</w:t>
      </w:r>
      <w:r w:rsidRPr="00C57EEB">
        <w:rPr>
          <w:rFonts w:ascii="Times New Roman" w:hAnsi="Times New Roman" w:cs="Times New Roman"/>
          <w:sz w:val="20"/>
          <w:szCs w:val="20"/>
          <w:vertAlign w:val="superscript"/>
          <w:lang w:val="en-GB"/>
        </w:rPr>
        <w:t>-1</w:t>
      </w:r>
      <w:r w:rsidRPr="00C57EEB">
        <w:rPr>
          <w:rFonts w:ascii="Times New Roman" w:hAnsi="Times New Roman" w:cs="Times New Roman"/>
          <w:sz w:val="20"/>
          <w:szCs w:val="20"/>
          <w:lang w:val="en-GB"/>
        </w:rPr>
        <w:t xml:space="preserve">). First, total ATPase activity was measured in the linear region of the progress curve. Then, 100 </w:t>
      </w:r>
      <w:proofErr w:type="spellStart"/>
      <w:r w:rsidRPr="00C57EEB">
        <w:rPr>
          <w:rFonts w:ascii="Times New Roman" w:hAnsi="Times New Roman" w:cs="Times New Roman"/>
          <w:sz w:val="20"/>
          <w:szCs w:val="20"/>
          <w:lang w:val="en-GB"/>
        </w:rPr>
        <w:t>nM</w:t>
      </w:r>
      <w:proofErr w:type="spellEnd"/>
      <w:r w:rsidRPr="00C57EEB">
        <w:rPr>
          <w:rFonts w:ascii="Times New Roman" w:hAnsi="Times New Roman" w:cs="Times New Roman"/>
          <w:sz w:val="20"/>
          <w:szCs w:val="20"/>
          <w:lang w:val="en-GB"/>
        </w:rPr>
        <w:t xml:space="preserve"> </w:t>
      </w:r>
      <w:proofErr w:type="spellStart"/>
      <w:r w:rsidRPr="00C57EEB">
        <w:rPr>
          <w:rFonts w:ascii="Times New Roman" w:hAnsi="Times New Roman" w:cs="Times New Roman"/>
          <w:sz w:val="20"/>
          <w:szCs w:val="20"/>
          <w:lang w:val="en-GB"/>
        </w:rPr>
        <w:t>thapsigargin</w:t>
      </w:r>
      <w:proofErr w:type="spellEnd"/>
      <w:r w:rsidRPr="00C57EEB">
        <w:rPr>
          <w:rFonts w:ascii="Times New Roman" w:hAnsi="Times New Roman" w:cs="Times New Roman"/>
          <w:sz w:val="20"/>
          <w:szCs w:val="20"/>
          <w:lang w:val="en-GB"/>
        </w:rPr>
        <w:t xml:space="preserve"> (TG), a specific inhibitor of SERCA </w:t>
      </w:r>
      <w:r w:rsidRPr="00C57EEB">
        <w:rPr>
          <w:rFonts w:ascii="Times New Roman" w:hAnsi="Times New Roman" w:cs="Times New Roman"/>
          <w:sz w:val="20"/>
          <w:szCs w:val="20"/>
          <w:lang w:val="en-GB"/>
        </w:rPr>
        <w:fldChar w:fldCharType="begin"/>
      </w:r>
      <w:r w:rsidR="00C57EEB" w:rsidRPr="00C57EEB">
        <w:rPr>
          <w:rFonts w:ascii="Times New Roman" w:hAnsi="Times New Roman" w:cs="Times New Roman"/>
          <w:sz w:val="20"/>
          <w:szCs w:val="20"/>
          <w:lang w:val="en-GB"/>
        </w:rPr>
        <w:instrText xml:space="preserve"> ADDIN EN.CITE &lt;EndNote&gt;&lt;Cite&gt;&lt;Author&gt;Lytton&lt;/Author&gt;&lt;Year&gt;1991&lt;/Year&gt;&lt;RecNum&gt;1087&lt;/RecNum&gt;&lt;DisplayText&gt;[4]&lt;/DisplayText&gt;&lt;record&gt;&lt;rec-number&gt;1087&lt;/rec-number&gt;&lt;foreign-keys&gt;&lt;key app="EN" db-id="x0vp0esr8rxra5eavt4xad9qfae2rpzwt5rz" timestamp="1515495302"&gt;1087&lt;/key&gt;&lt;/foreign-keys&gt;&lt;ref-type name="Journal Article"&gt;17&lt;/ref-type&gt;&lt;contributors&gt;&lt;authors&gt;&lt;author&gt;Lytton, J&lt;/author&gt;&lt;author&gt;Westlin, M&lt;/author&gt;&lt;author&gt;Hanley, M R&lt;/author&gt;&lt;/authors&gt;&lt;/contributors&gt;&lt;titles&gt;&lt;title&gt;Thapsigargin inhibits the sarcoplasmic or endoplasmic reticulum Ca-ATPase family of calcium pumps&lt;/title&gt;&lt;secondary-title&gt;Journal of Biological Chemistry&lt;/secondary-title&gt;&lt;/titles&gt;&lt;periodical&gt;&lt;full-title&gt;Journal of Biological Chemistry&lt;/full-title&gt;&lt;abbr-1&gt;J Biol Chem&lt;/abbr-1&gt;&lt;/periodical&gt;&lt;pages&gt;17067-17071&lt;/pages&gt;&lt;volume&gt;266&lt;/volume&gt;&lt;number&gt;26&lt;/number&gt;&lt;dates&gt;&lt;year&gt;1991&lt;/year&gt;&lt;pub-dates&gt;&lt;date&gt;September 15, 1991&lt;/date&gt;&lt;/pub-dates&gt;&lt;/dates&gt;&lt;urls&gt;&lt;related-urls&gt;&lt;url&gt;http://www.jbc.org/content/266/26/17067.abstract&lt;/url&gt;&lt;/related-urls&gt;&lt;/urls&gt;&lt;/record&gt;&lt;/Cite&gt;&lt;/EndNote&gt;</w:instrText>
      </w:r>
      <w:r w:rsidRPr="00C57EEB">
        <w:rPr>
          <w:rFonts w:ascii="Times New Roman" w:hAnsi="Times New Roman" w:cs="Times New Roman"/>
          <w:sz w:val="20"/>
          <w:szCs w:val="20"/>
          <w:lang w:val="en-GB"/>
        </w:rPr>
        <w:fldChar w:fldCharType="separate"/>
      </w:r>
      <w:r w:rsidR="00C57EEB" w:rsidRPr="00C57EEB">
        <w:rPr>
          <w:rFonts w:ascii="Times New Roman" w:hAnsi="Times New Roman" w:cs="Times New Roman"/>
          <w:noProof/>
          <w:sz w:val="20"/>
          <w:szCs w:val="20"/>
          <w:lang w:val="en-GB"/>
        </w:rPr>
        <w:t>[4]</w:t>
      </w:r>
      <w:r w:rsidRPr="00C57EEB">
        <w:rPr>
          <w:rFonts w:ascii="Times New Roman" w:hAnsi="Times New Roman" w:cs="Times New Roman"/>
          <w:sz w:val="20"/>
          <w:szCs w:val="20"/>
          <w:lang w:val="en-GB"/>
        </w:rPr>
        <w:fldChar w:fldCharType="end"/>
      </w:r>
      <w:r w:rsidRPr="00C57EEB">
        <w:rPr>
          <w:rFonts w:ascii="Times New Roman" w:hAnsi="Times New Roman" w:cs="Times New Roman"/>
          <w:sz w:val="20"/>
          <w:szCs w:val="20"/>
          <w:lang w:val="en-GB"/>
        </w:rPr>
        <w:t xml:space="preserve">, was added directly to the assay and the remaining ATPase activity was measured. The difference between ATPase activities recorded before and after TG addition was attributed to SERCA. The standard reaction mixture contained 50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imidazole (pH 7.0), 100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w:t>
      </w:r>
      <w:proofErr w:type="spellStart"/>
      <w:r w:rsidRPr="00C57EEB">
        <w:rPr>
          <w:rFonts w:ascii="Times New Roman" w:hAnsi="Times New Roman" w:cs="Times New Roman"/>
          <w:sz w:val="20"/>
          <w:szCs w:val="20"/>
          <w:lang w:val="en-GB"/>
        </w:rPr>
        <w:t>KCl</w:t>
      </w:r>
      <w:proofErr w:type="spellEnd"/>
      <w:r w:rsidRPr="00C57EEB">
        <w:rPr>
          <w:rFonts w:ascii="Times New Roman" w:hAnsi="Times New Roman" w:cs="Times New Roman"/>
          <w:sz w:val="20"/>
          <w:szCs w:val="20"/>
          <w:lang w:val="en-GB"/>
        </w:rPr>
        <w:t xml:space="preserve">, 10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MgCl</w:t>
      </w:r>
      <w:r w:rsidRPr="00C57EEB">
        <w:rPr>
          <w:rFonts w:ascii="Times New Roman" w:hAnsi="Times New Roman" w:cs="Times New Roman"/>
          <w:sz w:val="20"/>
          <w:szCs w:val="20"/>
          <w:vertAlign w:val="subscript"/>
          <w:lang w:val="en-GB"/>
        </w:rPr>
        <w:t>2</w:t>
      </w:r>
      <w:r w:rsidRPr="00C57EEB">
        <w:rPr>
          <w:rFonts w:ascii="Times New Roman" w:hAnsi="Times New Roman" w:cs="Times New Roman"/>
          <w:sz w:val="20"/>
          <w:szCs w:val="20"/>
          <w:lang w:val="en-GB"/>
        </w:rPr>
        <w:t xml:space="preserve">, 10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NaN</w:t>
      </w:r>
      <w:r w:rsidRPr="00C57EEB">
        <w:rPr>
          <w:rFonts w:ascii="Times New Roman" w:hAnsi="Times New Roman" w:cs="Times New Roman"/>
          <w:sz w:val="20"/>
          <w:szCs w:val="20"/>
          <w:vertAlign w:val="subscript"/>
          <w:lang w:val="en-GB"/>
        </w:rPr>
        <w:t>3</w:t>
      </w:r>
      <w:r w:rsidRPr="00C57EEB">
        <w:rPr>
          <w:rFonts w:ascii="Times New Roman" w:hAnsi="Times New Roman" w:cs="Times New Roman"/>
          <w:sz w:val="20"/>
          <w:szCs w:val="20"/>
          <w:lang w:val="en-GB"/>
        </w:rPr>
        <w:t xml:space="preserve">, 1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EGTA, 0.5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DTT, 10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phosphoenolpyruvate (PEP), 5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ATP, 1 </w:t>
      </w:r>
      <w:proofErr w:type="spellStart"/>
      <w:r w:rsidRPr="00C57EEB">
        <w:rPr>
          <w:rFonts w:ascii="Times New Roman" w:hAnsi="Times New Roman" w:cs="Times New Roman"/>
          <w:sz w:val="20"/>
          <w:szCs w:val="20"/>
          <w:lang w:val="en-GB"/>
        </w:rPr>
        <w:t>mM</w:t>
      </w:r>
      <w:proofErr w:type="spellEnd"/>
      <w:r w:rsidRPr="00C57EEB">
        <w:rPr>
          <w:rFonts w:ascii="Times New Roman" w:hAnsi="Times New Roman" w:cs="Times New Roman"/>
          <w:sz w:val="20"/>
          <w:szCs w:val="20"/>
          <w:lang w:val="en-GB"/>
        </w:rPr>
        <w:t xml:space="preserve"> CaCl</w:t>
      </w:r>
      <w:r w:rsidRPr="00C57EEB">
        <w:rPr>
          <w:rFonts w:ascii="Times New Roman" w:hAnsi="Times New Roman" w:cs="Times New Roman"/>
          <w:sz w:val="20"/>
          <w:szCs w:val="20"/>
          <w:vertAlign w:val="subscript"/>
          <w:lang w:val="en-GB"/>
        </w:rPr>
        <w:t xml:space="preserve">2 </w:t>
      </w:r>
      <w:r w:rsidRPr="00C57EEB">
        <w:rPr>
          <w:rFonts w:ascii="Times New Roman" w:hAnsi="Times New Roman" w:cs="Times New Roman"/>
          <w:sz w:val="20"/>
          <w:szCs w:val="20"/>
          <w:lang w:val="en-GB"/>
        </w:rPr>
        <w:t>(10 µM free Ca</w:t>
      </w:r>
      <w:r w:rsidRPr="00C57EEB">
        <w:rPr>
          <w:rFonts w:ascii="Times New Roman" w:hAnsi="Times New Roman" w:cs="Times New Roman"/>
          <w:sz w:val="20"/>
          <w:szCs w:val="20"/>
          <w:vertAlign w:val="superscript"/>
          <w:lang w:val="en-GB"/>
        </w:rPr>
        <w:t>2+</w:t>
      </w:r>
      <w:r w:rsidRPr="00C57EEB">
        <w:rPr>
          <w:rFonts w:ascii="Times New Roman" w:hAnsi="Times New Roman" w:cs="Times New Roman"/>
          <w:sz w:val="20"/>
          <w:szCs w:val="20"/>
          <w:lang w:val="en-GB"/>
        </w:rPr>
        <w:t xml:space="preserve"> in solution), 5.3 unit.mL</w:t>
      </w:r>
      <w:r w:rsidRPr="00C57EEB">
        <w:rPr>
          <w:rFonts w:ascii="Times New Roman" w:hAnsi="Times New Roman" w:cs="Times New Roman"/>
          <w:sz w:val="20"/>
          <w:szCs w:val="20"/>
          <w:vertAlign w:val="superscript"/>
          <w:lang w:val="en-GB"/>
        </w:rPr>
        <w:t>-1</w:t>
      </w:r>
      <w:r w:rsidRPr="00C57EEB">
        <w:rPr>
          <w:rFonts w:ascii="Times New Roman" w:hAnsi="Times New Roman" w:cs="Times New Roman"/>
          <w:sz w:val="20"/>
          <w:szCs w:val="20"/>
          <w:lang w:val="en-GB"/>
        </w:rPr>
        <w:t xml:space="preserve"> pyruvate kinase, 17.5 unit.mL</w:t>
      </w:r>
      <w:r w:rsidRPr="00C57EEB">
        <w:rPr>
          <w:rFonts w:ascii="Times New Roman" w:hAnsi="Times New Roman" w:cs="Times New Roman"/>
          <w:sz w:val="20"/>
          <w:szCs w:val="20"/>
          <w:vertAlign w:val="superscript"/>
          <w:lang w:val="en-GB"/>
        </w:rPr>
        <w:t>-1</w:t>
      </w:r>
      <w:r w:rsidRPr="00C57EEB">
        <w:rPr>
          <w:rFonts w:ascii="Times New Roman" w:hAnsi="Times New Roman" w:cs="Times New Roman"/>
          <w:sz w:val="20"/>
          <w:szCs w:val="20"/>
          <w:lang w:val="en-GB"/>
        </w:rPr>
        <w:t xml:space="preserve"> lactate dehydrogenase, 300 µM NADH and 2 µM calcium </w:t>
      </w:r>
      <w:proofErr w:type="spellStart"/>
      <w:r w:rsidRPr="00C57EEB">
        <w:rPr>
          <w:rFonts w:ascii="Times New Roman" w:hAnsi="Times New Roman" w:cs="Times New Roman"/>
          <w:sz w:val="20"/>
          <w:szCs w:val="20"/>
          <w:lang w:val="en-GB"/>
        </w:rPr>
        <w:t>ionophore</w:t>
      </w:r>
      <w:proofErr w:type="spellEnd"/>
      <w:r w:rsidRPr="00C57EEB">
        <w:rPr>
          <w:rFonts w:ascii="Times New Roman" w:hAnsi="Times New Roman" w:cs="Times New Roman"/>
          <w:sz w:val="20"/>
          <w:szCs w:val="20"/>
          <w:lang w:val="en-GB"/>
        </w:rPr>
        <w:t xml:space="preserve"> (A23187) in a final volume of 1 </w:t>
      </w:r>
      <w:proofErr w:type="spellStart"/>
      <w:r w:rsidRPr="00C57EEB">
        <w:rPr>
          <w:rFonts w:ascii="Times New Roman" w:hAnsi="Times New Roman" w:cs="Times New Roman"/>
          <w:sz w:val="20"/>
          <w:szCs w:val="20"/>
          <w:lang w:val="en-GB"/>
        </w:rPr>
        <w:t>mL.</w:t>
      </w:r>
      <w:proofErr w:type="spellEnd"/>
      <w:r w:rsidRPr="00C57EEB">
        <w:rPr>
          <w:rFonts w:ascii="Times New Roman" w:hAnsi="Times New Roman" w:cs="Times New Roman"/>
          <w:sz w:val="20"/>
          <w:szCs w:val="20"/>
          <w:lang w:val="en-GB"/>
        </w:rPr>
        <w:t xml:space="preserve"> The reaction was initiated by the addition of a volume of the SR sample. ATP and free Ca</w:t>
      </w:r>
      <w:r w:rsidRPr="00C57EEB">
        <w:rPr>
          <w:rFonts w:ascii="Times New Roman" w:hAnsi="Times New Roman" w:cs="Times New Roman"/>
          <w:sz w:val="20"/>
          <w:szCs w:val="20"/>
          <w:vertAlign w:val="superscript"/>
          <w:lang w:val="en-GB"/>
        </w:rPr>
        <w:t>2+</w:t>
      </w:r>
      <w:r w:rsidRPr="00C57EEB">
        <w:rPr>
          <w:rFonts w:ascii="Times New Roman" w:hAnsi="Times New Roman" w:cs="Times New Roman"/>
          <w:sz w:val="20"/>
          <w:szCs w:val="20"/>
          <w:lang w:val="en-GB"/>
        </w:rPr>
        <w:t xml:space="preserve"> concentrations in the assay were saturating for SERCA, therefore the SERCA ATPase activities were measured at maximum velocity </w:t>
      </w:r>
      <w:r w:rsidRPr="00C57EEB">
        <w:rPr>
          <w:rFonts w:ascii="Times New Roman" w:hAnsi="Times New Roman" w:cs="Times New Roman"/>
          <w:sz w:val="20"/>
          <w:szCs w:val="20"/>
          <w:lang w:val="en-GB"/>
        </w:rPr>
        <w:fldChar w:fldCharType="begin"/>
      </w:r>
      <w:r w:rsidR="00C57EEB" w:rsidRPr="00C57EEB">
        <w:rPr>
          <w:rFonts w:ascii="Times New Roman" w:hAnsi="Times New Roman" w:cs="Times New Roman"/>
          <w:sz w:val="20"/>
          <w:szCs w:val="20"/>
          <w:lang w:val="en-GB"/>
        </w:rPr>
        <w:instrText xml:space="preserve"> ADDIN EN.CITE &lt;EndNote&gt;&lt;Cite&gt;&lt;Author&gt;Dode&lt;/Author&gt;&lt;Year&gt;2001&lt;/Year&gt;&lt;RecNum&gt;1116&lt;/RecNum&gt;&lt;DisplayText&gt;[5]&lt;/DisplayText&gt;&lt;record&gt;&lt;rec-number&gt;1116&lt;/rec-number&gt;&lt;foreign-keys&gt;&lt;key app="EN" db-id="x0vp0esr8rxra5eavt4xad9qfae2rpzwt5rz" timestamp="1518793980"&gt;1116&lt;/key&gt;&lt;/foreign-keys&gt;&lt;ref-type name="Journal Article"&gt;17&lt;/ref-type&gt;&lt;contributors&gt;&lt;authors&gt;&lt;author&gt;Dode, Leonard&lt;/author&gt;&lt;author&gt;Van Baelen, Kurt&lt;/author&gt;&lt;author&gt;Wuytack, Frank&lt;/author&gt;&lt;author&gt;Dean, William L.&lt;/author&gt;&lt;/authors&gt;&lt;/contributors&gt;&lt;titles&gt;&lt;title&gt;&lt;style face="normal" font="default" size="100%"&gt;Low temperature molecular adaptation of the skeletal muscle sarco(endo)plasmic reticulum Ca&lt;/style&gt;&lt;style face="superscript" font="default" size="100%"&gt;2+&lt;/style&gt;&lt;style face="normal" font="default" size="100%"&gt;-ATPase 1 (SERCA 1) in the wood frog (&lt;/style&gt;&lt;style face="italic" font="default" size="100%"&gt;Rana sylvatica&lt;/style&gt;&lt;style face="normal" font="default" size="100%"&gt;)&lt;/style&gt;&lt;/title&gt;&lt;secondary-title&gt;Journal of Biological Chemistry&lt;/secondary-title&gt;&lt;/titles&gt;&lt;periodical&gt;&lt;full-title&gt;Journal of Biological Chemistry&lt;/full-title&gt;&lt;abbr-1&gt;J Biol Chem&lt;/abbr-1&gt;&lt;/periodical&gt;&lt;pages&gt;3911-3919&lt;/pages&gt;&lt;volume&gt;276&lt;/volume&gt;&lt;number&gt;6&lt;/number&gt;&lt;dates&gt;&lt;year&gt;2001&lt;/year&gt;&lt;pub-dates&gt;&lt;date&gt;February 9, 2001&lt;/date&gt;&lt;/pub-dates&gt;&lt;/dates&gt;&lt;urls&gt;&lt;related-urls&gt;&lt;url&gt;http://www.jbc.org/content/276/6/3911.abstract&lt;/url&gt;&lt;/related-urls&gt;&lt;/urls&gt;&lt;electronic-resource-num&gt;10.1074/jbc.M007719200&lt;/electronic-resource-num&gt;&lt;/record&gt;&lt;/Cite&gt;&lt;/EndNote&gt;</w:instrText>
      </w:r>
      <w:r w:rsidRPr="00C57EEB">
        <w:rPr>
          <w:rFonts w:ascii="Times New Roman" w:hAnsi="Times New Roman" w:cs="Times New Roman"/>
          <w:sz w:val="20"/>
          <w:szCs w:val="20"/>
          <w:lang w:val="en-GB"/>
        </w:rPr>
        <w:fldChar w:fldCharType="separate"/>
      </w:r>
      <w:r w:rsidR="00C57EEB" w:rsidRPr="00C57EEB">
        <w:rPr>
          <w:rFonts w:ascii="Times New Roman" w:hAnsi="Times New Roman" w:cs="Times New Roman"/>
          <w:noProof/>
          <w:sz w:val="20"/>
          <w:szCs w:val="20"/>
          <w:lang w:val="en-GB"/>
        </w:rPr>
        <w:t>[5]</w:t>
      </w:r>
      <w:r w:rsidRPr="00C57EEB">
        <w:rPr>
          <w:rFonts w:ascii="Times New Roman" w:hAnsi="Times New Roman" w:cs="Times New Roman"/>
          <w:sz w:val="20"/>
          <w:szCs w:val="20"/>
          <w:lang w:val="en-GB"/>
        </w:rPr>
        <w:fldChar w:fldCharType="end"/>
      </w:r>
      <w:r w:rsidRPr="00C57EEB">
        <w:rPr>
          <w:rFonts w:ascii="Times New Roman" w:hAnsi="Times New Roman" w:cs="Times New Roman"/>
          <w:sz w:val="20"/>
          <w:szCs w:val="20"/>
          <w:lang w:val="en-GB"/>
        </w:rPr>
        <w:t>. Assays were performed at a temperature of 37°C. Data presented are means from at least three replicate measurements of SERCA activities, and are expressed as µ</w:t>
      </w:r>
      <w:proofErr w:type="spellStart"/>
      <w:r w:rsidRPr="00C57EEB">
        <w:rPr>
          <w:rFonts w:ascii="Times New Roman" w:hAnsi="Times New Roman" w:cs="Times New Roman"/>
          <w:sz w:val="20"/>
          <w:szCs w:val="20"/>
          <w:lang w:val="en-GB"/>
        </w:rPr>
        <w:t>mol</w:t>
      </w:r>
      <w:proofErr w:type="spellEnd"/>
      <w:r w:rsidRPr="00C57EEB">
        <w:rPr>
          <w:rFonts w:ascii="Times New Roman" w:hAnsi="Times New Roman" w:cs="Times New Roman"/>
          <w:sz w:val="20"/>
          <w:szCs w:val="20"/>
          <w:lang w:val="en-GB"/>
        </w:rPr>
        <w:t xml:space="preserve"> ATP mg</w:t>
      </w:r>
      <w:r w:rsidRPr="00C57EEB">
        <w:rPr>
          <w:rFonts w:ascii="Times New Roman" w:hAnsi="Times New Roman" w:cs="Times New Roman"/>
          <w:sz w:val="20"/>
          <w:szCs w:val="20"/>
          <w:vertAlign w:val="superscript"/>
          <w:lang w:val="en-GB"/>
        </w:rPr>
        <w:t>-1</w:t>
      </w:r>
      <w:r w:rsidRPr="00C57EEB">
        <w:rPr>
          <w:rFonts w:ascii="Times New Roman" w:hAnsi="Times New Roman" w:cs="Times New Roman"/>
          <w:sz w:val="20"/>
          <w:szCs w:val="20"/>
          <w:lang w:val="en-GB"/>
        </w:rPr>
        <w:t xml:space="preserve"> total protein min</w:t>
      </w:r>
      <w:r w:rsidRPr="00C57EEB">
        <w:rPr>
          <w:rFonts w:ascii="Times New Roman" w:hAnsi="Times New Roman" w:cs="Times New Roman"/>
          <w:sz w:val="20"/>
          <w:szCs w:val="20"/>
          <w:vertAlign w:val="superscript"/>
          <w:lang w:val="en-GB"/>
        </w:rPr>
        <w:t>-1</w:t>
      </w:r>
      <w:r w:rsidRPr="00C57EEB">
        <w:rPr>
          <w:rFonts w:ascii="Times New Roman" w:hAnsi="Times New Roman" w:cs="Times New Roman"/>
          <w:sz w:val="20"/>
          <w:szCs w:val="20"/>
          <w:lang w:val="en-GB"/>
        </w:rPr>
        <w:t>. </w:t>
      </w:r>
    </w:p>
    <w:p w:rsidR="002733EE" w:rsidRDefault="002733EE" w:rsidP="00377CE5">
      <w:pPr>
        <w:jc w:val="both"/>
        <w:rPr>
          <w:rFonts w:ascii="Times New Roman" w:hAnsi="Times New Roman" w:cs="Times New Roman"/>
          <w:sz w:val="20"/>
          <w:szCs w:val="20"/>
          <w:lang w:val="en-GB"/>
        </w:rPr>
      </w:pPr>
    </w:p>
    <w:p w:rsidR="00C61C40" w:rsidRPr="00C61C40" w:rsidRDefault="00C61C40" w:rsidP="00C61C40">
      <w:pPr>
        <w:rPr>
          <w:rFonts w:ascii="Times New Roman" w:hAnsi="Times New Roman" w:cs="Times New Roman"/>
          <w:b/>
          <w:sz w:val="20"/>
          <w:lang w:val="de-AT"/>
        </w:rPr>
      </w:pPr>
      <w:proofErr w:type="spellStart"/>
      <w:r w:rsidRPr="00C61C40">
        <w:rPr>
          <w:rFonts w:ascii="Times New Roman" w:hAnsi="Times New Roman" w:cs="Times New Roman"/>
          <w:b/>
          <w:sz w:val="20"/>
          <w:lang w:val="de-AT"/>
        </w:rPr>
        <w:t>Figure</w:t>
      </w:r>
      <w:proofErr w:type="spellEnd"/>
      <w:r w:rsidRPr="00C61C40">
        <w:rPr>
          <w:rFonts w:ascii="Times New Roman" w:hAnsi="Times New Roman" w:cs="Times New Roman"/>
          <w:b/>
          <w:sz w:val="20"/>
          <w:lang w:val="de-AT"/>
        </w:rPr>
        <w:t xml:space="preserve"> </w:t>
      </w:r>
      <w:proofErr w:type="spellStart"/>
      <w:r w:rsidRPr="00C61C40">
        <w:rPr>
          <w:rFonts w:ascii="Times New Roman" w:hAnsi="Times New Roman" w:cs="Times New Roman"/>
          <w:b/>
          <w:sz w:val="20"/>
          <w:lang w:val="de-AT"/>
        </w:rPr>
        <w:t>legends</w:t>
      </w:r>
      <w:proofErr w:type="spellEnd"/>
      <w:r w:rsidRPr="00C61C40">
        <w:rPr>
          <w:rFonts w:ascii="Times New Roman" w:hAnsi="Times New Roman" w:cs="Times New Roman"/>
          <w:b/>
          <w:sz w:val="20"/>
          <w:lang w:val="de-AT"/>
        </w:rPr>
        <w:t xml:space="preserve">: </w:t>
      </w:r>
    </w:p>
    <w:p w:rsidR="00C61C40" w:rsidRPr="00C61C40" w:rsidRDefault="00C61C40" w:rsidP="00C61C40">
      <w:pPr>
        <w:rPr>
          <w:rFonts w:ascii="Times New Roman" w:hAnsi="Times New Roman" w:cs="Times New Roman"/>
          <w:b/>
          <w:sz w:val="20"/>
          <w:lang w:val="de-AT"/>
        </w:rPr>
      </w:pPr>
      <w:proofErr w:type="spellStart"/>
      <w:r w:rsidRPr="00C61C40">
        <w:rPr>
          <w:rFonts w:ascii="Times New Roman" w:hAnsi="Times New Roman" w:cs="Times New Roman"/>
          <w:b/>
          <w:sz w:val="20"/>
          <w:lang w:val="de-AT"/>
        </w:rPr>
        <w:t>Figure</w:t>
      </w:r>
      <w:proofErr w:type="spellEnd"/>
      <w:r w:rsidRPr="00C61C40">
        <w:rPr>
          <w:rFonts w:ascii="Times New Roman" w:hAnsi="Times New Roman" w:cs="Times New Roman"/>
          <w:b/>
          <w:sz w:val="20"/>
          <w:lang w:val="de-AT"/>
        </w:rPr>
        <w:t xml:space="preserve"> S1: Power </w:t>
      </w:r>
      <w:proofErr w:type="spellStart"/>
      <w:r w:rsidRPr="00C61C40">
        <w:rPr>
          <w:rFonts w:ascii="Times New Roman" w:hAnsi="Times New Roman" w:cs="Times New Roman"/>
          <w:b/>
          <w:sz w:val="20"/>
          <w:lang w:val="de-AT"/>
        </w:rPr>
        <w:t>spectrum</w:t>
      </w:r>
      <w:proofErr w:type="spellEnd"/>
      <w:r w:rsidRPr="00C61C40">
        <w:rPr>
          <w:rFonts w:ascii="Times New Roman" w:hAnsi="Times New Roman" w:cs="Times New Roman"/>
          <w:b/>
          <w:sz w:val="20"/>
          <w:lang w:val="de-AT"/>
        </w:rPr>
        <w:t xml:space="preserve"> </w:t>
      </w:r>
      <w:proofErr w:type="spellStart"/>
      <w:r w:rsidRPr="00C61C40">
        <w:rPr>
          <w:rFonts w:ascii="Times New Roman" w:hAnsi="Times New Roman" w:cs="Times New Roman"/>
          <w:b/>
          <w:sz w:val="20"/>
          <w:lang w:val="de-AT"/>
        </w:rPr>
        <w:t>generated</w:t>
      </w:r>
      <w:proofErr w:type="spellEnd"/>
      <w:r w:rsidRPr="00C61C40">
        <w:rPr>
          <w:rFonts w:ascii="Times New Roman" w:hAnsi="Times New Roman" w:cs="Times New Roman"/>
          <w:b/>
          <w:sz w:val="20"/>
          <w:lang w:val="de-AT"/>
        </w:rPr>
        <w:t xml:space="preserve"> </w:t>
      </w:r>
      <w:proofErr w:type="spellStart"/>
      <w:r w:rsidRPr="00C61C40">
        <w:rPr>
          <w:rFonts w:ascii="Times New Roman" w:hAnsi="Times New Roman" w:cs="Times New Roman"/>
          <w:b/>
          <w:sz w:val="20"/>
          <w:lang w:val="de-AT"/>
        </w:rPr>
        <w:t>from</w:t>
      </w:r>
      <w:proofErr w:type="spellEnd"/>
      <w:r w:rsidRPr="00C61C40">
        <w:rPr>
          <w:rFonts w:ascii="Times New Roman" w:hAnsi="Times New Roman" w:cs="Times New Roman"/>
          <w:b/>
          <w:sz w:val="20"/>
          <w:lang w:val="de-AT"/>
        </w:rPr>
        <w:t xml:space="preserve"> </w:t>
      </w:r>
      <w:proofErr w:type="spellStart"/>
      <w:r w:rsidRPr="00C61C40">
        <w:rPr>
          <w:rFonts w:ascii="Times New Roman" w:hAnsi="Times New Roman" w:cs="Times New Roman"/>
          <w:b/>
          <w:sz w:val="20"/>
          <w:lang w:val="de-AT"/>
        </w:rPr>
        <w:t>accelerometer</w:t>
      </w:r>
      <w:proofErr w:type="spellEnd"/>
      <w:r w:rsidRPr="00C61C40">
        <w:rPr>
          <w:rFonts w:ascii="Times New Roman" w:hAnsi="Times New Roman" w:cs="Times New Roman"/>
          <w:b/>
          <w:sz w:val="20"/>
          <w:lang w:val="de-AT"/>
        </w:rPr>
        <w:t xml:space="preserve"> </w:t>
      </w:r>
      <w:proofErr w:type="spellStart"/>
      <w:r w:rsidRPr="00C61C40">
        <w:rPr>
          <w:rFonts w:ascii="Times New Roman" w:hAnsi="Times New Roman" w:cs="Times New Roman"/>
          <w:b/>
          <w:sz w:val="20"/>
          <w:lang w:val="de-AT"/>
        </w:rPr>
        <w:t>data</w:t>
      </w:r>
      <w:proofErr w:type="spellEnd"/>
      <w:r w:rsidRPr="00C61C40">
        <w:rPr>
          <w:rFonts w:ascii="Times New Roman" w:hAnsi="Times New Roman" w:cs="Times New Roman"/>
          <w:b/>
          <w:sz w:val="20"/>
          <w:lang w:val="de-AT"/>
        </w:rPr>
        <w:t xml:space="preserve">. </w:t>
      </w:r>
    </w:p>
    <w:p w:rsidR="00C61C40" w:rsidRDefault="00C61C40" w:rsidP="00377CE5">
      <w:pPr>
        <w:jc w:val="both"/>
        <w:rPr>
          <w:rFonts w:ascii="Times New Roman" w:hAnsi="Times New Roman" w:cs="Times New Roman"/>
          <w:sz w:val="20"/>
          <w:szCs w:val="20"/>
          <w:lang w:val="en-GB"/>
        </w:rPr>
      </w:pPr>
    </w:p>
    <w:p w:rsidR="00C61C40" w:rsidRPr="00C57EEB" w:rsidRDefault="00C61C40" w:rsidP="00377CE5">
      <w:pPr>
        <w:jc w:val="both"/>
        <w:rPr>
          <w:rFonts w:ascii="Times New Roman" w:hAnsi="Times New Roman" w:cs="Times New Roman"/>
          <w:sz w:val="20"/>
          <w:szCs w:val="20"/>
          <w:lang w:val="en-GB"/>
        </w:rPr>
      </w:pPr>
    </w:p>
    <w:p w:rsidR="00C57EEB" w:rsidRPr="00C57EEB" w:rsidRDefault="00C57EEB" w:rsidP="00377CE5">
      <w:pPr>
        <w:jc w:val="both"/>
        <w:rPr>
          <w:rFonts w:ascii="Times New Roman" w:hAnsi="Times New Roman" w:cs="Times New Roman"/>
          <w:b/>
          <w:sz w:val="20"/>
          <w:szCs w:val="20"/>
          <w:lang w:val="en-GB"/>
        </w:rPr>
      </w:pPr>
      <w:r w:rsidRPr="00C57EEB">
        <w:rPr>
          <w:rFonts w:ascii="Times New Roman" w:hAnsi="Times New Roman" w:cs="Times New Roman"/>
          <w:b/>
          <w:sz w:val="20"/>
          <w:szCs w:val="20"/>
          <w:lang w:val="en-GB"/>
        </w:rPr>
        <w:t>References</w:t>
      </w:r>
    </w:p>
    <w:p w:rsidR="00C57EEB" w:rsidRPr="00C57EEB" w:rsidRDefault="00C57EEB" w:rsidP="00C57EEB">
      <w:pPr>
        <w:pStyle w:val="EndNoteBibliography"/>
        <w:ind w:left="720" w:hanging="720"/>
        <w:rPr>
          <w:rFonts w:ascii="Times New Roman" w:hAnsi="Times New Roman" w:cs="Times New Roman"/>
          <w:sz w:val="20"/>
          <w:szCs w:val="20"/>
        </w:rPr>
      </w:pPr>
      <w:r w:rsidRPr="00C57EEB">
        <w:rPr>
          <w:rFonts w:ascii="Times New Roman" w:hAnsi="Times New Roman" w:cs="Times New Roman"/>
          <w:sz w:val="20"/>
          <w:szCs w:val="20"/>
          <w:lang w:val="en-GB"/>
        </w:rPr>
        <w:fldChar w:fldCharType="begin"/>
      </w:r>
      <w:r w:rsidRPr="00C57EEB">
        <w:rPr>
          <w:rFonts w:ascii="Times New Roman" w:hAnsi="Times New Roman" w:cs="Times New Roman"/>
          <w:sz w:val="20"/>
          <w:szCs w:val="20"/>
          <w:lang w:val="en-GB"/>
        </w:rPr>
        <w:instrText xml:space="preserve"> ADDIN EN.REFLIST </w:instrText>
      </w:r>
      <w:r w:rsidRPr="00C57EEB">
        <w:rPr>
          <w:rFonts w:ascii="Times New Roman" w:hAnsi="Times New Roman" w:cs="Times New Roman"/>
          <w:sz w:val="20"/>
          <w:szCs w:val="20"/>
          <w:lang w:val="en-GB"/>
        </w:rPr>
        <w:fldChar w:fldCharType="separate"/>
      </w:r>
      <w:r w:rsidRPr="00C57EEB">
        <w:rPr>
          <w:rFonts w:ascii="Times New Roman" w:hAnsi="Times New Roman" w:cs="Times New Roman"/>
          <w:sz w:val="20"/>
          <w:szCs w:val="20"/>
        </w:rPr>
        <w:t>1.</w:t>
      </w:r>
      <w:r w:rsidRPr="00C57EEB">
        <w:rPr>
          <w:rFonts w:ascii="Times New Roman" w:hAnsi="Times New Roman" w:cs="Times New Roman"/>
          <w:sz w:val="20"/>
          <w:szCs w:val="20"/>
        </w:rPr>
        <w:tab/>
        <w:t xml:space="preserve">Hall, T., </w:t>
      </w:r>
      <w:r w:rsidRPr="00C57EEB">
        <w:rPr>
          <w:rFonts w:ascii="Times New Roman" w:hAnsi="Times New Roman" w:cs="Times New Roman"/>
          <w:i/>
          <w:sz w:val="20"/>
          <w:szCs w:val="20"/>
        </w:rPr>
        <w:t>A user-friendly biological sequence alignment editor and analysis program for Windows 95/98/NT.</w:t>
      </w:r>
      <w:r w:rsidRPr="00C57EEB">
        <w:rPr>
          <w:rFonts w:ascii="Times New Roman" w:hAnsi="Times New Roman" w:cs="Times New Roman"/>
          <w:sz w:val="20"/>
          <w:szCs w:val="20"/>
        </w:rPr>
        <w:t xml:space="preserve"> Nucl Acids Symp Ser, 1999. </w:t>
      </w:r>
      <w:r w:rsidRPr="00C57EEB">
        <w:rPr>
          <w:rFonts w:ascii="Times New Roman" w:hAnsi="Times New Roman" w:cs="Times New Roman"/>
          <w:b/>
          <w:sz w:val="20"/>
          <w:szCs w:val="20"/>
        </w:rPr>
        <w:t>41</w:t>
      </w:r>
      <w:r w:rsidRPr="00C57EEB">
        <w:rPr>
          <w:rFonts w:ascii="Times New Roman" w:hAnsi="Times New Roman" w:cs="Times New Roman"/>
          <w:sz w:val="20"/>
          <w:szCs w:val="20"/>
        </w:rPr>
        <w:t>: p. 95-98.</w:t>
      </w:r>
    </w:p>
    <w:p w:rsidR="00C57EEB" w:rsidRPr="00C57EEB" w:rsidRDefault="00C57EEB" w:rsidP="00C57EEB">
      <w:pPr>
        <w:pStyle w:val="EndNoteBibliography"/>
        <w:ind w:left="720" w:hanging="720"/>
        <w:rPr>
          <w:rFonts w:ascii="Times New Roman" w:hAnsi="Times New Roman" w:cs="Times New Roman"/>
          <w:sz w:val="20"/>
          <w:szCs w:val="20"/>
        </w:rPr>
      </w:pPr>
      <w:r w:rsidRPr="00C57EEB">
        <w:rPr>
          <w:rFonts w:ascii="Times New Roman" w:hAnsi="Times New Roman" w:cs="Times New Roman"/>
          <w:sz w:val="20"/>
          <w:szCs w:val="20"/>
        </w:rPr>
        <w:t>2.</w:t>
      </w:r>
      <w:r w:rsidRPr="00C57EEB">
        <w:rPr>
          <w:rFonts w:ascii="Times New Roman" w:hAnsi="Times New Roman" w:cs="Times New Roman"/>
          <w:sz w:val="20"/>
          <w:szCs w:val="20"/>
        </w:rPr>
        <w:tab/>
        <w:t xml:space="preserve">Bradford, M.M., </w:t>
      </w:r>
      <w:r w:rsidRPr="00C57EEB">
        <w:rPr>
          <w:rFonts w:ascii="Times New Roman" w:hAnsi="Times New Roman" w:cs="Times New Roman"/>
          <w:i/>
          <w:sz w:val="20"/>
          <w:szCs w:val="20"/>
        </w:rPr>
        <w:t>A rapid and sensitive method for the quantitation of microgram quantities of protein utilizing the principle of protein-dye binding.</w:t>
      </w:r>
      <w:r w:rsidRPr="00C57EEB">
        <w:rPr>
          <w:rFonts w:ascii="Times New Roman" w:hAnsi="Times New Roman" w:cs="Times New Roman"/>
          <w:sz w:val="20"/>
          <w:szCs w:val="20"/>
        </w:rPr>
        <w:t xml:space="preserve"> Analytical Biochemistry, 1976. </w:t>
      </w:r>
      <w:r w:rsidRPr="00C57EEB">
        <w:rPr>
          <w:rFonts w:ascii="Times New Roman" w:hAnsi="Times New Roman" w:cs="Times New Roman"/>
          <w:b/>
          <w:sz w:val="20"/>
          <w:szCs w:val="20"/>
        </w:rPr>
        <w:t>72</w:t>
      </w:r>
      <w:r w:rsidRPr="00C57EEB">
        <w:rPr>
          <w:rFonts w:ascii="Times New Roman" w:hAnsi="Times New Roman" w:cs="Times New Roman"/>
          <w:sz w:val="20"/>
          <w:szCs w:val="20"/>
        </w:rPr>
        <w:t>(1): p. 248-254.</w:t>
      </w:r>
    </w:p>
    <w:p w:rsidR="00C57EEB" w:rsidRPr="00C57EEB" w:rsidRDefault="00C57EEB" w:rsidP="00C57EEB">
      <w:pPr>
        <w:pStyle w:val="EndNoteBibliography"/>
        <w:ind w:left="720" w:hanging="720"/>
        <w:rPr>
          <w:rFonts w:ascii="Times New Roman" w:hAnsi="Times New Roman" w:cs="Times New Roman"/>
          <w:sz w:val="20"/>
          <w:szCs w:val="20"/>
        </w:rPr>
      </w:pPr>
      <w:r w:rsidRPr="00C57EEB">
        <w:rPr>
          <w:rFonts w:ascii="Times New Roman" w:hAnsi="Times New Roman" w:cs="Times New Roman"/>
          <w:sz w:val="20"/>
          <w:szCs w:val="20"/>
        </w:rPr>
        <w:t>3.</w:t>
      </w:r>
      <w:r w:rsidRPr="00C57EEB">
        <w:rPr>
          <w:rFonts w:ascii="Times New Roman" w:hAnsi="Times New Roman" w:cs="Times New Roman"/>
          <w:sz w:val="20"/>
          <w:szCs w:val="20"/>
        </w:rPr>
        <w:tab/>
        <w:t xml:space="preserve">Simonides, W.S. and C. van Hardeveld, </w:t>
      </w:r>
      <w:r w:rsidRPr="00C57EEB">
        <w:rPr>
          <w:rFonts w:ascii="Times New Roman" w:hAnsi="Times New Roman" w:cs="Times New Roman"/>
          <w:i/>
          <w:sz w:val="20"/>
          <w:szCs w:val="20"/>
        </w:rPr>
        <w:t>An assay for sarcoplasmic reticulum Ca</w:t>
      </w:r>
      <w:r w:rsidRPr="00C57EEB">
        <w:rPr>
          <w:rFonts w:ascii="Times New Roman" w:hAnsi="Times New Roman" w:cs="Times New Roman"/>
          <w:i/>
          <w:sz w:val="20"/>
          <w:szCs w:val="20"/>
          <w:vertAlign w:val="superscript"/>
        </w:rPr>
        <w:t>2+</w:t>
      </w:r>
      <w:r w:rsidRPr="00C57EEB">
        <w:rPr>
          <w:rFonts w:ascii="Times New Roman" w:hAnsi="Times New Roman" w:cs="Times New Roman"/>
          <w:i/>
          <w:sz w:val="20"/>
          <w:szCs w:val="20"/>
        </w:rPr>
        <w:t>-ATPase activity in muscle homogenates.</w:t>
      </w:r>
      <w:r w:rsidRPr="00C57EEB">
        <w:rPr>
          <w:rFonts w:ascii="Times New Roman" w:hAnsi="Times New Roman" w:cs="Times New Roman"/>
          <w:sz w:val="20"/>
          <w:szCs w:val="20"/>
        </w:rPr>
        <w:t xml:space="preserve"> Analytical Biochemistry, 1990. </w:t>
      </w:r>
      <w:r w:rsidRPr="00C57EEB">
        <w:rPr>
          <w:rFonts w:ascii="Times New Roman" w:hAnsi="Times New Roman" w:cs="Times New Roman"/>
          <w:b/>
          <w:sz w:val="20"/>
          <w:szCs w:val="20"/>
        </w:rPr>
        <w:t>191</w:t>
      </w:r>
      <w:r w:rsidRPr="00C57EEB">
        <w:rPr>
          <w:rFonts w:ascii="Times New Roman" w:hAnsi="Times New Roman" w:cs="Times New Roman"/>
          <w:sz w:val="20"/>
          <w:szCs w:val="20"/>
        </w:rPr>
        <w:t>(2): p. 321-331.</w:t>
      </w:r>
    </w:p>
    <w:p w:rsidR="00C57EEB" w:rsidRPr="00C57EEB" w:rsidRDefault="00C57EEB" w:rsidP="00C57EEB">
      <w:pPr>
        <w:pStyle w:val="EndNoteBibliography"/>
        <w:ind w:left="720" w:hanging="720"/>
        <w:rPr>
          <w:rFonts w:ascii="Times New Roman" w:hAnsi="Times New Roman" w:cs="Times New Roman"/>
          <w:sz w:val="20"/>
          <w:szCs w:val="20"/>
        </w:rPr>
      </w:pPr>
      <w:r w:rsidRPr="00C57EEB">
        <w:rPr>
          <w:rFonts w:ascii="Times New Roman" w:hAnsi="Times New Roman" w:cs="Times New Roman"/>
          <w:sz w:val="20"/>
          <w:szCs w:val="20"/>
        </w:rPr>
        <w:t>4.</w:t>
      </w:r>
      <w:r w:rsidRPr="00C57EEB">
        <w:rPr>
          <w:rFonts w:ascii="Times New Roman" w:hAnsi="Times New Roman" w:cs="Times New Roman"/>
          <w:sz w:val="20"/>
          <w:szCs w:val="20"/>
        </w:rPr>
        <w:tab/>
        <w:t xml:space="preserve">Lytton, J., M. Westlin, and M.R. Hanley, </w:t>
      </w:r>
      <w:r w:rsidRPr="00C57EEB">
        <w:rPr>
          <w:rFonts w:ascii="Times New Roman" w:hAnsi="Times New Roman" w:cs="Times New Roman"/>
          <w:i/>
          <w:sz w:val="20"/>
          <w:szCs w:val="20"/>
        </w:rPr>
        <w:t>Thapsigargin inhibits the sarcoplasmic or endoplasmic reticulum Ca-ATPase family of calcium pumps.</w:t>
      </w:r>
      <w:r w:rsidRPr="00C57EEB">
        <w:rPr>
          <w:rFonts w:ascii="Times New Roman" w:hAnsi="Times New Roman" w:cs="Times New Roman"/>
          <w:sz w:val="20"/>
          <w:szCs w:val="20"/>
        </w:rPr>
        <w:t xml:space="preserve"> Journal of Biological Chemistry, 1991. </w:t>
      </w:r>
      <w:r w:rsidRPr="00C57EEB">
        <w:rPr>
          <w:rFonts w:ascii="Times New Roman" w:hAnsi="Times New Roman" w:cs="Times New Roman"/>
          <w:b/>
          <w:sz w:val="20"/>
          <w:szCs w:val="20"/>
        </w:rPr>
        <w:t>266</w:t>
      </w:r>
      <w:r w:rsidRPr="00C57EEB">
        <w:rPr>
          <w:rFonts w:ascii="Times New Roman" w:hAnsi="Times New Roman" w:cs="Times New Roman"/>
          <w:sz w:val="20"/>
          <w:szCs w:val="20"/>
        </w:rPr>
        <w:t>(26): p. 17067-17071.</w:t>
      </w:r>
    </w:p>
    <w:p w:rsidR="00C57EEB" w:rsidRPr="00C57EEB" w:rsidRDefault="00C57EEB" w:rsidP="00C57EEB">
      <w:pPr>
        <w:pStyle w:val="EndNoteBibliography"/>
        <w:ind w:left="720" w:hanging="720"/>
        <w:rPr>
          <w:rFonts w:ascii="Times New Roman" w:hAnsi="Times New Roman" w:cs="Times New Roman"/>
          <w:sz w:val="20"/>
          <w:szCs w:val="20"/>
        </w:rPr>
      </w:pPr>
      <w:r w:rsidRPr="00C57EEB">
        <w:rPr>
          <w:rFonts w:ascii="Times New Roman" w:hAnsi="Times New Roman" w:cs="Times New Roman"/>
          <w:sz w:val="20"/>
          <w:szCs w:val="20"/>
        </w:rPr>
        <w:t>5.</w:t>
      </w:r>
      <w:r w:rsidRPr="00C57EEB">
        <w:rPr>
          <w:rFonts w:ascii="Times New Roman" w:hAnsi="Times New Roman" w:cs="Times New Roman"/>
          <w:sz w:val="20"/>
          <w:szCs w:val="20"/>
        </w:rPr>
        <w:tab/>
        <w:t xml:space="preserve">Dode, L., et al., </w:t>
      </w:r>
      <w:r w:rsidRPr="00C57EEB">
        <w:rPr>
          <w:rFonts w:ascii="Times New Roman" w:hAnsi="Times New Roman" w:cs="Times New Roman"/>
          <w:i/>
          <w:sz w:val="20"/>
          <w:szCs w:val="20"/>
        </w:rPr>
        <w:t>Low temperature molecular adaptation of the skeletal muscle sarco(endo)plasmic reticulum Ca</w:t>
      </w:r>
      <w:r w:rsidRPr="00C57EEB">
        <w:rPr>
          <w:rFonts w:ascii="Times New Roman" w:hAnsi="Times New Roman" w:cs="Times New Roman"/>
          <w:i/>
          <w:sz w:val="20"/>
          <w:szCs w:val="20"/>
          <w:vertAlign w:val="superscript"/>
        </w:rPr>
        <w:t>2+</w:t>
      </w:r>
      <w:r w:rsidRPr="00C57EEB">
        <w:rPr>
          <w:rFonts w:ascii="Times New Roman" w:hAnsi="Times New Roman" w:cs="Times New Roman"/>
          <w:i/>
          <w:sz w:val="20"/>
          <w:szCs w:val="20"/>
        </w:rPr>
        <w:t>-ATPase 1 (SERCA 1) in the wood frog (Rana sylvatica).</w:t>
      </w:r>
      <w:r w:rsidRPr="00C57EEB">
        <w:rPr>
          <w:rFonts w:ascii="Times New Roman" w:hAnsi="Times New Roman" w:cs="Times New Roman"/>
          <w:sz w:val="20"/>
          <w:szCs w:val="20"/>
        </w:rPr>
        <w:t xml:space="preserve"> Journal of Biological Chemistry, 2001. </w:t>
      </w:r>
      <w:r w:rsidRPr="00C57EEB">
        <w:rPr>
          <w:rFonts w:ascii="Times New Roman" w:hAnsi="Times New Roman" w:cs="Times New Roman"/>
          <w:b/>
          <w:sz w:val="20"/>
          <w:szCs w:val="20"/>
        </w:rPr>
        <w:t>276</w:t>
      </w:r>
      <w:r w:rsidRPr="00C57EEB">
        <w:rPr>
          <w:rFonts w:ascii="Times New Roman" w:hAnsi="Times New Roman" w:cs="Times New Roman"/>
          <w:sz w:val="20"/>
          <w:szCs w:val="20"/>
        </w:rPr>
        <w:t>(6): p. 3911-3919.</w:t>
      </w:r>
    </w:p>
    <w:p w:rsidR="00893920" w:rsidRPr="00377CE5" w:rsidRDefault="00C57EEB" w:rsidP="00377CE5">
      <w:pPr>
        <w:jc w:val="both"/>
        <w:rPr>
          <w:rFonts w:ascii="Times New Roman" w:hAnsi="Times New Roman" w:cs="Times New Roman"/>
          <w:sz w:val="22"/>
          <w:szCs w:val="22"/>
          <w:lang w:val="en-GB"/>
        </w:rPr>
      </w:pPr>
      <w:r w:rsidRPr="00C57EEB">
        <w:rPr>
          <w:rFonts w:ascii="Times New Roman" w:hAnsi="Times New Roman" w:cs="Times New Roman"/>
          <w:sz w:val="20"/>
          <w:szCs w:val="20"/>
          <w:lang w:val="en-GB"/>
        </w:rPr>
        <w:fldChar w:fldCharType="end"/>
      </w:r>
      <w:bookmarkStart w:id="0" w:name="_GoBack"/>
      <w:bookmarkEnd w:id="0"/>
    </w:p>
    <w:sectPr w:rsidR="00893920" w:rsidRPr="00377CE5" w:rsidSect="00C57EEB">
      <w:pgSz w:w="11900" w:h="16840"/>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vp0esr8rxra5eavt4xad9qfae2rpzwt5rz&quot;&gt;Julia&lt;record-ids&gt;&lt;item&gt;1086&lt;/item&gt;&lt;item&gt;1087&lt;/item&gt;&lt;item&gt;1088&lt;/item&gt;&lt;item&gt;1099&lt;/item&gt;&lt;item&gt;1116&lt;/item&gt;&lt;/record-ids&gt;&lt;/item&gt;&lt;/Libraries&gt;"/>
  </w:docVars>
  <w:rsids>
    <w:rsidRoot w:val="00377CE5"/>
    <w:rsid w:val="002733EE"/>
    <w:rsid w:val="00377CE5"/>
    <w:rsid w:val="00435AB5"/>
    <w:rsid w:val="008216FF"/>
    <w:rsid w:val="009A0FE0"/>
    <w:rsid w:val="00C57EEB"/>
    <w:rsid w:val="00C61C40"/>
    <w:rsid w:val="00D26C9C"/>
    <w:rsid w:val="00DE4E71"/>
    <w:rsid w:val="00EB7374"/>
    <w:rsid w:val="00FF77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CE5"/>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7CE5"/>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77CE5"/>
  </w:style>
  <w:style w:type="paragraph" w:customStyle="1" w:styleId="EndNoteBibliographyTitle">
    <w:name w:val="EndNote Bibliography Title"/>
    <w:basedOn w:val="Standard"/>
    <w:link w:val="EndNoteBibliographyTitleZchn"/>
    <w:rsid w:val="00C57EEB"/>
    <w:pPr>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57EEB"/>
    <w:rPr>
      <w:rFonts w:ascii="Calibri" w:eastAsiaTheme="minorEastAsia" w:hAnsi="Calibri"/>
      <w:noProof/>
      <w:sz w:val="24"/>
      <w:szCs w:val="24"/>
      <w:lang w:val="de-DE" w:eastAsia="de-DE"/>
    </w:rPr>
  </w:style>
  <w:style w:type="paragraph" w:customStyle="1" w:styleId="EndNoteBibliography">
    <w:name w:val="EndNote Bibliography"/>
    <w:basedOn w:val="Standard"/>
    <w:link w:val="EndNoteBibliographyZchn"/>
    <w:rsid w:val="00C57EEB"/>
    <w:pPr>
      <w:jc w:val="both"/>
    </w:pPr>
    <w:rPr>
      <w:rFonts w:ascii="Calibri" w:hAnsi="Calibri"/>
      <w:noProof/>
    </w:rPr>
  </w:style>
  <w:style w:type="character" w:customStyle="1" w:styleId="EndNoteBibliographyZchn">
    <w:name w:val="EndNote Bibliography Zchn"/>
    <w:basedOn w:val="Absatz-Standardschriftart"/>
    <w:link w:val="EndNoteBibliography"/>
    <w:rsid w:val="00C57EEB"/>
    <w:rPr>
      <w:rFonts w:ascii="Calibri" w:eastAsiaTheme="minorEastAsia" w:hAnsi="Calibri"/>
      <w:noProof/>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CE5"/>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7CE5"/>
    <w:pPr>
      <w:spacing w:after="0" w:line="240" w:lineRule="auto"/>
    </w:pPr>
    <w:rPr>
      <w:rFonts w:eastAsia="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77CE5"/>
  </w:style>
  <w:style w:type="paragraph" w:customStyle="1" w:styleId="EndNoteBibliographyTitle">
    <w:name w:val="EndNote Bibliography Title"/>
    <w:basedOn w:val="Standard"/>
    <w:link w:val="EndNoteBibliographyTitleZchn"/>
    <w:rsid w:val="00C57EEB"/>
    <w:pPr>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C57EEB"/>
    <w:rPr>
      <w:rFonts w:ascii="Calibri" w:eastAsiaTheme="minorEastAsia" w:hAnsi="Calibri"/>
      <w:noProof/>
      <w:sz w:val="24"/>
      <w:szCs w:val="24"/>
      <w:lang w:val="de-DE" w:eastAsia="de-DE"/>
    </w:rPr>
  </w:style>
  <w:style w:type="paragraph" w:customStyle="1" w:styleId="EndNoteBibliography">
    <w:name w:val="EndNote Bibliography"/>
    <w:basedOn w:val="Standard"/>
    <w:link w:val="EndNoteBibliographyZchn"/>
    <w:rsid w:val="00C57EEB"/>
    <w:pPr>
      <w:jc w:val="both"/>
    </w:pPr>
    <w:rPr>
      <w:rFonts w:ascii="Calibri" w:hAnsi="Calibri"/>
      <w:noProof/>
    </w:rPr>
  </w:style>
  <w:style w:type="character" w:customStyle="1" w:styleId="EndNoteBibliographyZchn">
    <w:name w:val="EndNote Bibliography Zchn"/>
    <w:basedOn w:val="Absatz-Standardschriftart"/>
    <w:link w:val="EndNoteBibliography"/>
    <w:rsid w:val="00C57EEB"/>
    <w:rPr>
      <w:rFonts w:ascii="Calibri" w:eastAsiaTheme="minorEastAsia" w:hAnsi="Calibri"/>
      <w:noProo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1901</Words>
  <Characters>11983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Nowack</dc:creator>
  <cp:lastModifiedBy>Julia Nowack</cp:lastModifiedBy>
  <cp:revision>2</cp:revision>
  <dcterms:created xsi:type="dcterms:W3CDTF">2018-06-21T12:07:00Z</dcterms:created>
  <dcterms:modified xsi:type="dcterms:W3CDTF">2018-06-21T12:07:00Z</dcterms:modified>
</cp:coreProperties>
</file>