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BD" w:rsidRPr="00E5035D" w:rsidRDefault="00B930BD" w:rsidP="00B930BD">
      <w:pPr>
        <w:pStyle w:val="Heading1"/>
        <w:spacing w:line="480" w:lineRule="auto"/>
        <w:ind w:right="280"/>
        <w:jc w:val="left"/>
        <w:rPr>
          <w:b/>
        </w:rPr>
      </w:pPr>
      <w:r w:rsidRPr="00E5035D">
        <w:rPr>
          <w:b/>
        </w:rPr>
        <w:t>SUPPLEMENTAL FIGURE LEGENDS</w:t>
      </w:r>
    </w:p>
    <w:p w:rsidR="00B930BD" w:rsidRPr="00E5035D" w:rsidRDefault="00B930BD" w:rsidP="00B930BD">
      <w:pPr>
        <w:pStyle w:val="Heading1"/>
        <w:spacing w:line="480" w:lineRule="auto"/>
        <w:ind w:right="280"/>
        <w:jc w:val="left"/>
        <w:rPr>
          <w:b/>
        </w:rPr>
      </w:pPr>
    </w:p>
    <w:p w:rsidR="00B930BD" w:rsidRPr="00E5035D" w:rsidRDefault="00B930BD" w:rsidP="00B930BD">
      <w:pPr>
        <w:pStyle w:val="Heading1"/>
        <w:spacing w:line="480" w:lineRule="auto"/>
        <w:ind w:right="280"/>
        <w:jc w:val="left"/>
      </w:pPr>
      <w:r w:rsidRPr="00E5035D">
        <w:rPr>
          <w:b/>
        </w:rPr>
        <w:t>Figure S1. Effects of m</w:t>
      </w:r>
      <w:r>
        <w:rPr>
          <w:b/>
        </w:rPr>
        <w:t>ul</w:t>
      </w:r>
      <w:r w:rsidRPr="00E5035D">
        <w:rPr>
          <w:b/>
        </w:rPr>
        <w:t xml:space="preserve">tiple amino acid dropout on bovine blastocyst development. </w:t>
      </w:r>
      <w:bookmarkStart w:id="0" w:name="_GoBack"/>
      <w:r w:rsidRPr="00E5035D">
        <w:t>Effect of BSA- versus amino acid-free c</w:t>
      </w:r>
      <w:r>
        <w:t>ul</w:t>
      </w:r>
      <w:r w:rsidRPr="00E5035D">
        <w:t xml:space="preserve">ture media on development into blastocysts (B) of morphological grade 1-3 (B1-3) and B1-2 on Day (D) 8. Embryos were developing from D5 onwards under group (A) and single </w:t>
      </w:r>
      <w:r>
        <w:t>cult</w:t>
      </w:r>
      <w:r w:rsidRPr="00E5035D">
        <w:t xml:space="preserve">ure conditions without (B) or with (C) being washed before transfer into amino acid </w:t>
      </w:r>
      <w:r>
        <w:t>dropout</w:t>
      </w:r>
      <w:r w:rsidRPr="00E5035D">
        <w:t xml:space="preserve"> medium. Asterisks indicate significant differences (*=P&lt;0.05, **=P&lt;0.001) from the complete protein control group. Error bars = </w:t>
      </w:r>
      <w:proofErr w:type="spellStart"/>
      <w:proofErr w:type="gramStart"/>
      <w:r w:rsidRPr="00E5035D">
        <w:t>sem</w:t>
      </w:r>
      <w:proofErr w:type="spellEnd"/>
      <w:proofErr w:type="gramEnd"/>
      <w:r w:rsidRPr="00E5035D">
        <w:t>; N = no. of embryos placed into IVC; n = no. of independent IVF experiments; Effect of dropping out (D) two to three (</w:t>
      </w:r>
      <w:r>
        <w:t>-</w:t>
      </w:r>
      <w:r w:rsidRPr="00E5035D">
        <w:t xml:space="preserve">IL, </w:t>
      </w:r>
      <w:r>
        <w:t>-</w:t>
      </w:r>
      <w:r w:rsidRPr="00E5035D">
        <w:t xml:space="preserve">IK, </w:t>
      </w:r>
      <w:r>
        <w:t>-</w:t>
      </w:r>
      <w:r w:rsidRPr="00E5035D">
        <w:t xml:space="preserve">KL, </w:t>
      </w:r>
      <w:r>
        <w:t>-</w:t>
      </w:r>
      <w:r w:rsidRPr="00E5035D">
        <w:t>IKL), (E) six (</w:t>
      </w:r>
      <w:r>
        <w:t>-</w:t>
      </w:r>
      <w:r w:rsidRPr="00E5035D">
        <w:t xml:space="preserve">HPRVWY, </w:t>
      </w:r>
      <w:r>
        <w:t>-</w:t>
      </w:r>
      <w:r w:rsidRPr="00E5035D">
        <w:t xml:space="preserve">CIKLMT) or (F) nine (+CMT, +IKL) candidate EAAs on blastocyst development into B1-3 and B1-2. </w:t>
      </w:r>
      <w:proofErr w:type="gramStart"/>
      <w:r w:rsidRPr="00E5035D">
        <w:t>ab</w:t>
      </w:r>
      <w:proofErr w:type="gramEnd"/>
      <w:r w:rsidRPr="00E5035D">
        <w:t xml:space="preserve">= groups with different letters within each grading category differ P&lt;0.005. Error bars = </w:t>
      </w:r>
      <w:proofErr w:type="spellStart"/>
      <w:proofErr w:type="gramStart"/>
      <w:r w:rsidRPr="00E5035D">
        <w:t>sem</w:t>
      </w:r>
      <w:proofErr w:type="spellEnd"/>
      <w:proofErr w:type="gramEnd"/>
      <w:r w:rsidRPr="00E5035D">
        <w:t xml:space="preserve">; n = no. of independent IVF experiments (N = no. of embryos placed into IVC); NEAAs = non-essential AAs. Dropped out amino acids are shown in 3 letter code. </w:t>
      </w:r>
      <w:bookmarkEnd w:id="0"/>
      <w:r w:rsidRPr="00E5035D">
        <w:br/>
      </w:r>
    </w:p>
    <w:p w:rsidR="00B930BD" w:rsidRPr="00E5035D" w:rsidRDefault="00B930BD" w:rsidP="00B930BD">
      <w:pPr>
        <w:pStyle w:val="Heading1"/>
        <w:spacing w:line="480" w:lineRule="auto"/>
        <w:ind w:right="280"/>
        <w:jc w:val="left"/>
      </w:pPr>
      <w:bookmarkStart w:id="1" w:name="_38w0j246t12t" w:colFirst="0" w:colLast="0"/>
      <w:bookmarkEnd w:id="1"/>
      <w:r w:rsidRPr="00E5035D">
        <w:rPr>
          <w:b/>
        </w:rPr>
        <w:t>Figure S2</w:t>
      </w:r>
      <w:r w:rsidR="00DB67F4">
        <w:rPr>
          <w:b/>
        </w:rPr>
        <w:t>.</w:t>
      </w:r>
      <w:r w:rsidRPr="00E5035D">
        <w:rPr>
          <w:b/>
        </w:rPr>
        <w:t xml:space="preserve"> TDH expression in mouse cells. </w:t>
      </w:r>
      <w:r w:rsidRPr="00E5035D">
        <w:t xml:space="preserve">A) </w:t>
      </w:r>
      <w:proofErr w:type="spellStart"/>
      <w:r w:rsidRPr="00E5035D">
        <w:t>qRT</w:t>
      </w:r>
      <w:proofErr w:type="spellEnd"/>
      <w:r w:rsidRPr="00E5035D">
        <w:t xml:space="preserve">-PCR for </w:t>
      </w:r>
      <w:r w:rsidRPr="00E5035D">
        <w:rPr>
          <w:i/>
        </w:rPr>
        <w:t>TDH</w:t>
      </w:r>
      <w:r w:rsidRPr="00E5035D">
        <w:t xml:space="preserve"> gene expression in murine embryonic cells. Relative values were normalised on </w:t>
      </w:r>
      <w:r w:rsidRPr="00E5035D">
        <w:rPr>
          <w:i/>
        </w:rPr>
        <w:t>GAPDH</w:t>
      </w:r>
      <w:r w:rsidRPr="00E5035D">
        <w:t xml:space="preserve"> expression. Error bars = sem. ** = Groups differ P&lt;0.01 from the embryonic stem cell (ESC) control group; MEF = mouse embryonic fibroblasts; n = no. of independent biological replicates. B) Immunofluorescence staining of endogenous TDH in ESCs. Images were pseudo-</w:t>
      </w:r>
      <w:proofErr w:type="spellStart"/>
      <w:r w:rsidRPr="00E5035D">
        <w:t>colored</w:t>
      </w:r>
      <w:proofErr w:type="spellEnd"/>
      <w:r w:rsidRPr="00E5035D">
        <w:t xml:space="preserve"> using </w:t>
      </w:r>
      <w:proofErr w:type="spellStart"/>
      <w:r w:rsidRPr="00E5035D">
        <w:t>ImageJ</w:t>
      </w:r>
      <w:proofErr w:type="spellEnd"/>
      <w:r w:rsidRPr="00E5035D">
        <w:t>. DNA was stained with Hoechst 33342 (blue), TDH was stained with anti-C-MYC primary and Alexa Fluor® 488 (green) secondary antibody. In the “2</w:t>
      </w:r>
      <w:r w:rsidRPr="00E5035D">
        <w:rPr>
          <w:vertAlign w:val="superscript"/>
        </w:rPr>
        <w:t>nd</w:t>
      </w:r>
      <w:r w:rsidRPr="00E5035D">
        <w:t xml:space="preserve"> Ab” panel, primary antibody incubation was omitted. Scale bar = 100 </w:t>
      </w:r>
      <w:proofErr w:type="spellStart"/>
      <w:r w:rsidRPr="00E5035D">
        <w:t>μm</w:t>
      </w:r>
      <w:proofErr w:type="spellEnd"/>
      <w:r w:rsidRPr="00E5035D">
        <w:t xml:space="preserve">. C) TDH immunoblot of </w:t>
      </w:r>
      <w:r w:rsidRPr="00E5035D">
        <w:lastRenderedPageBreak/>
        <w:t>murine induced pluripotent stem cells (</w:t>
      </w:r>
      <w:proofErr w:type="spellStart"/>
      <w:r w:rsidRPr="00E5035D">
        <w:t>miPSCs</w:t>
      </w:r>
      <w:proofErr w:type="spellEnd"/>
      <w:r w:rsidRPr="00E5035D">
        <w:t xml:space="preserve">), MEFs and </w:t>
      </w:r>
      <w:r>
        <w:t>adult</w:t>
      </w:r>
      <w:r w:rsidRPr="00E5035D">
        <w:t xml:space="preserve"> muscle fibroblasts (MFs). Histone 3 (H3) was used as a loading control.</w:t>
      </w:r>
    </w:p>
    <w:p w:rsidR="00B930BD" w:rsidRPr="00E5035D" w:rsidRDefault="00B930BD" w:rsidP="00B930BD">
      <w:pPr>
        <w:pStyle w:val="Heading1"/>
        <w:spacing w:line="480" w:lineRule="auto"/>
        <w:ind w:right="280"/>
        <w:jc w:val="left"/>
        <w:rPr>
          <w:b/>
        </w:rPr>
      </w:pPr>
    </w:p>
    <w:p w:rsidR="00B930BD" w:rsidRPr="00E5035D" w:rsidRDefault="00B930BD" w:rsidP="00B930BD">
      <w:pPr>
        <w:pStyle w:val="Heading1"/>
        <w:spacing w:line="480" w:lineRule="auto"/>
        <w:ind w:right="280"/>
        <w:jc w:val="left"/>
      </w:pPr>
      <w:r w:rsidRPr="00E5035D">
        <w:rPr>
          <w:b/>
        </w:rPr>
        <w:t xml:space="preserve">Figure S3. </w:t>
      </w:r>
      <w:r w:rsidRPr="00E5035D">
        <w:rPr>
          <w:b/>
          <w:i/>
        </w:rPr>
        <w:t>TDH</w:t>
      </w:r>
      <w:r w:rsidRPr="00E5035D">
        <w:rPr>
          <w:b/>
        </w:rPr>
        <w:t xml:space="preserve">-overexpressing transgenic bovine cell line. </w:t>
      </w:r>
      <w:r w:rsidRPr="00E5035D">
        <w:t>A) Alignment of mouse immunogenic peptide sequences that were used to raise anti-TDH polyclonal antisera against the bovine TDH sequence. Black boxes (white font) indicate identical amino acids whereas grey boxes (black font) indicate different ones between the mouse TDH-derived peptides and the bovine TDH sequence. B) Schematic of the</w:t>
      </w:r>
      <w:r w:rsidRPr="00E5035D">
        <w:rPr>
          <w:i/>
        </w:rPr>
        <w:t xml:space="preserve"> </w:t>
      </w:r>
      <w:proofErr w:type="spellStart"/>
      <w:r w:rsidRPr="00E5035D">
        <w:rPr>
          <w:i/>
        </w:rPr>
        <w:t>piggybac</w:t>
      </w:r>
      <w:proofErr w:type="spellEnd"/>
      <w:r w:rsidRPr="00E5035D">
        <w:t xml:space="preserve"> plasmid used for </w:t>
      </w:r>
      <w:r>
        <w:t>Dox</w:t>
      </w:r>
      <w:r w:rsidRPr="00E5035D">
        <w:t xml:space="preserve">-inducible TDH overexpression under control of the modified tetracycline response element (TRE3G). TDH carries a C-terminal </w:t>
      </w:r>
      <w:proofErr w:type="spellStart"/>
      <w:r w:rsidRPr="00E5035D">
        <w:t>Myc</w:t>
      </w:r>
      <w:proofErr w:type="spellEnd"/>
      <w:r w:rsidRPr="00E5035D">
        <w:t xml:space="preserve">-tag and is co-expressed with </w:t>
      </w:r>
      <w:proofErr w:type="spellStart"/>
      <w:r w:rsidRPr="00E5035D">
        <w:t>puromycin</w:t>
      </w:r>
      <w:proofErr w:type="spellEnd"/>
      <w:r w:rsidRPr="00E5035D">
        <w:t xml:space="preserve">-resistance via an internal ribosome entry site (IRES). C) Immunostaining against TDH and C-MYC in BEF5 cells transiently transfected with </w:t>
      </w:r>
      <w:r>
        <w:t>Dox</w:t>
      </w:r>
      <w:r w:rsidRPr="00E5035D">
        <w:t xml:space="preserve">-inducible </w:t>
      </w:r>
      <w:r w:rsidRPr="00E5035D">
        <w:rPr>
          <w:i/>
        </w:rPr>
        <w:t>TDH_MYC</w:t>
      </w:r>
      <w:r w:rsidRPr="00E5035D">
        <w:t xml:space="preserve"> and analysed 48 h after transfection.  I = induced with </w:t>
      </w:r>
      <w:r>
        <w:t>Dox</w:t>
      </w:r>
      <w:r w:rsidRPr="00E5035D">
        <w:t xml:space="preserve"> for two days, NI = non-induced; anti-TDH polyclonal antisera (green) and anti-C-MYC monoclonal antisera (red). Images were pseudo-coloured using </w:t>
      </w:r>
      <w:proofErr w:type="spellStart"/>
      <w:r w:rsidRPr="00E5035D">
        <w:t>ImageJ</w:t>
      </w:r>
      <w:proofErr w:type="spellEnd"/>
      <w:r w:rsidRPr="00E5035D">
        <w:t xml:space="preserve"> software. D) Immunostaining against TDH in stable bovine BEF5-TDH_MYC cells. BEF5-TDH = bovine embryonic fibroblast clonal line 5 overexpressing a Dox-inducible form of </w:t>
      </w:r>
      <w:r>
        <w:t>full</w:t>
      </w:r>
      <w:r w:rsidRPr="00E5035D">
        <w:t xml:space="preserve">-length </w:t>
      </w:r>
      <w:r w:rsidRPr="00E5035D">
        <w:rPr>
          <w:i/>
        </w:rPr>
        <w:t>TDH_MYC</w:t>
      </w:r>
      <w:r>
        <w:t xml:space="preserve">; </w:t>
      </w:r>
      <w:r w:rsidRPr="00E5035D">
        <w:t xml:space="preserve">I = induced with </w:t>
      </w:r>
      <w:r>
        <w:t>Dox</w:t>
      </w:r>
      <w:r w:rsidRPr="00E5035D">
        <w:t xml:space="preserve"> for two days, NI = non-induced; anti-TDH polyclonal antisera (green) and </w:t>
      </w:r>
      <w:proofErr w:type="spellStart"/>
      <w:r w:rsidRPr="00E5035D">
        <w:t>mitotracker</w:t>
      </w:r>
      <w:proofErr w:type="spellEnd"/>
      <w:r w:rsidRPr="00E5035D">
        <w:t xml:space="preserve"> (red). Images were pseudo-coloured using </w:t>
      </w:r>
      <w:proofErr w:type="spellStart"/>
      <w:r w:rsidRPr="00E5035D">
        <w:t>ImageJ</w:t>
      </w:r>
      <w:proofErr w:type="spellEnd"/>
      <w:r w:rsidRPr="00E5035D">
        <w:t xml:space="preserve"> software.</w:t>
      </w:r>
    </w:p>
    <w:p w:rsidR="00B930BD" w:rsidRPr="008865FD" w:rsidRDefault="00B930BD" w:rsidP="00B930BD">
      <w:pPr>
        <w:pStyle w:val="Heading1"/>
        <w:spacing w:line="480" w:lineRule="auto"/>
        <w:ind w:right="280"/>
        <w:jc w:val="left"/>
        <w:rPr>
          <w:b/>
        </w:rPr>
      </w:pPr>
      <w:bookmarkStart w:id="2" w:name="_2ir697wx479d" w:colFirst="0" w:colLast="0"/>
      <w:bookmarkEnd w:id="2"/>
    </w:p>
    <w:p w:rsidR="00B930BD" w:rsidRPr="00E5035D" w:rsidRDefault="00B930BD" w:rsidP="00B930BD">
      <w:pPr>
        <w:pStyle w:val="Heading1"/>
        <w:spacing w:line="480" w:lineRule="auto"/>
        <w:ind w:right="280"/>
        <w:jc w:val="left"/>
      </w:pPr>
      <w:r w:rsidRPr="00E5035D">
        <w:rPr>
          <w:b/>
        </w:rPr>
        <w:t>Figure S4.</w:t>
      </w:r>
      <w:r w:rsidRPr="00E5035D">
        <w:t xml:space="preserve"> </w:t>
      </w:r>
      <w:r w:rsidRPr="00E5035D">
        <w:rPr>
          <w:b/>
        </w:rPr>
        <w:t xml:space="preserve">TDH inhibition abrogates mouse blastocyst development. </w:t>
      </w:r>
      <w:r w:rsidRPr="00E5035D">
        <w:t xml:space="preserve">A) Bright field images of mouse embryos treated with TDH inhibitor (Qc1) vs DMSO (vehicle control). B) Effect of Qc1 on mouse blastocyst development. N = no. of mouse embryos placed into </w:t>
      </w:r>
      <w:r w:rsidRPr="00E5035D">
        <w:lastRenderedPageBreak/>
        <w:t>treatment groups. N = no. of independent biological replicates. ** = Groups differ P&lt;0.005, from the DMSO control group.</w:t>
      </w:r>
    </w:p>
    <w:p w:rsidR="00B930BD" w:rsidRPr="00E5035D" w:rsidRDefault="00B930BD" w:rsidP="00B930BD">
      <w:pPr>
        <w:pStyle w:val="Heading1"/>
        <w:spacing w:line="480" w:lineRule="auto"/>
        <w:ind w:right="280"/>
        <w:jc w:val="left"/>
        <w:rPr>
          <w:b/>
        </w:rPr>
      </w:pPr>
    </w:p>
    <w:p w:rsidR="00B930BD" w:rsidRDefault="00B930BD" w:rsidP="00B930BD">
      <w:pPr>
        <w:pStyle w:val="Heading1"/>
        <w:spacing w:line="480" w:lineRule="auto"/>
        <w:ind w:right="280"/>
        <w:jc w:val="left"/>
      </w:pPr>
      <w:r w:rsidRPr="00E5035D">
        <w:rPr>
          <w:b/>
        </w:rPr>
        <w:t xml:space="preserve">Figure S5. Morphological changes induced by TDH inhibition. </w:t>
      </w:r>
      <w:r w:rsidRPr="00E5035D">
        <w:t xml:space="preserve">IVF embryos were </w:t>
      </w:r>
      <w:r>
        <w:t>cult</w:t>
      </w:r>
      <w:r w:rsidRPr="00E5035D">
        <w:t xml:space="preserve">ured in medium containing DMSO (vehicle control) versus Qc1 from the </w:t>
      </w:r>
      <w:r>
        <w:t>morula</w:t>
      </w:r>
      <w:r w:rsidRPr="00E5035D">
        <w:t>-stage (D5) onwards.  On D8, grade 1-2 expanded blastocysts were differentially stained. Blue (Hoechst 33342) and pink (</w:t>
      </w:r>
      <w:proofErr w:type="spellStart"/>
      <w:r w:rsidRPr="00E5035D">
        <w:t>propidium</w:t>
      </w:r>
      <w:proofErr w:type="spellEnd"/>
      <w:r w:rsidRPr="00E5035D">
        <w:t xml:space="preserve"> iodide) colours were designated as ICM and TE, respectively. Scale bar = 200 µm.</w:t>
      </w:r>
    </w:p>
    <w:p w:rsidR="00DC338C" w:rsidRDefault="00DC338C"/>
    <w:sectPr w:rsidR="00DC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D"/>
    <w:rsid w:val="005E71F1"/>
    <w:rsid w:val="00AC68B2"/>
    <w:rsid w:val="00B930BD"/>
    <w:rsid w:val="00DB67F4"/>
    <w:rsid w:val="00D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9172"/>
  <w15:chartTrackingRefBased/>
  <w15:docId w15:val="{A971BE8E-3633-43AF-9E3C-6EA88ED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930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0BD"/>
    <w:rPr>
      <w:rFonts w:ascii="Times New Roman" w:eastAsia="Times New Roman" w:hAnsi="Times New Roman" w:cs="Times New Roman"/>
      <w:sz w:val="24"/>
      <w:szCs w:val="24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3CE899B0</Template>
  <TotalTime>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Oback, Bjorn</dc:creator>
  <cp:keywords/>
  <dc:description/>
  <cp:lastModifiedBy>Oback, Bjorn</cp:lastModifiedBy>
  <cp:revision>2</cp:revision>
  <dcterms:created xsi:type="dcterms:W3CDTF">2018-09-04T00:03:00Z</dcterms:created>
  <dcterms:modified xsi:type="dcterms:W3CDTF">2018-09-04T00:18:00Z</dcterms:modified>
</cp:coreProperties>
</file>