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A8" w:rsidRDefault="00FF13BE" w:rsidP="00FF13BE">
      <w:pPr>
        <w:rPr>
          <w:b/>
          <w:caps/>
          <w:lang w:val="en-NZ"/>
        </w:rPr>
      </w:pPr>
      <w:r>
        <w:rPr>
          <w:b/>
          <w:caps/>
          <w:lang w:val="en-NZ"/>
        </w:rPr>
        <w:t xml:space="preserve">SUPPLEMENTAL </w:t>
      </w:r>
      <w:r w:rsidR="00CE260A">
        <w:rPr>
          <w:b/>
          <w:caps/>
          <w:lang w:val="en-NZ"/>
        </w:rPr>
        <w:t xml:space="preserve">Table </w:t>
      </w:r>
    </w:p>
    <w:p w:rsidR="00FF13BE" w:rsidRPr="00FF13BE" w:rsidRDefault="00FF13BE" w:rsidP="00FF13BE">
      <w:pPr>
        <w:rPr>
          <w:b/>
          <w:caps/>
          <w:lang w:val="en-NZ"/>
        </w:rPr>
      </w:pPr>
    </w:p>
    <w:p w:rsidR="00AF3CA8" w:rsidRPr="00FF13BE" w:rsidRDefault="00CE260A" w:rsidP="00FF13BE">
      <w:r>
        <w:rPr>
          <w:b/>
          <w:caps/>
          <w:lang w:val="en-NZ"/>
        </w:rPr>
        <w:t>SUPPLEMENTAL</w:t>
      </w:r>
      <w:r w:rsidRPr="00FF13BE">
        <w:rPr>
          <w:b/>
          <w:lang w:val="en-NZ"/>
        </w:rPr>
        <w:t xml:space="preserve"> </w:t>
      </w:r>
      <w:r w:rsidR="00AF3CA8" w:rsidRPr="00FF13BE">
        <w:rPr>
          <w:b/>
          <w:lang w:val="en-NZ"/>
        </w:rPr>
        <w:t xml:space="preserve">TABLE 1. </w:t>
      </w:r>
      <w:r w:rsidR="00AF3CA8" w:rsidRPr="00FF13BE">
        <w:rPr>
          <w:lang w:val="en-NZ"/>
        </w:rPr>
        <w:t>Primer pairs used for quantitative real-time RT-PCR</w:t>
      </w:r>
      <w:r w:rsidR="00AF3CA8" w:rsidRPr="00FF13BE">
        <w:t xml:space="preserve"> </w:t>
      </w:r>
    </w:p>
    <w:tbl>
      <w:tblPr>
        <w:tblW w:w="9576" w:type="dxa"/>
        <w:jc w:val="center"/>
        <w:tblLayout w:type="fixed"/>
        <w:tblLook w:val="04A0" w:firstRow="1" w:lastRow="0" w:firstColumn="1" w:lastColumn="0" w:noHBand="0" w:noVBand="1"/>
      </w:tblPr>
      <w:tblGrid>
        <w:gridCol w:w="1249"/>
        <w:gridCol w:w="563"/>
        <w:gridCol w:w="5245"/>
        <w:gridCol w:w="455"/>
        <w:gridCol w:w="755"/>
        <w:gridCol w:w="1309"/>
      </w:tblGrid>
      <w:tr w:rsidR="00AF3CA8" w:rsidRPr="00FF13BE" w:rsidTr="00AF3CA8">
        <w:trPr>
          <w:trHeight w:val="410"/>
          <w:jc w:val="center"/>
        </w:trPr>
        <w:tc>
          <w:tcPr>
            <w:tcW w:w="1249" w:type="dxa"/>
            <w:tcBorders>
              <w:top w:val="single" w:sz="4" w:space="0" w:color="auto"/>
              <w:bottom w:val="single" w:sz="4" w:space="0" w:color="auto"/>
            </w:tcBorders>
            <w:shd w:val="clear" w:color="auto" w:fill="auto"/>
            <w:noWrap/>
            <w:vAlign w:val="center"/>
          </w:tcPr>
          <w:p w:rsidR="00AF3CA8" w:rsidRPr="00FF13BE" w:rsidRDefault="00AF3CA8" w:rsidP="00FF13BE">
            <w:pPr>
              <w:rPr>
                <w:lang w:val="en-NZ" w:eastAsia="en-NZ"/>
              </w:rPr>
            </w:pPr>
            <w:r w:rsidRPr="00FF13BE">
              <w:rPr>
                <w:lang w:val="en-NZ" w:eastAsia="en-NZ"/>
              </w:rPr>
              <w:t>Gene</w:t>
            </w:r>
          </w:p>
        </w:tc>
        <w:tc>
          <w:tcPr>
            <w:tcW w:w="563" w:type="dxa"/>
            <w:tcBorders>
              <w:top w:val="single" w:sz="4" w:space="0" w:color="auto"/>
              <w:bottom w:val="single" w:sz="4" w:space="0" w:color="auto"/>
            </w:tcBorders>
            <w:shd w:val="clear" w:color="auto" w:fill="auto"/>
            <w:noWrap/>
            <w:vAlign w:val="center"/>
          </w:tcPr>
          <w:p w:rsidR="00AF3CA8" w:rsidRPr="00FF13BE" w:rsidRDefault="00AF3CA8" w:rsidP="00FF13BE">
            <w:pPr>
              <w:rPr>
                <w:lang w:val="en-NZ" w:eastAsia="en-NZ"/>
              </w:rPr>
            </w:pPr>
          </w:p>
        </w:tc>
        <w:tc>
          <w:tcPr>
            <w:tcW w:w="5245" w:type="dxa"/>
            <w:tcBorders>
              <w:top w:val="single" w:sz="4" w:space="0" w:color="auto"/>
              <w:bottom w:val="single" w:sz="4" w:space="0" w:color="auto"/>
            </w:tcBorders>
            <w:shd w:val="clear" w:color="auto" w:fill="auto"/>
            <w:noWrap/>
            <w:vAlign w:val="center"/>
          </w:tcPr>
          <w:p w:rsidR="00AF3CA8" w:rsidRPr="00FF13BE" w:rsidRDefault="00AF3CA8" w:rsidP="00FF13BE">
            <w:pPr>
              <w:rPr>
                <w:lang w:val="en-NZ" w:eastAsia="en-NZ"/>
              </w:rPr>
            </w:pPr>
            <w:r w:rsidRPr="00FF13BE">
              <w:rPr>
                <w:lang w:val="en-NZ" w:eastAsia="en-NZ"/>
              </w:rPr>
              <w:t>Sequence (5’- 3’)</w:t>
            </w:r>
          </w:p>
        </w:tc>
        <w:tc>
          <w:tcPr>
            <w:tcW w:w="1210" w:type="dxa"/>
            <w:gridSpan w:val="2"/>
            <w:tcBorders>
              <w:top w:val="single" w:sz="4" w:space="0" w:color="auto"/>
              <w:bottom w:val="single" w:sz="4" w:space="0" w:color="auto"/>
            </w:tcBorders>
            <w:shd w:val="clear" w:color="auto" w:fill="auto"/>
            <w:vAlign w:val="center"/>
          </w:tcPr>
          <w:p w:rsidR="00AF3CA8" w:rsidRPr="00FF13BE" w:rsidRDefault="00AF3CA8" w:rsidP="00FF13BE">
            <w:pPr>
              <w:rPr>
                <w:lang w:val="en-NZ" w:eastAsia="en-NZ"/>
              </w:rPr>
            </w:pPr>
            <w:r w:rsidRPr="00FF13BE">
              <w:rPr>
                <w:lang w:val="en-NZ" w:eastAsia="en-NZ"/>
              </w:rPr>
              <w:t>Size (bp)</w:t>
            </w:r>
          </w:p>
        </w:tc>
        <w:tc>
          <w:tcPr>
            <w:tcW w:w="1309" w:type="dxa"/>
            <w:tcBorders>
              <w:top w:val="single" w:sz="4" w:space="0" w:color="auto"/>
              <w:bottom w:val="single" w:sz="4" w:space="0" w:color="auto"/>
            </w:tcBorders>
            <w:shd w:val="clear" w:color="auto" w:fill="auto"/>
            <w:noWrap/>
            <w:vAlign w:val="center"/>
          </w:tcPr>
          <w:p w:rsidR="00AF3CA8" w:rsidRPr="00FF13BE" w:rsidRDefault="00AF3CA8" w:rsidP="00FF13BE">
            <w:pPr>
              <w:rPr>
                <w:lang w:val="en-NZ" w:eastAsia="en-NZ"/>
              </w:rPr>
            </w:pPr>
            <w:r w:rsidRPr="00FF13BE">
              <w:rPr>
                <w:lang w:val="en-NZ" w:eastAsia="en-NZ"/>
              </w:rPr>
              <w:t>Reference</w:t>
            </w:r>
          </w:p>
        </w:tc>
      </w:tr>
      <w:tr w:rsidR="00AF3CA8" w:rsidRPr="00FF13BE" w:rsidTr="00AF3CA8">
        <w:tblPrEx>
          <w:jc w:val="left"/>
          <w:tblCellMar>
            <w:top w:w="15" w:type="dxa"/>
            <w:left w:w="15" w:type="dxa"/>
            <w:bottom w:w="15" w:type="dxa"/>
            <w:right w:w="15" w:type="dxa"/>
          </w:tblCellMar>
        </w:tblPrEx>
        <w:trPr>
          <w:gridAfter w:val="2"/>
          <w:wAfter w:w="2064" w:type="dxa"/>
          <w:trHeight w:val="400"/>
        </w:trPr>
        <w:tc>
          <w:tcPr>
            <w:tcW w:w="7512" w:type="dxa"/>
            <w:gridSpan w:val="4"/>
            <w:tcMar>
              <w:top w:w="38" w:type="dxa"/>
              <w:left w:w="38" w:type="dxa"/>
              <w:bottom w:w="38" w:type="dxa"/>
              <w:right w:w="38" w:type="dxa"/>
            </w:tcMar>
            <w:vAlign w:val="center"/>
            <w:hideMark/>
          </w:tcPr>
          <w:p w:rsidR="00AF3CA8" w:rsidRPr="00FF13BE" w:rsidRDefault="00AF3CA8" w:rsidP="00FF13BE">
            <w:pPr>
              <w:pStyle w:val="NormalWeb"/>
              <w:spacing w:before="0" w:beforeAutospacing="0" w:after="0" w:afterAutospacing="0"/>
            </w:pPr>
            <w:r w:rsidRPr="00FF13BE">
              <w:rPr>
                <w:i/>
                <w:iCs/>
                <w:color w:val="000000"/>
              </w:rPr>
              <w:t>Bovine primers</w:t>
            </w: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i/>
                <w:lang w:val="en-NZ" w:eastAsia="en-NZ"/>
              </w:rPr>
            </w:pPr>
            <w:r w:rsidRPr="00FF13BE">
              <w:rPr>
                <w:i/>
                <w:lang w:val="en-NZ" w:eastAsia="en-NZ"/>
              </w:rPr>
              <w:t>18S</w:t>
            </w: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F:</w:t>
            </w:r>
          </w:p>
        </w:tc>
        <w:tc>
          <w:tcPr>
            <w:tcW w:w="5245" w:type="dxa"/>
            <w:shd w:val="clear" w:color="auto" w:fill="auto"/>
            <w:noWrap/>
            <w:vAlign w:val="center"/>
          </w:tcPr>
          <w:p w:rsidR="00AF3CA8" w:rsidRPr="00FF13BE" w:rsidRDefault="00AF3CA8" w:rsidP="00FF13BE">
            <w:pPr>
              <w:rPr>
                <w:lang w:val="en-NZ" w:eastAsia="en-NZ"/>
              </w:rPr>
            </w:pPr>
            <w:r w:rsidRPr="00FF13BE">
              <w:rPr>
                <w:lang w:val="en-NZ" w:eastAsia="en-NZ"/>
              </w:rPr>
              <w:t>GACTCATTGGCCCTGTAATTGGAATGAGTC</w:t>
            </w:r>
          </w:p>
        </w:tc>
        <w:tc>
          <w:tcPr>
            <w:tcW w:w="1210" w:type="dxa"/>
            <w:gridSpan w:val="2"/>
            <w:shd w:val="clear" w:color="auto" w:fill="auto"/>
            <w:vAlign w:val="center"/>
          </w:tcPr>
          <w:p w:rsidR="00AF3CA8" w:rsidRPr="00FF13BE" w:rsidRDefault="00AF3CA8" w:rsidP="00FF13BE">
            <w:pPr>
              <w:rPr>
                <w:lang w:val="en-NZ" w:eastAsia="en-NZ"/>
              </w:rPr>
            </w:pPr>
            <w:r w:rsidRPr="00FF13BE">
              <w:rPr>
                <w:lang w:val="en-NZ" w:eastAsia="en-NZ"/>
              </w:rPr>
              <w:t>87</w:t>
            </w:r>
          </w:p>
        </w:tc>
        <w:tc>
          <w:tcPr>
            <w:tcW w:w="1309" w:type="dxa"/>
            <w:shd w:val="clear" w:color="auto" w:fill="auto"/>
            <w:noWrap/>
            <w:vAlign w:val="center"/>
          </w:tcPr>
          <w:p w:rsidR="00AF3CA8" w:rsidRPr="00FF13BE" w:rsidRDefault="00AF3CA8" w:rsidP="00FF13BE">
            <w:pPr>
              <w:rPr>
                <w:lang w:val="en-NZ" w:eastAsia="en-NZ"/>
              </w:rPr>
            </w:pPr>
            <w:r w:rsidRPr="00FF13BE">
              <w:rPr>
                <w:lang w:val="en-NZ" w:eastAsia="en-NZ"/>
              </w:rPr>
              <w:fldChar w:fldCharType="begin"/>
            </w:r>
            <w:r w:rsidR="00FF13BE">
              <w:rPr>
                <w:lang w:val="en-NZ" w:eastAsia="en-NZ"/>
              </w:rPr>
              <w:instrText xml:space="preserve"> ADDIN EN.CITE &lt;EndNote&gt;&lt;Cite&gt;&lt;Author&gt;Berg&lt;/Author&gt;&lt;Year&gt;2007&lt;/Year&gt;&lt;RecNum&gt;1637&lt;/RecNum&gt;&lt;DisplayText&gt;[1]&lt;/DisplayText&gt;&lt;record&gt;&lt;rec-number&gt;1637&lt;/rec-number&gt;&lt;foreign-keys&gt;&lt;key app="EN" db-id="arstf99z4x0vw2ert22pfffnrv2d922zs29p"&gt;1637&lt;/key&gt;&lt;/foreign-keys&gt;&lt;ref-type name="Journal Article"&gt;17&lt;/ref-type&gt;&lt;contributors&gt;&lt;authors&gt;&lt;author&gt;Berg, D. K.&lt;/author&gt;&lt;author&gt;Li, C.&lt;/author&gt;&lt;author&gt;Asher, G.&lt;/author&gt;&lt;author&gt;Wells, D. N.&lt;/author&gt;&lt;author&gt;Oback, B.&lt;/author&gt;&lt;/authors&gt;&lt;/contributors&gt;&lt;auth-address&gt;Reproductive Technologies, Ruakura Research Centre, AgResearch Ltd., Hamilton, New Zealand.&lt;/auth-address&gt;&lt;titles&gt;&lt;title&gt;Red deer cloned from antler stem cells and their differentiated progeny&lt;/title&gt;&lt;secondary-title&gt;Biol Reprod&lt;/secondary-title&gt;&lt;alt-title&gt;Biology of reproduction&lt;/alt-title&gt;&lt;/titles&gt;&lt;periodical&gt;&lt;full-title&gt;Biol Reprod&lt;/full-title&gt;&lt;/periodical&gt;&lt;alt-periodical&gt;&lt;full-title&gt;Biology of Reproduction&lt;/full-title&gt;&lt;/alt-periodical&gt;&lt;pages&gt;384-94&lt;/pages&gt;&lt;volume&gt;77&lt;/volume&gt;&lt;number&gt;3&lt;/number&gt;&lt;dates&gt;&lt;year&gt;2007&lt;/year&gt;&lt;pub-dates&gt;&lt;date&gt;Sep&lt;/date&gt;&lt;/pub-dates&gt;&lt;/dates&gt;&lt;isbn&gt;0006-3363 (Print)&lt;/isbn&gt;&lt;accession-num&gt;17522075&lt;/accession-num&gt;&lt;urls&gt;&lt;related-urls&gt;&lt;url&gt;http://www.ncbi.nlm.nih.gov/entrez/query.fcgi?cmd=Retrieve&amp;amp;db=PubMed&amp;amp;dopt=Citation&amp;amp;list_uids=17522075 &lt;/url&gt;&lt;/related-urls&gt;&lt;/urls&gt;&lt;language&gt;eng&lt;/language&gt;&lt;/record&gt;&lt;/Cite&gt;&lt;/EndNote&gt;</w:instrText>
            </w:r>
            <w:r w:rsidRPr="00FF13BE">
              <w:rPr>
                <w:lang w:val="en-NZ" w:eastAsia="en-NZ"/>
              </w:rPr>
              <w:fldChar w:fldCharType="separate"/>
            </w:r>
            <w:r w:rsidR="00FF13BE">
              <w:rPr>
                <w:noProof/>
                <w:lang w:val="en-NZ" w:eastAsia="en-NZ"/>
              </w:rPr>
              <w:t>[</w:t>
            </w:r>
            <w:hyperlink w:anchor="_ENREF_1" w:tooltip="Berg, 2007 #1637" w:history="1">
              <w:r w:rsidR="00FF13BE">
                <w:rPr>
                  <w:noProof/>
                  <w:lang w:val="en-NZ" w:eastAsia="en-NZ"/>
                </w:rPr>
                <w:t>1</w:t>
              </w:r>
            </w:hyperlink>
            <w:r w:rsidR="00FF13BE">
              <w:rPr>
                <w:noProof/>
                <w:lang w:val="en-NZ" w:eastAsia="en-NZ"/>
              </w:rPr>
              <w:t>]</w:t>
            </w:r>
            <w:r w:rsidRPr="00FF13BE">
              <w:rPr>
                <w:lang w:val="en-NZ" w:eastAsia="en-NZ"/>
              </w:rPr>
              <w:fldChar w:fldCharType="end"/>
            </w: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i/>
                <w:lang w:val="en-NZ" w:eastAsia="en-NZ"/>
              </w:rPr>
            </w:pP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R:</w:t>
            </w:r>
          </w:p>
        </w:tc>
        <w:tc>
          <w:tcPr>
            <w:tcW w:w="5245" w:type="dxa"/>
            <w:shd w:val="clear" w:color="auto" w:fill="auto"/>
            <w:noWrap/>
            <w:vAlign w:val="center"/>
          </w:tcPr>
          <w:p w:rsidR="00AF3CA8" w:rsidRPr="00FF13BE" w:rsidRDefault="00AF3CA8" w:rsidP="00FF13BE">
            <w:pPr>
              <w:rPr>
                <w:lang w:val="en-NZ" w:eastAsia="en-NZ"/>
              </w:rPr>
            </w:pPr>
            <w:r w:rsidRPr="00FF13BE">
              <w:rPr>
                <w:lang w:val="en-NZ" w:eastAsia="en-NZ"/>
              </w:rPr>
              <w:t>GCTGCTGGCACCAGACTTG</w:t>
            </w:r>
          </w:p>
        </w:tc>
        <w:tc>
          <w:tcPr>
            <w:tcW w:w="1210" w:type="dxa"/>
            <w:gridSpan w:val="2"/>
            <w:shd w:val="clear" w:color="auto" w:fill="auto"/>
            <w:vAlign w:val="center"/>
          </w:tcPr>
          <w:p w:rsidR="00AF3CA8" w:rsidRPr="00FF13BE" w:rsidRDefault="00AF3CA8" w:rsidP="00FF13BE">
            <w:pPr>
              <w:rPr>
                <w:lang w:val="en-NZ" w:eastAsia="en-NZ"/>
              </w:rPr>
            </w:pPr>
          </w:p>
        </w:tc>
        <w:tc>
          <w:tcPr>
            <w:tcW w:w="1309" w:type="dxa"/>
            <w:shd w:val="clear" w:color="auto" w:fill="auto"/>
            <w:noWrap/>
            <w:vAlign w:val="center"/>
          </w:tcPr>
          <w:p w:rsidR="00AF3CA8" w:rsidRPr="00FF13BE" w:rsidRDefault="00AF3CA8" w:rsidP="00FF13BE">
            <w:pPr>
              <w:rPr>
                <w:lang w:val="en-NZ" w:eastAsia="en-NZ"/>
              </w:rPr>
            </w:pP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i/>
                <w:lang w:val="en-NZ" w:eastAsia="en-NZ"/>
              </w:rPr>
            </w:pPr>
            <w:r w:rsidRPr="00FF13BE">
              <w:rPr>
                <w:i/>
                <w:lang w:val="en-NZ" w:eastAsia="en-NZ"/>
              </w:rPr>
              <w:t>CDX2</w:t>
            </w: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F:</w:t>
            </w:r>
          </w:p>
        </w:tc>
        <w:tc>
          <w:tcPr>
            <w:tcW w:w="5245" w:type="dxa"/>
            <w:shd w:val="clear" w:color="auto" w:fill="auto"/>
            <w:noWrap/>
            <w:vAlign w:val="center"/>
          </w:tcPr>
          <w:p w:rsidR="00AF3CA8" w:rsidRPr="00FF13BE" w:rsidRDefault="00AF3CA8" w:rsidP="00FF13BE">
            <w:pPr>
              <w:rPr>
                <w:lang w:val="en-NZ" w:eastAsia="en-NZ"/>
              </w:rPr>
            </w:pPr>
            <w:r w:rsidRPr="00FF13BE">
              <w:rPr>
                <w:lang w:val="en-NZ" w:eastAsia="en-NZ"/>
              </w:rPr>
              <w:t>AGACAAATACCGGGTCGTGTACA</w:t>
            </w:r>
          </w:p>
        </w:tc>
        <w:tc>
          <w:tcPr>
            <w:tcW w:w="1210" w:type="dxa"/>
            <w:gridSpan w:val="2"/>
            <w:shd w:val="clear" w:color="auto" w:fill="auto"/>
            <w:vAlign w:val="bottom"/>
          </w:tcPr>
          <w:p w:rsidR="00AF3CA8" w:rsidRPr="00FF13BE" w:rsidRDefault="00AF3CA8" w:rsidP="00FF13BE">
            <w:pPr>
              <w:rPr>
                <w:lang w:val="en-NZ" w:eastAsia="en-NZ"/>
              </w:rPr>
            </w:pPr>
            <w:r w:rsidRPr="00FF13BE">
              <w:rPr>
                <w:lang w:val="en-NZ" w:eastAsia="en-NZ"/>
              </w:rPr>
              <w:t>162</w:t>
            </w:r>
          </w:p>
        </w:tc>
        <w:tc>
          <w:tcPr>
            <w:tcW w:w="1309" w:type="dxa"/>
            <w:shd w:val="clear" w:color="auto" w:fill="auto"/>
            <w:noWrap/>
            <w:vAlign w:val="center"/>
          </w:tcPr>
          <w:p w:rsidR="00AF3CA8" w:rsidRPr="00FF13BE" w:rsidRDefault="00AF3CA8" w:rsidP="00FF13BE">
            <w:pPr>
              <w:rPr>
                <w:lang w:val="en-NZ" w:eastAsia="en-NZ"/>
              </w:rPr>
            </w:pPr>
            <w:r w:rsidRPr="00FF13BE">
              <w:rPr>
                <w:lang w:val="en-NZ" w:eastAsia="en-NZ"/>
              </w:rPr>
              <w:fldChar w:fldCharType="begin"/>
            </w:r>
            <w:r w:rsidR="00FF13BE">
              <w:rPr>
                <w:lang w:val="en-NZ" w:eastAsia="en-NZ"/>
              </w:rPr>
              <w:instrText xml:space="preserve"> ADDIN EN.CITE &lt;EndNote&gt;&lt;Cite&gt;&lt;Author&gt;Smith&lt;/Author&gt;&lt;Year&gt;2010&lt;/Year&gt;&lt;RecNum&gt;2296&lt;/RecNum&gt;&lt;DisplayText&gt;[2]&lt;/DisplayText&gt;&lt;record&gt;&lt;rec-number&gt;2296&lt;/rec-number&gt;&lt;foreign-keys&gt;&lt;key app="EN" db-id="arstf99z4x0vw2ert22pfffnrv2d922zs29p"&gt;2296&lt;/key&gt;&lt;/foreign-keys&gt;&lt;ref-type name="Journal Article"&gt;17&lt;/ref-type&gt;&lt;contributors&gt;&lt;authors&gt;&lt;author&gt;Smith, C. S.&lt;/author&gt;&lt;author&gt;Berg, D. K.&lt;/author&gt;&lt;author&gt;Berg, M.&lt;/author&gt;&lt;author&gt;Pfeffer, P. L.&lt;/author&gt;&lt;/authors&gt;&lt;/contributors&gt;&lt;auth-address&gt;AgResearch, Ruakura Campus, Hamilton, New Zealand.&lt;/auth-address&gt;&lt;titles&gt;&lt;title&gt;Nuclear transfer-specific defects are not apparent during the second week of embryogenesis in cattle&lt;/title&gt;&lt;secondary-title&gt;Cell Reprogram&lt;/secondary-title&gt;&lt;/titles&gt;&lt;periodical&gt;&lt;full-title&gt;Cell Reprogram&lt;/full-title&gt;&lt;/periodical&gt;&lt;pages&gt;699-707&lt;/pages&gt;&lt;volume&gt;12&lt;/volume&gt;&lt;number&gt;6&lt;/number&gt;&lt;edition&gt;2010/10/27&lt;/edition&gt;&lt;keywords&gt;&lt;keyword&gt;Animals&lt;/keyword&gt;&lt;keyword&gt;Biological Markers/metabolism&lt;/keyword&gt;&lt;keyword&gt;Cattle&lt;/keyword&gt;&lt;keyword&gt;Embryo, Mammalian/anatomy &amp;amp; histology/*physiology&lt;/keyword&gt;&lt;keyword&gt;Embryonic Development/*physiology&lt;/keyword&gt;&lt;keyword&gt;Epigenomics&lt;/keyword&gt;&lt;keyword&gt;Gene Expression Regulation, Developmental&lt;/keyword&gt;&lt;keyword&gt;Nuclear Transfer Techniques/*veterinary&lt;/keyword&gt;&lt;/keywords&gt;&lt;dates&gt;&lt;year&gt;2010&lt;/year&gt;&lt;pub-dates&gt;&lt;date&gt;Dec&lt;/date&gt;&lt;/pub-dates&gt;&lt;/dates&gt;&lt;isbn&gt;2152-4998 (Electronic)&lt;/isbn&gt;&lt;accession-num&gt;20973678&lt;/accession-num&gt;&lt;urls&gt;&lt;related-urls&gt;&lt;url&gt;http://www.ncbi.nlm.nih.gov/entrez/query.fcgi?cmd=Retrieve&amp;amp;db=PubMed&amp;amp;dopt=Citation&amp;amp;list_uids=20973678&lt;/url&gt;&lt;/related-urls&gt;&lt;/urls&gt;&lt;electronic-resource-num&gt;10.1089/cell.2010.0040&lt;/electronic-resource-num&gt;&lt;language&gt;eng&lt;/language&gt;&lt;/record&gt;&lt;/Cite&gt;&lt;/EndNote&gt;</w:instrText>
            </w:r>
            <w:r w:rsidRPr="00FF13BE">
              <w:rPr>
                <w:lang w:val="en-NZ" w:eastAsia="en-NZ"/>
              </w:rPr>
              <w:fldChar w:fldCharType="separate"/>
            </w:r>
            <w:r w:rsidR="00FF13BE">
              <w:rPr>
                <w:noProof/>
                <w:lang w:val="en-NZ" w:eastAsia="en-NZ"/>
              </w:rPr>
              <w:t>[</w:t>
            </w:r>
            <w:hyperlink w:anchor="_ENREF_2" w:tooltip="Smith, 2010 #2296" w:history="1">
              <w:r w:rsidR="00FF13BE">
                <w:rPr>
                  <w:noProof/>
                  <w:lang w:val="en-NZ" w:eastAsia="en-NZ"/>
                </w:rPr>
                <w:t>2</w:t>
              </w:r>
            </w:hyperlink>
            <w:r w:rsidR="00FF13BE">
              <w:rPr>
                <w:noProof/>
                <w:lang w:val="en-NZ" w:eastAsia="en-NZ"/>
              </w:rPr>
              <w:t>]</w:t>
            </w:r>
            <w:r w:rsidRPr="00FF13BE">
              <w:rPr>
                <w:lang w:val="en-NZ" w:eastAsia="en-NZ"/>
              </w:rPr>
              <w:fldChar w:fldCharType="end"/>
            </w: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i/>
                <w:lang w:val="en-NZ" w:eastAsia="en-NZ"/>
              </w:rPr>
            </w:pP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R:</w:t>
            </w:r>
          </w:p>
        </w:tc>
        <w:tc>
          <w:tcPr>
            <w:tcW w:w="5245" w:type="dxa"/>
            <w:shd w:val="clear" w:color="auto" w:fill="auto"/>
            <w:noWrap/>
            <w:vAlign w:val="center"/>
          </w:tcPr>
          <w:p w:rsidR="00AF3CA8" w:rsidRPr="00FF13BE" w:rsidRDefault="00AF3CA8" w:rsidP="00FF13BE">
            <w:pPr>
              <w:rPr>
                <w:lang w:val="en-NZ" w:eastAsia="en-NZ"/>
              </w:rPr>
            </w:pPr>
            <w:r w:rsidRPr="00FF13BE">
              <w:rPr>
                <w:lang w:val="en-NZ" w:eastAsia="en-NZ"/>
              </w:rPr>
              <w:t>TTTGCTCTGCGGTTCTGAA</w:t>
            </w:r>
          </w:p>
        </w:tc>
        <w:tc>
          <w:tcPr>
            <w:tcW w:w="1210" w:type="dxa"/>
            <w:gridSpan w:val="2"/>
            <w:shd w:val="clear" w:color="auto" w:fill="auto"/>
            <w:vAlign w:val="center"/>
          </w:tcPr>
          <w:p w:rsidR="00AF3CA8" w:rsidRPr="00FF13BE" w:rsidRDefault="00AF3CA8" w:rsidP="00FF13BE">
            <w:pPr>
              <w:rPr>
                <w:lang w:val="en-NZ" w:eastAsia="en-NZ"/>
              </w:rPr>
            </w:pPr>
          </w:p>
        </w:tc>
        <w:tc>
          <w:tcPr>
            <w:tcW w:w="1309" w:type="dxa"/>
            <w:shd w:val="clear" w:color="auto" w:fill="auto"/>
            <w:noWrap/>
            <w:vAlign w:val="center"/>
          </w:tcPr>
          <w:p w:rsidR="00AF3CA8" w:rsidRPr="00FF13BE" w:rsidRDefault="00AF3CA8" w:rsidP="00FF13BE">
            <w:pPr>
              <w:rPr>
                <w:lang w:val="en-NZ" w:eastAsia="en-NZ"/>
              </w:rPr>
            </w:pP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i/>
                <w:lang w:val="en-NZ" w:eastAsia="en-NZ"/>
              </w:rPr>
            </w:pPr>
            <w:r w:rsidRPr="00FF13BE">
              <w:rPr>
                <w:i/>
                <w:lang w:val="en-NZ" w:eastAsia="en-NZ"/>
              </w:rPr>
              <w:t>FGF4</w:t>
            </w: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F:</w:t>
            </w:r>
          </w:p>
        </w:tc>
        <w:tc>
          <w:tcPr>
            <w:tcW w:w="5245" w:type="dxa"/>
            <w:shd w:val="clear" w:color="auto" w:fill="auto"/>
            <w:noWrap/>
            <w:vAlign w:val="center"/>
          </w:tcPr>
          <w:p w:rsidR="00AF3CA8" w:rsidRPr="00FF13BE" w:rsidRDefault="00AF3CA8" w:rsidP="00FF13BE">
            <w:pPr>
              <w:rPr>
                <w:lang w:val="en-NZ" w:eastAsia="en-NZ"/>
              </w:rPr>
            </w:pPr>
            <w:r w:rsidRPr="00FF13BE">
              <w:rPr>
                <w:lang w:val="en-NZ" w:eastAsia="en-NZ"/>
              </w:rPr>
              <w:t>TACGGCTCGCCTTTCTTCAC</w:t>
            </w:r>
          </w:p>
        </w:tc>
        <w:tc>
          <w:tcPr>
            <w:tcW w:w="1210" w:type="dxa"/>
            <w:gridSpan w:val="2"/>
            <w:shd w:val="clear" w:color="auto" w:fill="auto"/>
            <w:vAlign w:val="center"/>
          </w:tcPr>
          <w:p w:rsidR="00AF3CA8" w:rsidRPr="00FF13BE" w:rsidRDefault="00AF3CA8" w:rsidP="00FF13BE">
            <w:pPr>
              <w:rPr>
                <w:lang w:val="en-NZ" w:eastAsia="en-NZ"/>
              </w:rPr>
            </w:pPr>
            <w:r w:rsidRPr="00FF13BE">
              <w:rPr>
                <w:lang w:val="en-NZ" w:eastAsia="en-NZ"/>
              </w:rPr>
              <w:t>131</w:t>
            </w:r>
          </w:p>
        </w:tc>
        <w:tc>
          <w:tcPr>
            <w:tcW w:w="1309" w:type="dxa"/>
            <w:shd w:val="clear" w:color="auto" w:fill="auto"/>
            <w:noWrap/>
            <w:vAlign w:val="center"/>
          </w:tcPr>
          <w:p w:rsidR="00AF3CA8" w:rsidRPr="00FF13BE" w:rsidRDefault="00AF3CA8" w:rsidP="00FF13BE">
            <w:pPr>
              <w:rPr>
                <w:lang w:val="en-NZ" w:eastAsia="en-NZ"/>
              </w:rPr>
            </w:pPr>
            <w:r w:rsidRPr="00FF13BE">
              <w:rPr>
                <w:lang w:val="en-NZ"/>
              </w:rPr>
              <w:fldChar w:fldCharType="begin"/>
            </w:r>
            <w:r w:rsidR="00FF13BE">
              <w:rPr>
                <w:lang w:val="en-NZ"/>
              </w:rPr>
              <w:instrText xml:space="preserve"> ADDIN EN.CITE &lt;EndNote&gt;&lt;Cite&gt;&lt;Author&gt;McLean&lt;/Author&gt;&lt;Year&gt;2014&lt;/Year&gt;&lt;RecNum&gt;2880&lt;/RecNum&gt;&lt;DisplayText&gt;[3]&lt;/DisplayText&gt;&lt;record&gt;&lt;rec-number&gt;2880&lt;/rec-number&gt;&lt;foreign-keys&gt;&lt;key app="EN" db-id="arstf99z4x0vw2ert22pfffnrv2d922zs29p"&gt;2880&lt;/key&gt;&lt;/foreign-keys&gt;&lt;ref-type name="Journal Article"&gt;17&lt;/ref-type&gt;&lt;contributors&gt;&lt;authors&gt;&lt;author&gt;McLean, Z.&lt;/author&gt;&lt;author&gt;Meng, F.&lt;/author&gt;&lt;author&gt;Henderson, H.&lt;/author&gt;&lt;author&gt;Turner, P.&lt;/author&gt;&lt;author&gt;Oback, B.&lt;/author&gt;&lt;/authors&gt;&lt;/contributors&gt;&lt;auth-address&gt;Reproductive Technologies, Ruakura Research Centre, AgResearch Ltd., Hamilton, New Zealand.&amp;#xD;Reproductive Technologies, Ruakura Research Centre, AgResearch Ltd., Hamilton, New Zealand bjorn.oback@agresearch.co.nz.&lt;/auth-address&gt;&lt;titles&gt;&lt;title&gt;Increased MAP kinase inhibition enhances epiblast-specific gene expression in bovine blastocysts&lt;/title&gt;&lt;secondary-title&gt;Biol Reprod&lt;/secondary-title&gt;&lt;alt-title&gt;Biology of reproduction&lt;/alt-title&gt;&lt;/titles&gt;&lt;periodical&gt;&lt;full-title&gt;Biol Reprod&lt;/full-title&gt;&lt;/periodical&gt;&lt;alt-periodical&gt;&lt;full-title&gt;Biology of Reproduction&lt;/full-title&gt;&lt;/alt-periodical&gt;&lt;pages&gt;49&lt;/pages&gt;&lt;volume&gt;91&lt;/volume&gt;&lt;number&gt;2&lt;/number&gt;&lt;edition&gt;2014/07/11&lt;/edition&gt;&lt;dates&gt;&lt;year&gt;2014&lt;/year&gt;&lt;pub-dates&gt;&lt;date&gt;Aug&lt;/date&gt;&lt;/pub-dates&gt;&lt;/dates&gt;&lt;isbn&gt;1529-7268 (Electronic)&amp;#xD;0006-3363 (Linking)&lt;/isbn&gt;&lt;accession-num&gt;25009207&lt;/accession-num&gt;&lt;work-type&gt;Research Support, Non-U.S. Gov&amp;apos;t&lt;/work-type&gt;&lt;urls&gt;&lt;related-urls&gt;&lt;url&gt;http://www.ncbi.nlm.nih.gov/pubmed/25009207&lt;/url&gt;&lt;/related-urls&gt;&lt;/urls&gt;&lt;electronic-resource-num&gt;10.1095/biolreprod.114.120832&lt;/electronic-resource-num&gt;&lt;language&gt;eng&lt;/language&gt;&lt;/record&gt;&lt;/Cite&gt;&lt;/EndNote&gt;</w:instrText>
            </w:r>
            <w:r w:rsidRPr="00FF13BE">
              <w:rPr>
                <w:lang w:val="en-NZ"/>
              </w:rPr>
              <w:fldChar w:fldCharType="separate"/>
            </w:r>
            <w:r w:rsidR="00FF13BE">
              <w:rPr>
                <w:noProof/>
                <w:lang w:val="en-NZ"/>
              </w:rPr>
              <w:t>[</w:t>
            </w:r>
            <w:hyperlink w:anchor="_ENREF_3" w:tooltip="McLean, 2014 #2880" w:history="1">
              <w:r w:rsidR="00FF13BE">
                <w:rPr>
                  <w:noProof/>
                  <w:lang w:val="en-NZ"/>
                </w:rPr>
                <w:t>3</w:t>
              </w:r>
            </w:hyperlink>
            <w:r w:rsidR="00FF13BE">
              <w:rPr>
                <w:noProof/>
                <w:lang w:val="en-NZ"/>
              </w:rPr>
              <w:t>]</w:t>
            </w:r>
            <w:r w:rsidRPr="00FF13BE">
              <w:rPr>
                <w:lang w:val="en-NZ"/>
              </w:rPr>
              <w:fldChar w:fldCharType="end"/>
            </w: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i/>
                <w:lang w:val="en-NZ" w:eastAsia="en-NZ"/>
              </w:rPr>
            </w:pP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R:</w:t>
            </w:r>
          </w:p>
        </w:tc>
        <w:tc>
          <w:tcPr>
            <w:tcW w:w="5245" w:type="dxa"/>
            <w:shd w:val="clear" w:color="auto" w:fill="auto"/>
            <w:noWrap/>
            <w:vAlign w:val="center"/>
          </w:tcPr>
          <w:p w:rsidR="00AF3CA8" w:rsidRPr="00FF13BE" w:rsidRDefault="00AF3CA8" w:rsidP="00FF13BE">
            <w:pPr>
              <w:rPr>
                <w:lang w:val="en-NZ" w:eastAsia="en-NZ"/>
              </w:rPr>
            </w:pPr>
            <w:r w:rsidRPr="00FF13BE">
              <w:rPr>
                <w:lang w:val="en-NZ" w:eastAsia="en-NZ"/>
              </w:rPr>
              <w:t>TTCTTGGCCTTGCCGTTCTT</w:t>
            </w:r>
          </w:p>
        </w:tc>
        <w:tc>
          <w:tcPr>
            <w:tcW w:w="1210" w:type="dxa"/>
            <w:gridSpan w:val="2"/>
            <w:shd w:val="clear" w:color="auto" w:fill="auto"/>
            <w:vAlign w:val="center"/>
          </w:tcPr>
          <w:p w:rsidR="00AF3CA8" w:rsidRPr="00FF13BE" w:rsidRDefault="00AF3CA8" w:rsidP="00FF13BE">
            <w:pPr>
              <w:rPr>
                <w:lang w:val="en-NZ" w:eastAsia="en-NZ"/>
              </w:rPr>
            </w:pPr>
          </w:p>
        </w:tc>
        <w:tc>
          <w:tcPr>
            <w:tcW w:w="1309" w:type="dxa"/>
            <w:shd w:val="clear" w:color="auto" w:fill="auto"/>
            <w:noWrap/>
            <w:vAlign w:val="center"/>
          </w:tcPr>
          <w:p w:rsidR="00AF3CA8" w:rsidRPr="00FF13BE" w:rsidRDefault="00AF3CA8" w:rsidP="00FF13BE">
            <w:pPr>
              <w:rPr>
                <w:lang w:val="en-NZ" w:eastAsia="en-NZ"/>
              </w:rPr>
            </w:pP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i/>
                <w:lang w:val="en-NZ" w:eastAsia="en-NZ"/>
              </w:rPr>
            </w:pPr>
            <w:r w:rsidRPr="00FF13BE">
              <w:rPr>
                <w:i/>
                <w:lang w:val="en-NZ" w:eastAsia="en-NZ"/>
              </w:rPr>
              <w:t>KRT8</w:t>
            </w: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F:</w:t>
            </w:r>
          </w:p>
        </w:tc>
        <w:tc>
          <w:tcPr>
            <w:tcW w:w="5245" w:type="dxa"/>
            <w:shd w:val="clear" w:color="auto" w:fill="auto"/>
            <w:noWrap/>
            <w:vAlign w:val="center"/>
          </w:tcPr>
          <w:p w:rsidR="00AF3CA8" w:rsidRPr="00FF13BE" w:rsidRDefault="00AF3CA8" w:rsidP="00FF13BE">
            <w:r w:rsidRPr="00FF13BE">
              <w:t>GGACCCCTGGCTTCAACT</w:t>
            </w:r>
          </w:p>
        </w:tc>
        <w:tc>
          <w:tcPr>
            <w:tcW w:w="1210" w:type="dxa"/>
            <w:gridSpan w:val="2"/>
            <w:shd w:val="clear" w:color="auto" w:fill="auto"/>
            <w:vAlign w:val="bottom"/>
          </w:tcPr>
          <w:p w:rsidR="00AF3CA8" w:rsidRPr="00FF13BE" w:rsidRDefault="00AF3CA8" w:rsidP="00FF13BE">
            <w:pPr>
              <w:rPr>
                <w:lang w:val="en-NZ" w:eastAsia="en-NZ"/>
              </w:rPr>
            </w:pPr>
            <w:r w:rsidRPr="00FF13BE">
              <w:rPr>
                <w:lang w:val="en-NZ" w:eastAsia="en-NZ"/>
              </w:rPr>
              <w:t>199</w:t>
            </w:r>
          </w:p>
        </w:tc>
        <w:tc>
          <w:tcPr>
            <w:tcW w:w="1309" w:type="dxa"/>
            <w:shd w:val="clear" w:color="auto" w:fill="auto"/>
            <w:noWrap/>
            <w:vAlign w:val="center"/>
          </w:tcPr>
          <w:p w:rsidR="00AF3CA8" w:rsidRPr="00FF13BE" w:rsidRDefault="00FF13BE" w:rsidP="00FF13BE">
            <w:pPr>
              <w:rPr>
                <w:lang w:val="en-NZ" w:eastAsia="en-NZ"/>
              </w:rPr>
            </w:pPr>
            <w:r>
              <w:rPr>
                <w:lang w:val="en-NZ" w:eastAsia="en-NZ"/>
              </w:rPr>
              <w:fldChar w:fldCharType="begin"/>
            </w:r>
            <w:r>
              <w:rPr>
                <w:lang w:val="en-NZ" w:eastAsia="en-NZ"/>
              </w:rPr>
              <w:instrText xml:space="preserve"> ADDIN EN.CITE &lt;EndNote&gt;&lt;Cite&gt;&lt;Author&gt;Meng&lt;/Author&gt;&lt;Year&gt;2015&lt;/Year&gt;&lt;RecNum&gt;3084&lt;/RecNum&gt;&lt;DisplayText&gt;[4]&lt;/DisplayText&gt;&lt;record&gt;&lt;rec-number&gt;3084&lt;/rec-number&gt;&lt;foreign-keys&gt;&lt;key app="EN" db-id="arstf99z4x0vw2ert22pfffnrv2d922zs29p"&gt;3084&lt;/key&gt;&lt;/foreign-keys&gt;&lt;ref-type name="Journal Article"&gt;17&lt;/ref-type&gt;&lt;contributors&gt;&lt;authors&gt;&lt;author&gt;Meng, F.&lt;/author&gt;&lt;author&gt;Forrester-Gauntlett, B.&lt;/author&gt;&lt;author&gt;Turner, P.&lt;/author&gt;&lt;author&gt;Henderson, H.&lt;/author&gt;&lt;author&gt;Oback, B.&lt;/author&gt;&lt;/authors&gt;&lt;/contributors&gt;&lt;auth-address&gt;AgResearch Ltd., Ruakura Research Centre, Reproductive Technologies, Hamilton, New Zealand.&amp;#xD;AgResearch Ltd., Ruakura Research Centre, Reproductive Technologies, Hamilton, New Zealand bjorn.oback@agresearch.co.nz.&lt;/auth-address&gt;&lt;titles&gt;&lt;title&gt;Signal Inhibition Reveals JAK/STAT3 Pathway as Critical for Bovine Inner Cell Mass Development&lt;/title&gt;&lt;secondary-title&gt;Biol Reprod&lt;/secondary-title&gt;&lt;alt-title&gt;Biology of reproduction&lt;/alt-title&gt;&lt;/titles&gt;&lt;periodical&gt;&lt;full-title&gt;Biol Reprod&lt;/full-title&gt;&lt;/periodical&gt;&lt;alt-periodical&gt;&lt;full-title&gt;Biology of Reproduction&lt;/full-title&gt;&lt;/alt-periodical&gt;&lt;pages&gt;132&lt;/pages&gt;&lt;volume&gt;93&lt;/volume&gt;&lt;number&gt;6&lt;/number&gt;&lt;edition&gt;2015/10/30&lt;/edition&gt;&lt;dates&gt;&lt;year&gt;2015&lt;/year&gt;&lt;pub-dates&gt;&lt;date&gt;Dec&lt;/date&gt;&lt;/pub-dates&gt;&lt;/dates&gt;&lt;isbn&gt;1529-7268 (Electronic)&amp;#xD;0006-3363 (Linking)&lt;/isbn&gt;&lt;accession-num&gt;26510863&lt;/accession-num&gt;&lt;urls&gt;&lt;related-urls&gt;&lt;url&gt;http://www.ncbi.nlm.nih.gov/pubmed/26510863&lt;/url&gt;&lt;/related-urls&gt;&lt;/urls&gt;&lt;electronic-resource-num&gt;10.1095/biolreprod.115.134254&lt;/electronic-resource-num&gt;&lt;language&gt;eng&lt;/language&gt;&lt;/record&gt;&lt;/Cite&gt;&lt;/EndNote&gt;</w:instrText>
            </w:r>
            <w:r>
              <w:rPr>
                <w:lang w:val="en-NZ" w:eastAsia="en-NZ"/>
              </w:rPr>
              <w:fldChar w:fldCharType="separate"/>
            </w:r>
            <w:r>
              <w:rPr>
                <w:noProof/>
                <w:lang w:val="en-NZ" w:eastAsia="en-NZ"/>
              </w:rPr>
              <w:t>[</w:t>
            </w:r>
            <w:hyperlink w:anchor="_ENREF_4" w:tooltip="Meng, 2015 #3084" w:history="1">
              <w:r>
                <w:rPr>
                  <w:noProof/>
                  <w:lang w:val="en-NZ" w:eastAsia="en-NZ"/>
                </w:rPr>
                <w:t>4</w:t>
              </w:r>
            </w:hyperlink>
            <w:r>
              <w:rPr>
                <w:noProof/>
                <w:lang w:val="en-NZ" w:eastAsia="en-NZ"/>
              </w:rPr>
              <w:t>]</w:t>
            </w:r>
            <w:r>
              <w:rPr>
                <w:lang w:val="en-NZ" w:eastAsia="en-NZ"/>
              </w:rPr>
              <w:fldChar w:fldCharType="end"/>
            </w: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i/>
                <w:lang w:val="en-NZ" w:eastAsia="en-NZ"/>
              </w:rPr>
            </w:pP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R:</w:t>
            </w:r>
          </w:p>
        </w:tc>
        <w:tc>
          <w:tcPr>
            <w:tcW w:w="5245" w:type="dxa"/>
            <w:shd w:val="clear" w:color="auto" w:fill="auto"/>
            <w:noWrap/>
            <w:vAlign w:val="center"/>
          </w:tcPr>
          <w:p w:rsidR="00AF3CA8" w:rsidRPr="00FF13BE" w:rsidRDefault="00AF3CA8" w:rsidP="00FF13BE">
            <w:r w:rsidRPr="00FF13BE">
              <w:t>CCCTGCACAGCTCCATCT</w:t>
            </w:r>
          </w:p>
        </w:tc>
        <w:tc>
          <w:tcPr>
            <w:tcW w:w="1210" w:type="dxa"/>
            <w:gridSpan w:val="2"/>
            <w:shd w:val="clear" w:color="auto" w:fill="auto"/>
            <w:vAlign w:val="center"/>
          </w:tcPr>
          <w:p w:rsidR="00AF3CA8" w:rsidRPr="00FF13BE" w:rsidRDefault="00AF3CA8" w:rsidP="00FF13BE">
            <w:pPr>
              <w:rPr>
                <w:lang w:val="en-NZ" w:eastAsia="en-NZ"/>
              </w:rPr>
            </w:pPr>
          </w:p>
        </w:tc>
        <w:tc>
          <w:tcPr>
            <w:tcW w:w="1309" w:type="dxa"/>
            <w:shd w:val="clear" w:color="auto" w:fill="auto"/>
            <w:noWrap/>
            <w:vAlign w:val="center"/>
          </w:tcPr>
          <w:p w:rsidR="00AF3CA8" w:rsidRPr="00FF13BE" w:rsidRDefault="00AF3CA8" w:rsidP="00FF13BE">
            <w:pPr>
              <w:rPr>
                <w:lang w:val="en-NZ" w:eastAsia="en-NZ"/>
              </w:rPr>
            </w:pP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i/>
                <w:lang w:val="en-NZ" w:eastAsia="en-NZ"/>
              </w:rPr>
            </w:pPr>
            <w:r w:rsidRPr="00FF13BE">
              <w:rPr>
                <w:i/>
                <w:lang w:val="en-NZ" w:eastAsia="en-NZ"/>
              </w:rPr>
              <w:t>NANOG</w:t>
            </w: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F:</w:t>
            </w:r>
          </w:p>
        </w:tc>
        <w:tc>
          <w:tcPr>
            <w:tcW w:w="5245" w:type="dxa"/>
            <w:shd w:val="clear" w:color="auto" w:fill="auto"/>
            <w:noWrap/>
            <w:vAlign w:val="center"/>
          </w:tcPr>
          <w:p w:rsidR="00AF3CA8" w:rsidRPr="00FF13BE" w:rsidRDefault="00AF3CA8" w:rsidP="00FF13BE">
            <w:pPr>
              <w:rPr>
                <w:lang w:val="en-NZ" w:eastAsia="en-NZ"/>
              </w:rPr>
            </w:pPr>
            <w:r w:rsidRPr="00FF13BE">
              <w:rPr>
                <w:lang w:val="en-NZ" w:eastAsia="en-NZ"/>
              </w:rPr>
              <w:t>CACCCATGCCTGAAGAAAGT</w:t>
            </w:r>
          </w:p>
        </w:tc>
        <w:tc>
          <w:tcPr>
            <w:tcW w:w="1210" w:type="dxa"/>
            <w:gridSpan w:val="2"/>
            <w:shd w:val="clear" w:color="auto" w:fill="auto"/>
            <w:vAlign w:val="center"/>
          </w:tcPr>
          <w:p w:rsidR="00AF3CA8" w:rsidRPr="00FF13BE" w:rsidRDefault="00AF3CA8" w:rsidP="00FF13BE">
            <w:pPr>
              <w:rPr>
                <w:lang w:val="en-NZ" w:eastAsia="en-NZ"/>
              </w:rPr>
            </w:pPr>
            <w:r w:rsidRPr="00FF13BE">
              <w:rPr>
                <w:lang w:val="en-NZ" w:eastAsia="en-NZ"/>
              </w:rPr>
              <w:t>295</w:t>
            </w:r>
          </w:p>
        </w:tc>
        <w:tc>
          <w:tcPr>
            <w:tcW w:w="1309" w:type="dxa"/>
            <w:shd w:val="clear" w:color="auto" w:fill="auto"/>
            <w:noWrap/>
            <w:vAlign w:val="center"/>
          </w:tcPr>
          <w:p w:rsidR="00AF3CA8" w:rsidRPr="00FF13BE" w:rsidRDefault="00AF3CA8" w:rsidP="00FF13BE">
            <w:pPr>
              <w:rPr>
                <w:lang w:val="en-NZ" w:eastAsia="en-NZ"/>
              </w:rPr>
            </w:pPr>
            <w:r w:rsidRPr="00FF13BE">
              <w:rPr>
                <w:lang w:val="en-NZ" w:eastAsia="en-NZ"/>
              </w:rPr>
              <w:fldChar w:fldCharType="begin"/>
            </w:r>
            <w:r w:rsidR="00FF13BE">
              <w:rPr>
                <w:lang w:val="en-NZ" w:eastAsia="en-NZ"/>
              </w:rPr>
              <w:instrText xml:space="preserve"> ADDIN EN.CITE &lt;EndNote&gt;&lt;Cite&gt;&lt;Author&gt;Huang&lt;/Author&gt;&lt;Year&gt;2011&lt;/Year&gt;&lt;RecNum&gt;2340&lt;/RecNum&gt;&lt;DisplayText&gt;[5]&lt;/DisplayText&gt;&lt;record&gt;&lt;rec-number&gt;2340&lt;/rec-number&gt;&lt;foreign-keys&gt;&lt;key app="EN" db-id="arstf99z4x0vw2ert22pfffnrv2d922zs29p"&gt;2340&lt;/key&gt;&lt;/foreign-keys&gt;&lt;ref-type name="Journal Article"&gt;17&lt;/ref-type&gt;&lt;contributors&gt;&lt;authors&gt;&lt;author&gt;Huang, B.&lt;/author&gt;&lt;author&gt;Li, T.&lt;/author&gt;&lt;author&gt;Alonso-Gonzalez, L.&lt;/author&gt;&lt;author&gt;Gorre, R.&lt;/author&gt;&lt;author&gt;Keatley, S.&lt;/author&gt;&lt;author&gt;Green, A.&lt;/author&gt;&lt;author&gt;Turner, P.&lt;/author&gt;&lt;author&gt;Kallingappa, P. K.&lt;/author&gt;&lt;author&gt;Verma, V.&lt;/author&gt;&lt;author&gt;Oback, B.&lt;/author&gt;&lt;/authors&gt;&lt;/contributors&gt;&lt;auth-address&gt;AgResearch, Ruakura Research Centre, Hamilton, New Zealand.&lt;/auth-address&gt;&lt;titles&gt;&lt;title&gt;A Virus-Free Poly-Promoter Vector Induces Pluripotency in Quiescent Bovine Cells under Chemically Defined Conditions of Dual Kinase Inhibition&lt;/title&gt;&lt;secondary-title&gt;PLoS One&lt;/secondary-title&gt;&lt;/titles&gt;&lt;periodical&gt;&lt;full-title&gt;PLoS ONE&lt;/full-title&gt;&lt;/periodical&gt;&lt;pages&gt;e24501&lt;/pages&gt;&lt;volume&gt;6&lt;/volume&gt;&lt;number&gt;9&lt;/number&gt;&lt;edition&gt;2011/09/14&lt;/edition&gt;&lt;dates&gt;&lt;year&gt;2011&lt;/year&gt;&lt;/dates&gt;&lt;isbn&gt;1932-6203 (Electronic)&amp;#xD;1932-6203 (Linking)&lt;/isbn&gt;&lt;accession-num&gt;21912700&lt;/accession-num&gt;&lt;urls&gt;&lt;related-urls&gt;&lt;url&gt;http://www.ncbi.nlm.nih.gov/entrez/query.fcgi?cmd=Retrieve&amp;amp;db=PubMed&amp;amp;dopt=Citation&amp;amp;list_uids=21912700&lt;/url&gt;&lt;/related-urls&gt;&lt;/urls&gt;&lt;custom2&gt;3166309&lt;/custom2&gt;&lt;electronic-resource-num&gt;10.1371/journal.pone.0024501&amp;#xD;PONE-D-11-04574 [pii]&lt;/electronic-resource-num&gt;&lt;language&gt;eng&lt;/language&gt;&lt;/record&gt;&lt;/Cite&gt;&lt;/EndNote&gt;</w:instrText>
            </w:r>
            <w:r w:rsidRPr="00FF13BE">
              <w:rPr>
                <w:lang w:val="en-NZ" w:eastAsia="en-NZ"/>
              </w:rPr>
              <w:fldChar w:fldCharType="separate"/>
            </w:r>
            <w:r w:rsidR="00FF13BE">
              <w:rPr>
                <w:noProof/>
                <w:lang w:val="en-NZ" w:eastAsia="en-NZ"/>
              </w:rPr>
              <w:t>[</w:t>
            </w:r>
            <w:hyperlink w:anchor="_ENREF_5" w:tooltip="Huang, 2011 #2340" w:history="1">
              <w:r w:rsidR="00FF13BE">
                <w:rPr>
                  <w:noProof/>
                  <w:lang w:val="en-NZ" w:eastAsia="en-NZ"/>
                </w:rPr>
                <w:t>5</w:t>
              </w:r>
            </w:hyperlink>
            <w:r w:rsidR="00FF13BE">
              <w:rPr>
                <w:noProof/>
                <w:lang w:val="en-NZ" w:eastAsia="en-NZ"/>
              </w:rPr>
              <w:t>]</w:t>
            </w:r>
            <w:r w:rsidRPr="00FF13BE">
              <w:rPr>
                <w:lang w:val="en-NZ" w:eastAsia="en-NZ"/>
              </w:rPr>
              <w:fldChar w:fldCharType="end"/>
            </w: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i/>
                <w:lang w:val="en-NZ" w:eastAsia="en-NZ"/>
              </w:rPr>
            </w:pP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R:</w:t>
            </w:r>
          </w:p>
        </w:tc>
        <w:tc>
          <w:tcPr>
            <w:tcW w:w="5245" w:type="dxa"/>
            <w:shd w:val="clear" w:color="auto" w:fill="auto"/>
            <w:noWrap/>
            <w:vAlign w:val="center"/>
          </w:tcPr>
          <w:p w:rsidR="00AF3CA8" w:rsidRPr="00FF13BE" w:rsidRDefault="00AF3CA8" w:rsidP="00FF13BE">
            <w:pPr>
              <w:rPr>
                <w:lang w:val="en-NZ" w:eastAsia="en-NZ"/>
              </w:rPr>
            </w:pPr>
            <w:r w:rsidRPr="00FF13BE">
              <w:rPr>
                <w:lang w:val="en-NZ" w:eastAsia="en-NZ"/>
              </w:rPr>
              <w:t>TGCATTTGCTGGAGACTGAG</w:t>
            </w:r>
          </w:p>
        </w:tc>
        <w:tc>
          <w:tcPr>
            <w:tcW w:w="1210" w:type="dxa"/>
            <w:gridSpan w:val="2"/>
            <w:shd w:val="clear" w:color="auto" w:fill="auto"/>
            <w:vAlign w:val="center"/>
          </w:tcPr>
          <w:p w:rsidR="00AF3CA8" w:rsidRPr="00FF13BE" w:rsidRDefault="00AF3CA8" w:rsidP="00FF13BE">
            <w:pPr>
              <w:rPr>
                <w:lang w:val="en-NZ" w:eastAsia="en-NZ"/>
              </w:rPr>
            </w:pPr>
          </w:p>
        </w:tc>
        <w:tc>
          <w:tcPr>
            <w:tcW w:w="1309" w:type="dxa"/>
            <w:shd w:val="clear" w:color="auto" w:fill="auto"/>
            <w:noWrap/>
            <w:vAlign w:val="center"/>
          </w:tcPr>
          <w:p w:rsidR="00AF3CA8" w:rsidRPr="00FF13BE" w:rsidRDefault="00AF3CA8" w:rsidP="00FF13BE">
            <w:pPr>
              <w:rPr>
                <w:lang w:val="en-NZ" w:eastAsia="en-NZ"/>
              </w:rPr>
            </w:pPr>
          </w:p>
        </w:tc>
      </w:tr>
      <w:tr w:rsidR="00AF3CA8" w:rsidRPr="00FF13BE" w:rsidTr="00AF3CA8">
        <w:trPr>
          <w:trHeight w:val="410"/>
          <w:jc w:val="center"/>
        </w:trPr>
        <w:tc>
          <w:tcPr>
            <w:tcW w:w="1249" w:type="dxa"/>
            <w:shd w:val="clear" w:color="auto" w:fill="auto"/>
            <w:noWrap/>
            <w:vAlign w:val="bottom"/>
          </w:tcPr>
          <w:p w:rsidR="00AF3CA8" w:rsidRPr="00FF13BE" w:rsidRDefault="00AF3CA8" w:rsidP="00FF13BE">
            <w:pPr>
              <w:rPr>
                <w:i/>
                <w:iCs/>
                <w:lang w:val="en-NZ" w:eastAsia="en-NZ"/>
              </w:rPr>
            </w:pPr>
            <w:r w:rsidRPr="00FF13BE">
              <w:rPr>
                <w:i/>
                <w:iCs/>
                <w:lang w:val="en-NZ" w:eastAsia="en-NZ"/>
              </w:rPr>
              <w:t>SOX2</w:t>
            </w:r>
          </w:p>
        </w:tc>
        <w:tc>
          <w:tcPr>
            <w:tcW w:w="563" w:type="dxa"/>
            <w:shd w:val="clear" w:color="auto" w:fill="auto"/>
            <w:noWrap/>
            <w:vAlign w:val="bottom"/>
          </w:tcPr>
          <w:p w:rsidR="00AF3CA8" w:rsidRPr="00FF13BE" w:rsidRDefault="00AF3CA8" w:rsidP="00FF13BE">
            <w:pPr>
              <w:rPr>
                <w:lang w:val="en-NZ" w:eastAsia="en-NZ"/>
              </w:rPr>
            </w:pPr>
            <w:r w:rsidRPr="00FF13BE">
              <w:rPr>
                <w:lang w:val="en-NZ" w:eastAsia="en-NZ"/>
              </w:rPr>
              <w:t>F:</w:t>
            </w:r>
          </w:p>
        </w:tc>
        <w:tc>
          <w:tcPr>
            <w:tcW w:w="5245" w:type="dxa"/>
            <w:shd w:val="clear" w:color="auto" w:fill="auto"/>
            <w:noWrap/>
            <w:vAlign w:val="bottom"/>
          </w:tcPr>
          <w:p w:rsidR="00AF3CA8" w:rsidRPr="00FF13BE" w:rsidRDefault="00AF3CA8" w:rsidP="00FF13BE">
            <w:pPr>
              <w:rPr>
                <w:lang w:val="en-NZ" w:eastAsia="en-NZ"/>
              </w:rPr>
            </w:pPr>
            <w:r w:rsidRPr="00FF13BE">
              <w:rPr>
                <w:lang w:val="en-NZ" w:eastAsia="en-NZ"/>
              </w:rPr>
              <w:t>CTATGACCAGCT CGCAGA</w:t>
            </w:r>
          </w:p>
        </w:tc>
        <w:tc>
          <w:tcPr>
            <w:tcW w:w="1210" w:type="dxa"/>
            <w:gridSpan w:val="2"/>
            <w:shd w:val="clear" w:color="auto" w:fill="auto"/>
            <w:vAlign w:val="bottom"/>
          </w:tcPr>
          <w:p w:rsidR="00AF3CA8" w:rsidRPr="00FF13BE" w:rsidRDefault="00AF3CA8" w:rsidP="00FF13BE">
            <w:pPr>
              <w:rPr>
                <w:lang w:val="en-NZ" w:eastAsia="en-NZ"/>
              </w:rPr>
            </w:pPr>
            <w:r w:rsidRPr="00FF13BE">
              <w:rPr>
                <w:lang w:val="en-NZ" w:eastAsia="en-NZ"/>
              </w:rPr>
              <w:t>152</w:t>
            </w:r>
          </w:p>
        </w:tc>
        <w:tc>
          <w:tcPr>
            <w:tcW w:w="1309" w:type="dxa"/>
            <w:shd w:val="clear" w:color="auto" w:fill="auto"/>
            <w:noWrap/>
            <w:vAlign w:val="bottom"/>
          </w:tcPr>
          <w:p w:rsidR="00AF3CA8" w:rsidRPr="00FF13BE" w:rsidRDefault="00AF3CA8" w:rsidP="00FF13BE">
            <w:pPr>
              <w:rPr>
                <w:lang w:val="en-NZ" w:eastAsia="en-NZ"/>
              </w:rPr>
            </w:pPr>
            <w:r w:rsidRPr="00FF13BE">
              <w:rPr>
                <w:lang w:val="en-NZ" w:eastAsia="en-NZ"/>
              </w:rPr>
              <w:fldChar w:fldCharType="begin"/>
            </w:r>
            <w:r w:rsidR="00FF13BE">
              <w:rPr>
                <w:lang w:val="en-NZ" w:eastAsia="en-NZ"/>
              </w:rPr>
              <w:instrText xml:space="preserve"> ADDIN EN.CITE &lt;EndNote&gt;&lt;Cite&gt;&lt;Author&gt;Huang&lt;/Author&gt;&lt;Year&gt;2011&lt;/Year&gt;&lt;RecNum&gt;2340&lt;/RecNum&gt;&lt;DisplayText&gt;[5]&lt;/DisplayText&gt;&lt;record&gt;&lt;rec-number&gt;2340&lt;/rec-number&gt;&lt;foreign-keys&gt;&lt;key app="EN" db-id="arstf99z4x0vw2ert22pfffnrv2d922zs29p"&gt;2340&lt;/key&gt;&lt;/foreign-keys&gt;&lt;ref-type name="Journal Article"&gt;17&lt;/ref-type&gt;&lt;contributors&gt;&lt;authors&gt;&lt;author&gt;Huang, B.&lt;/author&gt;&lt;author&gt;Li, T.&lt;/author&gt;&lt;author&gt;Alonso-Gonzalez, L.&lt;/author&gt;&lt;author&gt;Gorre, R.&lt;/author&gt;&lt;author&gt;Keatley, S.&lt;/author&gt;&lt;author&gt;Green, A.&lt;/author&gt;&lt;author&gt;Turner, P.&lt;/author&gt;&lt;author&gt;Kallingappa, P. K.&lt;/author&gt;&lt;author&gt;Verma, V.&lt;/author&gt;&lt;author&gt;Oback, B.&lt;/author&gt;&lt;/authors&gt;&lt;/contributors&gt;&lt;auth-address&gt;AgResearch, Ruakura Research Centre, Hamilton, New Zealand.&lt;/auth-address&gt;&lt;titles&gt;&lt;title&gt;A Virus-Free Poly-Promoter Vector Induces Pluripotency in Quiescent Bovine Cells under Chemically Defined Conditions of Dual Kinase Inhibition&lt;/title&gt;&lt;secondary-title&gt;PLoS One&lt;/secondary-title&gt;&lt;/titles&gt;&lt;periodical&gt;&lt;full-title&gt;PLoS ONE&lt;/full-title&gt;&lt;/periodical&gt;&lt;pages&gt;e24501&lt;/pages&gt;&lt;volume&gt;6&lt;/volume&gt;&lt;number&gt;9&lt;/number&gt;&lt;edition&gt;2011/09/14&lt;/edition&gt;&lt;dates&gt;&lt;year&gt;2011&lt;/year&gt;&lt;/dates&gt;&lt;isbn&gt;1932-6203 (Electronic)&amp;#xD;1932-6203 (Linking)&lt;/isbn&gt;&lt;accession-num&gt;21912700&lt;/accession-num&gt;&lt;urls&gt;&lt;related-urls&gt;&lt;url&gt;http://www.ncbi.nlm.nih.gov/entrez/query.fcgi?cmd=Retrieve&amp;amp;db=PubMed&amp;amp;dopt=Citation&amp;amp;list_uids=21912700&lt;/url&gt;&lt;/related-urls&gt;&lt;/urls&gt;&lt;custom2&gt;3166309&lt;/custom2&gt;&lt;electronic-resource-num&gt;10.1371/journal.pone.0024501&amp;#xD;PONE-D-11-04574 [pii]&lt;/electronic-resource-num&gt;&lt;language&gt;eng&lt;/language&gt;&lt;/record&gt;&lt;/Cite&gt;&lt;/EndNote&gt;</w:instrText>
            </w:r>
            <w:r w:rsidRPr="00FF13BE">
              <w:rPr>
                <w:lang w:val="en-NZ" w:eastAsia="en-NZ"/>
              </w:rPr>
              <w:fldChar w:fldCharType="separate"/>
            </w:r>
            <w:r w:rsidR="00FF13BE">
              <w:rPr>
                <w:noProof/>
                <w:lang w:val="en-NZ" w:eastAsia="en-NZ"/>
              </w:rPr>
              <w:t>[</w:t>
            </w:r>
            <w:hyperlink w:anchor="_ENREF_5" w:tooltip="Huang, 2011 #2340" w:history="1">
              <w:r w:rsidR="00FF13BE">
                <w:rPr>
                  <w:noProof/>
                  <w:lang w:val="en-NZ" w:eastAsia="en-NZ"/>
                </w:rPr>
                <w:t>5</w:t>
              </w:r>
            </w:hyperlink>
            <w:r w:rsidR="00FF13BE">
              <w:rPr>
                <w:noProof/>
                <w:lang w:val="en-NZ" w:eastAsia="en-NZ"/>
              </w:rPr>
              <w:t>]</w:t>
            </w:r>
            <w:r w:rsidRPr="00FF13BE">
              <w:rPr>
                <w:lang w:val="en-NZ" w:eastAsia="en-NZ"/>
              </w:rPr>
              <w:fldChar w:fldCharType="end"/>
            </w:r>
          </w:p>
        </w:tc>
      </w:tr>
      <w:tr w:rsidR="00AF3CA8" w:rsidRPr="00FF13BE" w:rsidTr="00AF3CA8">
        <w:trPr>
          <w:trHeight w:val="410"/>
          <w:jc w:val="center"/>
        </w:trPr>
        <w:tc>
          <w:tcPr>
            <w:tcW w:w="1249" w:type="dxa"/>
            <w:shd w:val="clear" w:color="auto" w:fill="auto"/>
            <w:noWrap/>
            <w:vAlign w:val="bottom"/>
          </w:tcPr>
          <w:p w:rsidR="00AF3CA8" w:rsidRPr="00FF13BE" w:rsidRDefault="00AF3CA8" w:rsidP="00FF13BE">
            <w:pPr>
              <w:rPr>
                <w:i/>
                <w:iCs/>
                <w:lang w:val="en-NZ" w:eastAsia="en-NZ"/>
              </w:rPr>
            </w:pPr>
          </w:p>
        </w:tc>
        <w:tc>
          <w:tcPr>
            <w:tcW w:w="563" w:type="dxa"/>
            <w:shd w:val="clear" w:color="auto" w:fill="auto"/>
            <w:noWrap/>
            <w:vAlign w:val="bottom"/>
          </w:tcPr>
          <w:p w:rsidR="00AF3CA8" w:rsidRPr="00FF13BE" w:rsidRDefault="00AF3CA8" w:rsidP="00FF13BE">
            <w:pPr>
              <w:rPr>
                <w:lang w:val="en-NZ" w:eastAsia="en-NZ"/>
              </w:rPr>
            </w:pPr>
            <w:r w:rsidRPr="00FF13BE">
              <w:rPr>
                <w:lang w:val="en-NZ" w:eastAsia="en-NZ"/>
              </w:rPr>
              <w:t>R:</w:t>
            </w:r>
          </w:p>
        </w:tc>
        <w:tc>
          <w:tcPr>
            <w:tcW w:w="5245" w:type="dxa"/>
            <w:shd w:val="clear" w:color="auto" w:fill="auto"/>
            <w:noWrap/>
            <w:vAlign w:val="bottom"/>
          </w:tcPr>
          <w:p w:rsidR="00AF3CA8" w:rsidRPr="00FF13BE" w:rsidRDefault="00AF3CA8" w:rsidP="00FF13BE">
            <w:pPr>
              <w:rPr>
                <w:lang w:val="en-NZ" w:eastAsia="en-NZ"/>
              </w:rPr>
            </w:pPr>
            <w:r w:rsidRPr="00FF13BE">
              <w:rPr>
                <w:lang w:val="en-NZ" w:eastAsia="en-NZ"/>
              </w:rPr>
              <w:t>GGAAGAAGAGGTAACCACG</w:t>
            </w:r>
          </w:p>
        </w:tc>
        <w:tc>
          <w:tcPr>
            <w:tcW w:w="1210" w:type="dxa"/>
            <w:gridSpan w:val="2"/>
            <w:shd w:val="clear" w:color="auto" w:fill="auto"/>
            <w:vAlign w:val="bottom"/>
          </w:tcPr>
          <w:p w:rsidR="00AF3CA8" w:rsidRPr="00FF13BE" w:rsidRDefault="00AF3CA8" w:rsidP="00FF13BE">
            <w:pPr>
              <w:rPr>
                <w:lang w:val="en-NZ" w:eastAsia="en-NZ"/>
              </w:rPr>
            </w:pPr>
          </w:p>
        </w:tc>
        <w:tc>
          <w:tcPr>
            <w:tcW w:w="1309" w:type="dxa"/>
            <w:shd w:val="clear" w:color="auto" w:fill="auto"/>
            <w:noWrap/>
            <w:vAlign w:val="bottom"/>
          </w:tcPr>
          <w:p w:rsidR="00AF3CA8" w:rsidRPr="00FF13BE" w:rsidRDefault="00AF3CA8" w:rsidP="00FF13BE">
            <w:pPr>
              <w:rPr>
                <w:lang w:val="en-NZ" w:eastAsia="en-NZ"/>
              </w:rPr>
            </w:pP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lang w:val="en-NZ" w:eastAsia="en-NZ"/>
              </w:rPr>
            </w:pPr>
            <w:r w:rsidRPr="00FF13BE">
              <w:rPr>
                <w:i/>
              </w:rPr>
              <w:t>TDH</w:t>
            </w: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F:</w:t>
            </w:r>
          </w:p>
        </w:tc>
        <w:tc>
          <w:tcPr>
            <w:tcW w:w="5245" w:type="dxa"/>
            <w:shd w:val="clear" w:color="auto" w:fill="auto"/>
            <w:noWrap/>
            <w:vAlign w:val="center"/>
          </w:tcPr>
          <w:p w:rsidR="00AF3CA8" w:rsidRPr="00FF13BE" w:rsidRDefault="00AF3CA8" w:rsidP="00FF13BE">
            <w:pPr>
              <w:rPr>
                <w:lang w:val="en-NZ" w:eastAsia="en-NZ"/>
              </w:rPr>
            </w:pPr>
            <w:r w:rsidRPr="00FF13BE">
              <w:rPr>
                <w:color w:val="000000"/>
              </w:rPr>
              <w:t>TGAGTCCTGGGTGGCTGT</w:t>
            </w:r>
          </w:p>
        </w:tc>
        <w:tc>
          <w:tcPr>
            <w:tcW w:w="1210" w:type="dxa"/>
            <w:gridSpan w:val="2"/>
            <w:shd w:val="clear" w:color="auto" w:fill="auto"/>
            <w:vAlign w:val="center"/>
          </w:tcPr>
          <w:p w:rsidR="00AF3CA8" w:rsidRPr="00FF13BE" w:rsidRDefault="00AF3CA8" w:rsidP="00FF13BE">
            <w:pPr>
              <w:rPr>
                <w:lang w:val="en-NZ" w:eastAsia="en-NZ"/>
              </w:rPr>
            </w:pPr>
            <w:r w:rsidRPr="00FF13BE">
              <w:rPr>
                <w:color w:val="000000"/>
              </w:rPr>
              <w:t>187</w:t>
            </w:r>
          </w:p>
        </w:tc>
        <w:tc>
          <w:tcPr>
            <w:tcW w:w="1309" w:type="dxa"/>
            <w:shd w:val="clear" w:color="auto" w:fill="auto"/>
            <w:noWrap/>
            <w:vAlign w:val="center"/>
          </w:tcPr>
          <w:p w:rsidR="00AF3CA8" w:rsidRPr="00FF13BE" w:rsidRDefault="00AF3CA8" w:rsidP="00FF13BE">
            <w:pPr>
              <w:rPr>
                <w:lang w:val="en-NZ" w:eastAsia="en-NZ"/>
              </w:rPr>
            </w:pPr>
            <w:r w:rsidRPr="00FF13BE">
              <w:rPr>
                <w:lang w:val="en-NZ" w:eastAsia="en-NZ"/>
              </w:rPr>
              <w:t>This paper</w:t>
            </w: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lang w:val="en-NZ" w:eastAsia="en-NZ"/>
              </w:rPr>
            </w:pP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R:</w:t>
            </w:r>
          </w:p>
        </w:tc>
        <w:tc>
          <w:tcPr>
            <w:tcW w:w="5245" w:type="dxa"/>
            <w:shd w:val="clear" w:color="auto" w:fill="auto"/>
            <w:noWrap/>
            <w:vAlign w:val="center"/>
          </w:tcPr>
          <w:p w:rsidR="00AF3CA8" w:rsidRPr="00FF13BE" w:rsidRDefault="00AF3CA8" w:rsidP="00FF13BE">
            <w:pPr>
              <w:rPr>
                <w:lang w:val="en-NZ" w:eastAsia="en-NZ"/>
              </w:rPr>
            </w:pPr>
            <w:r w:rsidRPr="00FF13BE">
              <w:rPr>
                <w:color w:val="000000"/>
              </w:rPr>
              <w:t>GAAGGGCTACCACCAAACC</w:t>
            </w:r>
          </w:p>
        </w:tc>
        <w:tc>
          <w:tcPr>
            <w:tcW w:w="1210" w:type="dxa"/>
            <w:gridSpan w:val="2"/>
            <w:shd w:val="clear" w:color="auto" w:fill="auto"/>
            <w:vAlign w:val="center"/>
          </w:tcPr>
          <w:p w:rsidR="00AF3CA8" w:rsidRPr="00FF13BE" w:rsidRDefault="00AF3CA8" w:rsidP="00FF13BE">
            <w:pPr>
              <w:rPr>
                <w:lang w:val="en-NZ" w:eastAsia="en-NZ"/>
              </w:rPr>
            </w:pPr>
          </w:p>
        </w:tc>
        <w:tc>
          <w:tcPr>
            <w:tcW w:w="1309" w:type="dxa"/>
            <w:shd w:val="clear" w:color="auto" w:fill="auto"/>
            <w:noWrap/>
            <w:vAlign w:val="center"/>
          </w:tcPr>
          <w:p w:rsidR="00AF3CA8" w:rsidRPr="00FF13BE" w:rsidRDefault="00AF3CA8" w:rsidP="00FF13BE">
            <w:pPr>
              <w:rPr>
                <w:lang w:val="en-NZ" w:eastAsia="en-NZ"/>
              </w:rPr>
            </w:pPr>
          </w:p>
        </w:tc>
      </w:tr>
      <w:tr w:rsidR="00AF3CA8" w:rsidRPr="00FF13BE" w:rsidTr="00AF3CA8">
        <w:tblPrEx>
          <w:jc w:val="left"/>
          <w:tblCellMar>
            <w:top w:w="15" w:type="dxa"/>
            <w:left w:w="15" w:type="dxa"/>
            <w:bottom w:w="15" w:type="dxa"/>
            <w:right w:w="15" w:type="dxa"/>
          </w:tblCellMar>
        </w:tblPrEx>
        <w:trPr>
          <w:gridAfter w:val="2"/>
          <w:wAfter w:w="2064" w:type="dxa"/>
          <w:trHeight w:val="400"/>
        </w:trPr>
        <w:tc>
          <w:tcPr>
            <w:tcW w:w="7512" w:type="dxa"/>
            <w:gridSpan w:val="4"/>
            <w:tcMar>
              <w:top w:w="38" w:type="dxa"/>
              <w:left w:w="38" w:type="dxa"/>
              <w:bottom w:w="38" w:type="dxa"/>
              <w:right w:w="38" w:type="dxa"/>
            </w:tcMar>
            <w:vAlign w:val="center"/>
            <w:hideMark/>
          </w:tcPr>
          <w:p w:rsidR="00AF3CA8" w:rsidRPr="00FF13BE" w:rsidRDefault="00AF3CA8" w:rsidP="00FF13BE">
            <w:pPr>
              <w:pStyle w:val="NormalWeb"/>
              <w:spacing w:before="0" w:beforeAutospacing="0" w:after="0" w:afterAutospacing="0"/>
            </w:pPr>
            <w:r w:rsidRPr="00FF13BE">
              <w:rPr>
                <w:i/>
                <w:iCs/>
                <w:color w:val="000000"/>
              </w:rPr>
              <w:t>Mouse primers</w:t>
            </w: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lang w:val="en-NZ" w:eastAsia="en-NZ"/>
              </w:rPr>
            </w:pPr>
            <w:r w:rsidRPr="00FF13BE">
              <w:rPr>
                <w:i/>
                <w:iCs/>
                <w:color w:val="000000"/>
              </w:rPr>
              <w:t>GAPDH</w:t>
            </w: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F:</w:t>
            </w:r>
          </w:p>
        </w:tc>
        <w:tc>
          <w:tcPr>
            <w:tcW w:w="5245" w:type="dxa"/>
            <w:shd w:val="clear" w:color="auto" w:fill="auto"/>
            <w:noWrap/>
            <w:vAlign w:val="center"/>
          </w:tcPr>
          <w:p w:rsidR="00AF3CA8" w:rsidRPr="00FF13BE" w:rsidRDefault="00AF3CA8" w:rsidP="00FF13BE">
            <w:pPr>
              <w:rPr>
                <w:lang w:val="en-NZ" w:eastAsia="en-NZ"/>
              </w:rPr>
            </w:pPr>
            <w:r w:rsidRPr="00FF13BE">
              <w:rPr>
                <w:color w:val="000000"/>
              </w:rPr>
              <w:t>CCCACTAACATCAAATGGGG</w:t>
            </w:r>
          </w:p>
        </w:tc>
        <w:tc>
          <w:tcPr>
            <w:tcW w:w="1210" w:type="dxa"/>
            <w:gridSpan w:val="2"/>
            <w:shd w:val="clear" w:color="auto" w:fill="auto"/>
            <w:vAlign w:val="center"/>
          </w:tcPr>
          <w:p w:rsidR="00AF3CA8" w:rsidRPr="00FF13BE" w:rsidRDefault="00FF13BE" w:rsidP="00FF13BE">
            <w:pPr>
              <w:rPr>
                <w:lang w:val="en-NZ" w:eastAsia="en-NZ"/>
              </w:rPr>
            </w:pPr>
            <w:r>
              <w:rPr>
                <w:color w:val="000000"/>
              </w:rPr>
              <w:t>275</w:t>
            </w:r>
          </w:p>
        </w:tc>
        <w:tc>
          <w:tcPr>
            <w:tcW w:w="1309" w:type="dxa"/>
            <w:shd w:val="clear" w:color="auto" w:fill="auto"/>
            <w:noWrap/>
            <w:vAlign w:val="center"/>
          </w:tcPr>
          <w:p w:rsidR="00AF3CA8" w:rsidRPr="00FF13BE" w:rsidRDefault="00FF13BE" w:rsidP="00FF13BE">
            <w:pPr>
              <w:rPr>
                <w:lang w:val="en-NZ" w:eastAsia="en-NZ"/>
              </w:rPr>
            </w:pPr>
            <w:r>
              <w:rPr>
                <w:lang w:val="en-NZ" w:eastAsia="en-NZ"/>
              </w:rPr>
              <w:fldChar w:fldCharType="begin"/>
            </w:r>
            <w:r>
              <w:rPr>
                <w:lang w:val="en-NZ" w:eastAsia="en-NZ"/>
              </w:rPr>
              <w:instrText xml:space="preserve"> ADDIN EN.CITE &lt;EndNote&gt;&lt;Cite&gt;&lt;Author&gt;Silva&lt;/Author&gt;&lt;Year&gt;2009&lt;/Year&gt;&lt;RecNum&gt;2041&lt;/RecNum&gt;&lt;DisplayText&gt;[6]&lt;/DisplayText&gt;&lt;record&gt;&lt;rec-number&gt;2041&lt;/rec-number&gt;&lt;foreign-keys&gt;&lt;key app="EN" db-id="arstf99z4x0vw2ert22pfffnrv2d922zs29p"&gt;2041&lt;/key&gt;&lt;/foreign-keys&gt;&lt;ref-type name="Journal Article"&gt;17&lt;/ref-type&gt;&lt;contributors&gt;&lt;authors&gt;&lt;author&gt;Silva, J.&lt;/author&gt;&lt;author&gt;Nichols, J.&lt;/author&gt;&lt;author&gt;Theunissen, T. W.&lt;/author&gt;&lt;author&gt;Guo, G.&lt;/author&gt;&lt;author&gt;van Oosten, A. L.&lt;/author&gt;&lt;author&gt;Barrandon, O.&lt;/author&gt;&lt;author&gt;Wray, J.&lt;/author&gt;&lt;author&gt;Yamanaka, S.&lt;/author&gt;&lt;author&gt;Chambers, I.&lt;/author&gt;&lt;author&gt;Smith, A.&lt;/author&gt;&lt;/authors&gt;&lt;/contributors&gt;&lt;auth-address&gt;Wellcome Trust Centre for Stem Cell Research, University of Cambridge, Cambridge CB2 1QR, UK. jcs64@cscr.cam.ac.uk&lt;/auth-address&gt;&lt;titles&gt;&lt;title&gt;Nanog is the gateway to the pluripotent ground state&lt;/title&gt;&lt;secondary-title&gt;Cell&lt;/secondary-title&gt;&lt;alt-title&gt;Cell&lt;/alt-title&gt;&lt;/titles&gt;&lt;periodical&gt;&lt;full-title&gt;Cell&lt;/full-title&gt;&lt;/periodical&gt;&lt;alt-periodical&gt;&lt;full-title&gt;Cell&lt;/full-title&gt;&lt;/alt-periodical&gt;&lt;pages&gt;722-37&lt;/pages&gt;&lt;volume&gt;138&lt;/volume&gt;&lt;number&gt;4&lt;/number&gt;&lt;keywords&gt;&lt;keyword&gt;Adult Stem Cells/cytology&lt;/keyword&gt;&lt;keyword&gt;Animals&lt;/keyword&gt;&lt;keyword&gt;Blastocyst/cytology&lt;/keyword&gt;&lt;keyword&gt;Cell Dedifferentiation&lt;/keyword&gt;&lt;keyword&gt;Embryonic Stem Cells/cytology&lt;/keyword&gt;&lt;keyword&gt;Female&lt;/keyword&gt;&lt;keyword&gt;Germ Layers/cytology&lt;/keyword&gt;&lt;keyword&gt;Homeodomain Proteins/genetics/*metabolism&lt;/keyword&gt;&lt;keyword&gt;Mice&lt;/keyword&gt;&lt;keyword&gt;*Nuclear Reprogramming&lt;/keyword&gt;&lt;keyword&gt;X Chromosome/metabolism&lt;/keyword&gt;&lt;/keywords&gt;&lt;dates&gt;&lt;year&gt;2009&lt;/year&gt;&lt;pub-dates&gt;&lt;date&gt;Aug 21&lt;/date&gt;&lt;/pub-dates&gt;&lt;/dates&gt;&lt;isbn&gt;1097-4172 (Electronic)&amp;#xD;1097-4172 (Linking)&lt;/isbn&gt;&lt;accession-num&gt;19703398&lt;/accession-num&gt;&lt;urls&gt;&lt;related-urls&gt;&lt;url&gt;http://www.ncbi.nlm.nih.gov/entrez/query.fcgi?cmd=Retrieve&amp;amp;db=PubMed&amp;amp;dopt=Citation&amp;amp;list_uids=19703398 &lt;/url&gt;&lt;/related-urls&gt;&lt;/urls&gt;&lt;language&gt;eng&lt;/language&gt;&lt;/record&gt;&lt;/Cite&gt;&lt;/EndNote&gt;</w:instrText>
            </w:r>
            <w:r>
              <w:rPr>
                <w:lang w:val="en-NZ" w:eastAsia="en-NZ"/>
              </w:rPr>
              <w:fldChar w:fldCharType="separate"/>
            </w:r>
            <w:r>
              <w:rPr>
                <w:noProof/>
                <w:lang w:val="en-NZ" w:eastAsia="en-NZ"/>
              </w:rPr>
              <w:t>[</w:t>
            </w:r>
            <w:hyperlink w:anchor="_ENREF_6" w:tooltip="Silva, 2009 #2041" w:history="1">
              <w:r>
                <w:rPr>
                  <w:noProof/>
                  <w:lang w:val="en-NZ" w:eastAsia="en-NZ"/>
                </w:rPr>
                <w:t>6</w:t>
              </w:r>
            </w:hyperlink>
            <w:r>
              <w:rPr>
                <w:noProof/>
                <w:lang w:val="en-NZ" w:eastAsia="en-NZ"/>
              </w:rPr>
              <w:t>]</w:t>
            </w:r>
            <w:r>
              <w:rPr>
                <w:lang w:val="en-NZ" w:eastAsia="en-NZ"/>
              </w:rPr>
              <w:fldChar w:fldCharType="end"/>
            </w: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lang w:val="en-NZ" w:eastAsia="en-NZ"/>
              </w:rPr>
            </w:pP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R:</w:t>
            </w:r>
          </w:p>
        </w:tc>
        <w:tc>
          <w:tcPr>
            <w:tcW w:w="5245" w:type="dxa"/>
            <w:shd w:val="clear" w:color="auto" w:fill="auto"/>
            <w:noWrap/>
            <w:vAlign w:val="center"/>
          </w:tcPr>
          <w:p w:rsidR="00AF3CA8" w:rsidRPr="00FF13BE" w:rsidRDefault="00AF3CA8" w:rsidP="00FF13BE">
            <w:pPr>
              <w:rPr>
                <w:lang w:val="en-NZ" w:eastAsia="en-NZ"/>
              </w:rPr>
            </w:pPr>
            <w:r w:rsidRPr="00FF13BE">
              <w:rPr>
                <w:color w:val="000000"/>
              </w:rPr>
              <w:t>CCTTCCACAATGCCAAAGTT</w:t>
            </w:r>
          </w:p>
        </w:tc>
        <w:tc>
          <w:tcPr>
            <w:tcW w:w="1210" w:type="dxa"/>
            <w:gridSpan w:val="2"/>
            <w:shd w:val="clear" w:color="auto" w:fill="auto"/>
            <w:vAlign w:val="center"/>
          </w:tcPr>
          <w:p w:rsidR="00AF3CA8" w:rsidRPr="00FF13BE" w:rsidRDefault="00AF3CA8" w:rsidP="00FF13BE">
            <w:pPr>
              <w:rPr>
                <w:lang w:val="en-NZ" w:eastAsia="en-NZ"/>
              </w:rPr>
            </w:pPr>
          </w:p>
        </w:tc>
        <w:tc>
          <w:tcPr>
            <w:tcW w:w="1309" w:type="dxa"/>
            <w:shd w:val="clear" w:color="auto" w:fill="auto"/>
            <w:noWrap/>
            <w:vAlign w:val="center"/>
          </w:tcPr>
          <w:p w:rsidR="00AF3CA8" w:rsidRPr="00FF13BE" w:rsidRDefault="00AF3CA8" w:rsidP="00FF13BE">
            <w:pPr>
              <w:rPr>
                <w:lang w:val="en-NZ" w:eastAsia="en-NZ"/>
              </w:rPr>
            </w:pPr>
          </w:p>
        </w:tc>
      </w:tr>
      <w:tr w:rsidR="00AF3CA8" w:rsidRPr="00FF13BE" w:rsidTr="00AF3CA8">
        <w:trPr>
          <w:trHeight w:val="410"/>
          <w:jc w:val="center"/>
        </w:trPr>
        <w:tc>
          <w:tcPr>
            <w:tcW w:w="1249" w:type="dxa"/>
            <w:shd w:val="clear" w:color="auto" w:fill="auto"/>
            <w:noWrap/>
            <w:vAlign w:val="center"/>
          </w:tcPr>
          <w:p w:rsidR="00AF3CA8" w:rsidRPr="00FF13BE" w:rsidRDefault="00AF3CA8" w:rsidP="00FF13BE">
            <w:pPr>
              <w:rPr>
                <w:i/>
                <w:lang w:val="en-NZ" w:eastAsia="en-NZ"/>
              </w:rPr>
            </w:pPr>
            <w:r w:rsidRPr="00FF13BE">
              <w:rPr>
                <w:i/>
                <w:lang w:val="en-NZ" w:eastAsia="en-NZ"/>
              </w:rPr>
              <w:t>TDH</w:t>
            </w:r>
          </w:p>
        </w:tc>
        <w:tc>
          <w:tcPr>
            <w:tcW w:w="563" w:type="dxa"/>
            <w:shd w:val="clear" w:color="auto" w:fill="auto"/>
            <w:noWrap/>
            <w:vAlign w:val="center"/>
          </w:tcPr>
          <w:p w:rsidR="00AF3CA8" w:rsidRPr="00FF13BE" w:rsidRDefault="00AF3CA8" w:rsidP="00FF13BE">
            <w:pPr>
              <w:rPr>
                <w:lang w:val="en-NZ" w:eastAsia="en-NZ"/>
              </w:rPr>
            </w:pPr>
            <w:r w:rsidRPr="00FF13BE">
              <w:rPr>
                <w:lang w:val="en-NZ" w:eastAsia="en-NZ"/>
              </w:rPr>
              <w:t>F:</w:t>
            </w:r>
          </w:p>
        </w:tc>
        <w:tc>
          <w:tcPr>
            <w:tcW w:w="5245" w:type="dxa"/>
            <w:shd w:val="clear" w:color="auto" w:fill="auto"/>
            <w:noWrap/>
            <w:vAlign w:val="center"/>
          </w:tcPr>
          <w:p w:rsidR="00AF3CA8" w:rsidRPr="00FF13BE" w:rsidRDefault="00AF3CA8" w:rsidP="00FF13BE">
            <w:pPr>
              <w:rPr>
                <w:lang w:val="en-NZ" w:eastAsia="en-NZ"/>
              </w:rPr>
            </w:pPr>
            <w:r w:rsidRPr="00FF13BE">
              <w:rPr>
                <w:color w:val="000000"/>
              </w:rPr>
              <w:t>CGATTGGAGCCTTTGGACCT</w:t>
            </w:r>
          </w:p>
        </w:tc>
        <w:tc>
          <w:tcPr>
            <w:tcW w:w="1210" w:type="dxa"/>
            <w:gridSpan w:val="2"/>
            <w:shd w:val="clear" w:color="auto" w:fill="auto"/>
            <w:vAlign w:val="center"/>
          </w:tcPr>
          <w:p w:rsidR="00AF3CA8" w:rsidRPr="00FF13BE" w:rsidRDefault="00AF3CA8" w:rsidP="00FF13BE">
            <w:pPr>
              <w:rPr>
                <w:lang w:val="en-NZ" w:eastAsia="en-NZ"/>
              </w:rPr>
            </w:pPr>
            <w:r w:rsidRPr="00FF13BE">
              <w:rPr>
                <w:color w:val="000000"/>
              </w:rPr>
              <w:t>213</w:t>
            </w:r>
          </w:p>
        </w:tc>
        <w:tc>
          <w:tcPr>
            <w:tcW w:w="1309" w:type="dxa"/>
            <w:shd w:val="clear" w:color="auto" w:fill="auto"/>
            <w:noWrap/>
            <w:vAlign w:val="center"/>
          </w:tcPr>
          <w:p w:rsidR="00AF3CA8" w:rsidRPr="00FF13BE" w:rsidRDefault="00AF3CA8" w:rsidP="00FF13BE">
            <w:pPr>
              <w:rPr>
                <w:lang w:val="en-NZ" w:eastAsia="en-NZ"/>
              </w:rPr>
            </w:pPr>
            <w:r w:rsidRPr="00FF13BE">
              <w:rPr>
                <w:lang w:val="en-NZ" w:eastAsia="en-NZ"/>
              </w:rPr>
              <w:t>This paper</w:t>
            </w:r>
          </w:p>
        </w:tc>
      </w:tr>
      <w:tr w:rsidR="00AF3CA8" w:rsidRPr="00FF13BE" w:rsidTr="00AF3CA8">
        <w:trPr>
          <w:trHeight w:val="410"/>
          <w:jc w:val="center"/>
        </w:trPr>
        <w:tc>
          <w:tcPr>
            <w:tcW w:w="1249" w:type="dxa"/>
            <w:tcBorders>
              <w:bottom w:val="single" w:sz="4" w:space="0" w:color="auto"/>
            </w:tcBorders>
            <w:shd w:val="clear" w:color="auto" w:fill="auto"/>
            <w:noWrap/>
            <w:vAlign w:val="center"/>
          </w:tcPr>
          <w:p w:rsidR="00AF3CA8" w:rsidRPr="00FF13BE" w:rsidRDefault="00AF3CA8" w:rsidP="00FF13BE">
            <w:pPr>
              <w:rPr>
                <w:lang w:val="en-NZ" w:eastAsia="en-NZ"/>
              </w:rPr>
            </w:pPr>
          </w:p>
        </w:tc>
        <w:tc>
          <w:tcPr>
            <w:tcW w:w="563" w:type="dxa"/>
            <w:tcBorders>
              <w:bottom w:val="single" w:sz="4" w:space="0" w:color="auto"/>
            </w:tcBorders>
            <w:shd w:val="clear" w:color="auto" w:fill="auto"/>
            <w:noWrap/>
            <w:vAlign w:val="center"/>
          </w:tcPr>
          <w:p w:rsidR="00AF3CA8" w:rsidRPr="00FF13BE" w:rsidRDefault="00AF3CA8" w:rsidP="00FF13BE">
            <w:pPr>
              <w:rPr>
                <w:lang w:val="en-NZ" w:eastAsia="en-NZ"/>
              </w:rPr>
            </w:pPr>
            <w:r w:rsidRPr="00FF13BE">
              <w:rPr>
                <w:lang w:val="en-NZ" w:eastAsia="en-NZ"/>
              </w:rPr>
              <w:t>R:</w:t>
            </w:r>
          </w:p>
        </w:tc>
        <w:tc>
          <w:tcPr>
            <w:tcW w:w="5245" w:type="dxa"/>
            <w:tcBorders>
              <w:bottom w:val="single" w:sz="4" w:space="0" w:color="auto"/>
            </w:tcBorders>
            <w:shd w:val="clear" w:color="auto" w:fill="auto"/>
            <w:noWrap/>
            <w:vAlign w:val="center"/>
          </w:tcPr>
          <w:p w:rsidR="00AF3CA8" w:rsidRPr="00FF13BE" w:rsidRDefault="00AF3CA8" w:rsidP="00FF13BE">
            <w:pPr>
              <w:rPr>
                <w:lang w:val="en-NZ" w:eastAsia="en-NZ"/>
              </w:rPr>
            </w:pPr>
            <w:r w:rsidRPr="00FF13BE">
              <w:rPr>
                <w:color w:val="000000"/>
              </w:rPr>
              <w:t>CGGCGTAGTCAGTTGTTCCT</w:t>
            </w:r>
          </w:p>
        </w:tc>
        <w:tc>
          <w:tcPr>
            <w:tcW w:w="1210" w:type="dxa"/>
            <w:gridSpan w:val="2"/>
            <w:tcBorders>
              <w:bottom w:val="single" w:sz="4" w:space="0" w:color="auto"/>
            </w:tcBorders>
            <w:shd w:val="clear" w:color="auto" w:fill="auto"/>
            <w:vAlign w:val="center"/>
          </w:tcPr>
          <w:p w:rsidR="00AF3CA8" w:rsidRPr="00FF13BE" w:rsidRDefault="00AF3CA8" w:rsidP="00FF13BE">
            <w:pPr>
              <w:rPr>
                <w:lang w:val="en-NZ" w:eastAsia="en-NZ"/>
              </w:rPr>
            </w:pPr>
          </w:p>
        </w:tc>
        <w:tc>
          <w:tcPr>
            <w:tcW w:w="1309" w:type="dxa"/>
            <w:tcBorders>
              <w:bottom w:val="single" w:sz="4" w:space="0" w:color="auto"/>
            </w:tcBorders>
            <w:shd w:val="clear" w:color="auto" w:fill="auto"/>
            <w:noWrap/>
            <w:vAlign w:val="center"/>
          </w:tcPr>
          <w:p w:rsidR="00AF3CA8" w:rsidRPr="00FF13BE" w:rsidRDefault="00AF3CA8" w:rsidP="00FF13BE">
            <w:pPr>
              <w:rPr>
                <w:lang w:val="en-NZ" w:eastAsia="en-NZ"/>
              </w:rPr>
            </w:pPr>
          </w:p>
        </w:tc>
      </w:tr>
    </w:tbl>
    <w:p w:rsidR="00AF3CA8" w:rsidRPr="00FF13BE" w:rsidRDefault="00AF3CA8" w:rsidP="00FF13BE">
      <w:pPr>
        <w:rPr>
          <w:lang w:val="en-NZ" w:eastAsia="en-NZ"/>
        </w:rPr>
      </w:pPr>
      <w:r w:rsidRPr="00FF13BE">
        <w:t>Annealing temperatures were at 60</w:t>
      </w:r>
      <w:r w:rsidRPr="00FF13BE">
        <w:rPr>
          <w:lang w:val="en-NZ" w:eastAsia="en-NZ"/>
        </w:rPr>
        <w:t xml:space="preserve">°C for all primers. </w:t>
      </w:r>
    </w:p>
    <w:p w:rsidR="00AF3CA8" w:rsidRPr="00FF13BE" w:rsidRDefault="00AF3CA8" w:rsidP="00FF13BE">
      <w:pPr>
        <w:pStyle w:val="NormalWeb"/>
        <w:spacing w:before="0" w:beforeAutospacing="0" w:after="0" w:afterAutospacing="0"/>
        <w:rPr>
          <w:b/>
          <w:bCs/>
          <w:color w:val="000000"/>
        </w:rPr>
      </w:pPr>
    </w:p>
    <w:p w:rsidR="008236AF" w:rsidRDefault="008236AF" w:rsidP="00FF13BE">
      <w:pPr>
        <w:rPr>
          <w:b/>
          <w:bCs/>
          <w:lang w:val="en-US"/>
        </w:rPr>
      </w:pPr>
      <w:r w:rsidRPr="00FF13BE">
        <w:rPr>
          <w:b/>
          <w:bCs/>
          <w:lang w:val="en-US"/>
        </w:rPr>
        <w:t>SUPPLEMENTAL REFERENCES</w:t>
      </w:r>
    </w:p>
    <w:p w:rsidR="00CE260A" w:rsidRPr="00FF13BE" w:rsidRDefault="00CE260A" w:rsidP="00FF13BE">
      <w:pPr>
        <w:rPr>
          <w:b/>
          <w:bCs/>
          <w:lang w:val="en-US"/>
        </w:rPr>
      </w:pPr>
      <w:bookmarkStart w:id="0" w:name="_GoBack"/>
      <w:bookmarkEnd w:id="0"/>
    </w:p>
    <w:p w:rsidR="00FF13BE" w:rsidRDefault="002206BE" w:rsidP="00FF13BE">
      <w:pPr>
        <w:ind w:left="720" w:hanging="720"/>
        <w:rPr>
          <w:noProof/>
          <w:lang w:val="en-US"/>
        </w:rPr>
      </w:pPr>
      <w:r w:rsidRPr="00FF13BE">
        <w:rPr>
          <w:lang w:val="en-US"/>
        </w:rPr>
        <w:fldChar w:fldCharType="begin"/>
      </w:r>
      <w:r w:rsidRPr="00FF13BE">
        <w:rPr>
          <w:lang w:val="en-US"/>
        </w:rPr>
        <w:instrText xml:space="preserve"> ADDIN EN.REFLIST </w:instrText>
      </w:r>
      <w:r w:rsidRPr="00FF13BE">
        <w:rPr>
          <w:lang w:val="en-US"/>
        </w:rPr>
        <w:fldChar w:fldCharType="separate"/>
      </w:r>
      <w:bookmarkStart w:id="1" w:name="_ENREF_1"/>
      <w:r w:rsidR="00FF13BE">
        <w:rPr>
          <w:noProof/>
          <w:lang w:val="en-US"/>
        </w:rPr>
        <w:t>1.</w:t>
      </w:r>
      <w:r w:rsidR="00FF13BE">
        <w:rPr>
          <w:noProof/>
          <w:lang w:val="en-US"/>
        </w:rPr>
        <w:tab/>
        <w:t>Berg DK, Li C, Asher G, Wells DN, Oback B. Red deer cloned from antler stem cells and their differentiated progeny. Biol Reprod 2007; 77:384-394.</w:t>
      </w:r>
      <w:bookmarkEnd w:id="1"/>
    </w:p>
    <w:p w:rsidR="00FF13BE" w:rsidRDefault="00FF13BE" w:rsidP="00FF13BE">
      <w:pPr>
        <w:ind w:left="720" w:hanging="720"/>
        <w:rPr>
          <w:noProof/>
          <w:lang w:val="en-US"/>
        </w:rPr>
      </w:pPr>
      <w:bookmarkStart w:id="2" w:name="_ENREF_2"/>
      <w:r>
        <w:rPr>
          <w:noProof/>
          <w:lang w:val="en-US"/>
        </w:rPr>
        <w:t>2.</w:t>
      </w:r>
      <w:r>
        <w:rPr>
          <w:noProof/>
          <w:lang w:val="en-US"/>
        </w:rPr>
        <w:tab/>
        <w:t>Smith CS, Berg DK, Berg M, Pfeffer PL. Nuclear transfer-specific defects are not apparent during the second week of embryogenesis in cattle. Cell Reprogram 2010; 12:699-707.</w:t>
      </w:r>
      <w:bookmarkEnd w:id="2"/>
    </w:p>
    <w:p w:rsidR="00FF13BE" w:rsidRDefault="00FF13BE" w:rsidP="00FF13BE">
      <w:pPr>
        <w:ind w:left="720" w:hanging="720"/>
        <w:rPr>
          <w:noProof/>
          <w:lang w:val="en-US"/>
        </w:rPr>
      </w:pPr>
      <w:bookmarkStart w:id="3" w:name="_ENREF_3"/>
      <w:r>
        <w:rPr>
          <w:noProof/>
          <w:lang w:val="en-US"/>
        </w:rPr>
        <w:t>3.</w:t>
      </w:r>
      <w:r>
        <w:rPr>
          <w:noProof/>
          <w:lang w:val="en-US"/>
        </w:rPr>
        <w:tab/>
        <w:t>McLean Z, Meng F, Henderson H, Turner P, Oback B. Increased MAP kinase inhibition enhances epiblast-specific gene expression in bovine blastocysts. Biol Reprod 2014; 91:49.</w:t>
      </w:r>
      <w:bookmarkEnd w:id="3"/>
    </w:p>
    <w:p w:rsidR="00FF13BE" w:rsidRDefault="00FF13BE" w:rsidP="00FF13BE">
      <w:pPr>
        <w:ind w:left="720" w:hanging="720"/>
        <w:rPr>
          <w:noProof/>
          <w:lang w:val="en-US"/>
        </w:rPr>
      </w:pPr>
      <w:bookmarkStart w:id="4" w:name="_ENREF_4"/>
      <w:r>
        <w:rPr>
          <w:noProof/>
          <w:lang w:val="en-US"/>
        </w:rPr>
        <w:t>4.</w:t>
      </w:r>
      <w:r>
        <w:rPr>
          <w:noProof/>
          <w:lang w:val="en-US"/>
        </w:rPr>
        <w:tab/>
        <w:t>Meng F, Forrester-Gauntlett B, Turner P, Henderson H, Oback B. Signal Inhibition Reveals JAK/STAT3 Pathway as Critical for Bovine Inner Cell Mass Development. Biol Reprod 2015; 93:132.</w:t>
      </w:r>
      <w:bookmarkEnd w:id="4"/>
    </w:p>
    <w:p w:rsidR="00FF13BE" w:rsidRDefault="00FF13BE" w:rsidP="00FF13BE">
      <w:pPr>
        <w:ind w:left="720" w:hanging="720"/>
        <w:rPr>
          <w:noProof/>
          <w:lang w:val="en-US"/>
        </w:rPr>
      </w:pPr>
      <w:bookmarkStart w:id="5" w:name="_ENREF_5"/>
      <w:r>
        <w:rPr>
          <w:noProof/>
          <w:lang w:val="en-US"/>
        </w:rPr>
        <w:lastRenderedPageBreak/>
        <w:t>5.</w:t>
      </w:r>
      <w:r>
        <w:rPr>
          <w:noProof/>
          <w:lang w:val="en-US"/>
        </w:rPr>
        <w:tab/>
        <w:t>Huang B, Li T, Alonso-Gonzalez L, Gorre R, Keatley S, Green A, Turner P, Kallingappa PK, Verma V, Oback B. A Virus-Free Poly-Promoter Vector Induces Pluripotency in Quiescent Bovine Cells under Chemically Defined Conditions of Dual Kinase Inhibition. PLoS One 2011; 6:e24501.</w:t>
      </w:r>
      <w:bookmarkEnd w:id="5"/>
    </w:p>
    <w:p w:rsidR="00FF13BE" w:rsidRDefault="00FF13BE" w:rsidP="00FF13BE">
      <w:pPr>
        <w:ind w:left="720" w:hanging="720"/>
        <w:rPr>
          <w:noProof/>
          <w:lang w:val="en-US"/>
        </w:rPr>
      </w:pPr>
      <w:bookmarkStart w:id="6" w:name="_ENREF_6"/>
      <w:r>
        <w:rPr>
          <w:noProof/>
          <w:lang w:val="en-US"/>
        </w:rPr>
        <w:t>6.</w:t>
      </w:r>
      <w:r>
        <w:rPr>
          <w:noProof/>
          <w:lang w:val="en-US"/>
        </w:rPr>
        <w:tab/>
        <w:t>Silva J, Nichols J, Theunissen TW, Guo G, van Oosten AL, Barrandon O, Wray J, Yamanaka S, Chambers I, Smith A. Nanog is the gateway to the pluripotent ground state. Cell 2009; 138:722-737.</w:t>
      </w:r>
      <w:bookmarkEnd w:id="6"/>
    </w:p>
    <w:p w:rsidR="00FF13BE" w:rsidRDefault="00FF13BE" w:rsidP="00FF13BE">
      <w:pPr>
        <w:rPr>
          <w:noProof/>
          <w:lang w:val="en-US"/>
        </w:rPr>
      </w:pPr>
    </w:p>
    <w:p w:rsidR="008D7D7B" w:rsidRPr="00FF13BE" w:rsidRDefault="002206BE" w:rsidP="00FF13BE">
      <w:pPr>
        <w:rPr>
          <w:lang w:val="en-US"/>
        </w:rPr>
      </w:pPr>
      <w:r w:rsidRPr="00FF13BE">
        <w:rPr>
          <w:lang w:val="en-US"/>
        </w:rPr>
        <w:fldChar w:fldCharType="end"/>
      </w:r>
    </w:p>
    <w:sectPr w:rsidR="008D7D7B" w:rsidRPr="00FF13BE">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A8" w:rsidRDefault="00AF3CA8">
      <w:r>
        <w:separator/>
      </w:r>
    </w:p>
  </w:endnote>
  <w:endnote w:type="continuationSeparator" w:id="0">
    <w:p w:rsidR="00AF3CA8" w:rsidRDefault="00AF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A8" w:rsidRDefault="00AF3CA8">
      <w:r>
        <w:separator/>
      </w:r>
    </w:p>
  </w:footnote>
  <w:footnote w:type="continuationSeparator" w:id="0">
    <w:p w:rsidR="00AF3CA8" w:rsidRDefault="00AF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A8" w:rsidRDefault="00AF3CA8" w:rsidP="00703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CA8" w:rsidRDefault="00AF3CA8" w:rsidP="007030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A8" w:rsidRDefault="00AF3CA8" w:rsidP="00703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60A">
      <w:rPr>
        <w:rStyle w:val="PageNumber"/>
        <w:noProof/>
      </w:rPr>
      <w:t>1</w:t>
    </w:r>
    <w:r>
      <w:rPr>
        <w:rStyle w:val="PageNumber"/>
      </w:rPr>
      <w:fldChar w:fldCharType="end"/>
    </w:r>
  </w:p>
  <w:p w:rsidR="00AF3CA8" w:rsidRDefault="00AF3CA8" w:rsidP="007030A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logy Reproduc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stf99z4x0vw2ert22pfffnrv2d922zs29p&quot;&gt;Masterlibrary-Saved&lt;record-ids&gt;&lt;item&gt;1637&lt;/item&gt;&lt;item&gt;2041&lt;/item&gt;&lt;item&gt;2296&lt;/item&gt;&lt;item&gt;2340&lt;/item&gt;&lt;item&gt;2880&lt;/item&gt;&lt;item&gt;3084&lt;/item&gt;&lt;/record-ids&gt;&lt;/item&gt;&lt;/Libraries&gt;"/>
  </w:docVars>
  <w:rsids>
    <w:rsidRoot w:val="008D7D7B"/>
    <w:rsid w:val="002206BE"/>
    <w:rsid w:val="007030AC"/>
    <w:rsid w:val="008236AF"/>
    <w:rsid w:val="008A650E"/>
    <w:rsid w:val="008D6358"/>
    <w:rsid w:val="008D7D7B"/>
    <w:rsid w:val="009F1015"/>
    <w:rsid w:val="00AF3CA8"/>
    <w:rsid w:val="00CE260A"/>
    <w:rsid w:val="00D23439"/>
    <w:rsid w:val="00EC255D"/>
    <w:rsid w:val="00EC7AA4"/>
    <w:rsid w:val="00F57080"/>
    <w:rsid w:val="00FF1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1DCA"/>
  <w15:chartTrackingRefBased/>
  <w15:docId w15:val="{CA102145-CE62-4B78-845C-EA2B4D86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7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7D7B"/>
    <w:pPr>
      <w:tabs>
        <w:tab w:val="center" w:pos="4153"/>
        <w:tab w:val="right" w:pos="8306"/>
      </w:tabs>
    </w:pPr>
  </w:style>
  <w:style w:type="character" w:customStyle="1" w:styleId="HeaderChar">
    <w:name w:val="Header Char"/>
    <w:basedOn w:val="DefaultParagraphFont"/>
    <w:link w:val="Header"/>
    <w:uiPriority w:val="99"/>
    <w:rsid w:val="008D7D7B"/>
    <w:rPr>
      <w:rFonts w:ascii="Times New Roman" w:eastAsia="Times New Roman" w:hAnsi="Times New Roman" w:cs="Times New Roman"/>
      <w:sz w:val="24"/>
      <w:szCs w:val="24"/>
      <w:lang w:val="en-GB"/>
    </w:rPr>
  </w:style>
  <w:style w:type="character" w:styleId="PageNumber">
    <w:name w:val="page number"/>
    <w:basedOn w:val="DefaultParagraphFont"/>
    <w:rsid w:val="008D7D7B"/>
  </w:style>
  <w:style w:type="character" w:styleId="Hyperlink">
    <w:name w:val="Hyperlink"/>
    <w:basedOn w:val="DefaultParagraphFont"/>
    <w:uiPriority w:val="99"/>
    <w:unhideWhenUsed/>
    <w:rsid w:val="002206BE"/>
    <w:rPr>
      <w:color w:val="0563C1" w:themeColor="hyperlink"/>
      <w:u w:val="single"/>
    </w:rPr>
  </w:style>
  <w:style w:type="paragraph" w:styleId="NormalWeb">
    <w:name w:val="Normal (Web)"/>
    <w:basedOn w:val="Normal"/>
    <w:uiPriority w:val="99"/>
    <w:unhideWhenUsed/>
    <w:rsid w:val="00AF3CA8"/>
    <w:pPr>
      <w:spacing w:before="100" w:beforeAutospacing="1" w:after="100" w:afterAutospacing="1"/>
    </w:pPr>
    <w:rPr>
      <w:lang w:val="en-NZ" w:eastAsia="en-NZ"/>
    </w:rPr>
  </w:style>
  <w:style w:type="character" w:customStyle="1" w:styleId="apple-tab-span">
    <w:name w:val="apple-tab-span"/>
    <w:basedOn w:val="DefaultParagraphFont"/>
    <w:rsid w:val="00AF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848">
      <w:bodyDiv w:val="1"/>
      <w:marLeft w:val="0"/>
      <w:marRight w:val="0"/>
      <w:marTop w:val="0"/>
      <w:marBottom w:val="0"/>
      <w:divBdr>
        <w:top w:val="none" w:sz="0" w:space="0" w:color="auto"/>
        <w:left w:val="none" w:sz="0" w:space="0" w:color="auto"/>
        <w:bottom w:val="none" w:sz="0" w:space="0" w:color="auto"/>
        <w:right w:val="none" w:sz="0" w:space="0" w:color="auto"/>
      </w:divBdr>
    </w:div>
    <w:div w:id="26563953">
      <w:bodyDiv w:val="1"/>
      <w:marLeft w:val="0"/>
      <w:marRight w:val="0"/>
      <w:marTop w:val="0"/>
      <w:marBottom w:val="0"/>
      <w:divBdr>
        <w:top w:val="none" w:sz="0" w:space="0" w:color="auto"/>
        <w:left w:val="none" w:sz="0" w:space="0" w:color="auto"/>
        <w:bottom w:val="none" w:sz="0" w:space="0" w:color="auto"/>
        <w:right w:val="none" w:sz="0" w:space="0" w:color="auto"/>
      </w:divBdr>
    </w:div>
    <w:div w:id="686561375">
      <w:bodyDiv w:val="1"/>
      <w:marLeft w:val="0"/>
      <w:marRight w:val="0"/>
      <w:marTop w:val="0"/>
      <w:marBottom w:val="0"/>
      <w:divBdr>
        <w:top w:val="none" w:sz="0" w:space="0" w:color="auto"/>
        <w:left w:val="none" w:sz="0" w:space="0" w:color="auto"/>
        <w:bottom w:val="none" w:sz="0" w:space="0" w:color="auto"/>
        <w:right w:val="none" w:sz="0" w:space="0" w:color="auto"/>
      </w:divBdr>
      <w:divsChild>
        <w:div w:id="1517502149">
          <w:marLeft w:val="-3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3CE899B0</Template>
  <TotalTime>506</TotalTime>
  <Pages>2</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AgResearch Limited</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Oback, Bjorn</dc:creator>
  <cp:keywords/>
  <dc:description/>
  <cp:lastModifiedBy>Oback, Bjorn</cp:lastModifiedBy>
  <cp:revision>7</cp:revision>
  <dcterms:created xsi:type="dcterms:W3CDTF">2016-02-25T03:58:00Z</dcterms:created>
  <dcterms:modified xsi:type="dcterms:W3CDTF">2018-09-04T00:03:00Z</dcterms:modified>
</cp:coreProperties>
</file>