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F29E6" w14:textId="77777777" w:rsidR="00CF41E1" w:rsidRDefault="00CF41E1" w:rsidP="00CF41E1">
      <w:pPr>
        <w:pStyle w:val="BodyA"/>
        <w:spacing w:line="360" w:lineRule="auto"/>
        <w:jc w:val="center"/>
        <w:rPr>
          <w:rFonts w:ascii="Helvetica"/>
        </w:rPr>
      </w:pPr>
      <w:r>
        <w:rPr>
          <w:rFonts w:ascii="Helvetica"/>
          <w:b/>
          <w:bCs/>
          <w:sz w:val="32"/>
          <w:szCs w:val="32"/>
        </w:rPr>
        <w:t>Supplementary Figures</w:t>
      </w:r>
      <w:r w:rsidRPr="00551E42">
        <w:rPr>
          <w:rFonts w:ascii="Helvetica"/>
          <w:noProof/>
        </w:rPr>
        <w:drawing>
          <wp:inline distT="0" distB="0" distL="0" distR="0" wp14:anchorId="757E47BC" wp14:editId="46851601">
            <wp:extent cx="3326415" cy="7315200"/>
            <wp:effectExtent l="0" t="0" r="1270" b="0"/>
            <wp:docPr id="11" name="Picture 11" descr="Macintosh HD:Users:ajd269:Documents:ajd:2015:rapaseq:RapaSeq:set_matri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ajd269:Documents:ajd:2015:rapaseq:RapaSeq:set_matrix.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6452" cy="7315282"/>
                    </a:xfrm>
                    <a:prstGeom prst="rect">
                      <a:avLst/>
                    </a:prstGeom>
                    <a:noFill/>
                    <a:ln>
                      <a:noFill/>
                    </a:ln>
                  </pic:spPr>
                </pic:pic>
              </a:graphicData>
            </a:graphic>
          </wp:inline>
        </w:drawing>
      </w:r>
    </w:p>
    <w:p w14:paraId="52871CFE" w14:textId="77777777" w:rsidR="00CF41E1" w:rsidRPr="00586DDE" w:rsidRDefault="00CF41E1" w:rsidP="00CF41E1">
      <w:pPr>
        <w:spacing w:line="360" w:lineRule="auto"/>
        <w:contextualSpacing/>
        <w:jc w:val="both"/>
        <w:rPr>
          <w:rFonts w:ascii="Helvetica"/>
        </w:rPr>
      </w:pPr>
      <w:r>
        <w:rPr>
          <w:rFonts w:ascii="Helvetica"/>
          <w:b/>
        </w:rPr>
        <w:lastRenderedPageBreak/>
        <w:t xml:space="preserve">Figure </w:t>
      </w:r>
      <w:r w:rsidR="009A5639">
        <w:rPr>
          <w:rFonts w:ascii="Helvetica"/>
          <w:b/>
        </w:rPr>
        <w:t>S1</w:t>
      </w:r>
      <w:r>
        <w:rPr>
          <w:rFonts w:ascii="Helvetica"/>
          <w:b/>
        </w:rPr>
        <w:t xml:space="preserve">. Organ-specific molecular signatures of DR and rapamycin feeding. </w:t>
      </w:r>
      <w:r>
        <w:rPr>
          <w:rFonts w:ascii="Helvetica"/>
        </w:rPr>
        <w:t xml:space="preserve">Effects of the diet-induced and drug-induced longevity conditions on differential expression (FDR </w:t>
      </w:r>
      <w:r>
        <w:rPr>
          <w:rFonts w:ascii="Helvetica"/>
        </w:rPr>
        <w:t>≤</w:t>
      </w:r>
      <w:r>
        <w:rPr>
          <w:rFonts w:ascii="Helvetica"/>
        </w:rPr>
        <w:t xml:space="preserve"> 0.01) of individual genes was determined within each organ. Labels at the bottom of the matrix give the tissue, experimental condition and sign of expression change that define each gene set. The bar chart at the top of the matrix gives the size of each gene set. A dot is shown in rows of the matrix for gene sets which do not intersect other sets. Connected dots are shown to indicate intersecting gene sets. The bar chart at the right of the matrix gives the size of each intersecting set. The figure shows that that DR and rapamycin often have complementary effects within the same tissue. Whole-body samples do not fully account for organ-specific transcriptional variation, since not all sets overlap include genes differentially expressed in whole body samples. See Figure S4 for complementary plot showing the same data set ordered by degree of overlap between gene sets, showing that no one gene is differentially expressed in all tissues.</w:t>
      </w:r>
    </w:p>
    <w:p w14:paraId="24701E35" w14:textId="564B6888" w:rsidR="005876C3" w:rsidRDefault="005876C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Arial Unicode MS" w:cs="Arial Unicode MS"/>
          <w:b/>
          <w:bCs/>
          <w:color w:val="000000"/>
          <w:u w:color="000000"/>
        </w:rPr>
      </w:pPr>
      <w:r>
        <w:rPr>
          <w:rFonts w:ascii="Helvetica"/>
          <w:b/>
          <w:bCs/>
        </w:rPr>
        <w:br w:type="page"/>
      </w:r>
    </w:p>
    <w:p w14:paraId="25F5FBC1" w14:textId="77777777" w:rsidR="00CF41E1" w:rsidRDefault="00CF41E1" w:rsidP="00CF41E1">
      <w:pPr>
        <w:pStyle w:val="BodyB"/>
        <w:spacing w:line="360" w:lineRule="auto"/>
        <w:jc w:val="both"/>
        <w:rPr>
          <w:rFonts w:ascii="Helvetica"/>
          <w:b/>
          <w:bCs/>
        </w:rPr>
      </w:pPr>
    </w:p>
    <w:p w14:paraId="7C439A3D" w14:textId="77777777" w:rsidR="00CF41E1" w:rsidRDefault="00CF41E1" w:rsidP="00CF41E1">
      <w:pPr>
        <w:rPr>
          <w:rFonts w:ascii="Helvetica"/>
        </w:rPr>
      </w:pPr>
      <w:r>
        <w:rPr>
          <w:rFonts w:ascii="Helvetica"/>
          <w:noProof/>
        </w:rPr>
        <w:drawing>
          <wp:inline distT="0" distB="0" distL="0" distR="0" wp14:anchorId="07FD08F6" wp14:editId="114D67D6">
            <wp:extent cx="5746115" cy="2223135"/>
            <wp:effectExtent l="0" t="0" r="0" b="12065"/>
            <wp:docPr id="15" name="Picture 15" descr="Macintosh HD:Users:dob:Dropbox:Adam_Matt_shared:rapamycin_RNAseq:manuscript:revision:figures&amp;tables:figure 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b:Dropbox:Adam_Matt_shared:rapamycin_RNAseq:manuscript:revision:figures&amp;tables:figure s4.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2223135"/>
                    </a:xfrm>
                    <a:prstGeom prst="rect">
                      <a:avLst/>
                    </a:prstGeom>
                    <a:noFill/>
                    <a:ln>
                      <a:noFill/>
                    </a:ln>
                  </pic:spPr>
                </pic:pic>
              </a:graphicData>
            </a:graphic>
          </wp:inline>
        </w:drawing>
      </w:r>
    </w:p>
    <w:p w14:paraId="4880FED6" w14:textId="18116549" w:rsidR="00CF41E1" w:rsidRPr="00586DDE" w:rsidRDefault="00CA456D" w:rsidP="00CF41E1">
      <w:pPr>
        <w:spacing w:line="360" w:lineRule="auto"/>
        <w:contextualSpacing/>
        <w:jc w:val="both"/>
        <w:rPr>
          <w:rFonts w:ascii="Helvetica"/>
        </w:rPr>
      </w:pPr>
      <w:r>
        <w:rPr>
          <w:rFonts w:ascii="Helvetica"/>
          <w:b/>
        </w:rPr>
        <w:t>Figure S2</w:t>
      </w:r>
      <w:r w:rsidR="00CF41E1">
        <w:rPr>
          <w:rFonts w:ascii="Helvetica"/>
          <w:b/>
        </w:rPr>
        <w:t xml:space="preserve">. Sets of differentially expressed genes and their intersections across tissues. </w:t>
      </w:r>
      <w:r w:rsidR="00CF41E1">
        <w:rPr>
          <w:rFonts w:ascii="Helvetica"/>
        </w:rPr>
        <w:t xml:space="preserve">Effects of the diet-induced and drug-induced longevity conditions on differential expression (FDR </w:t>
      </w:r>
      <w:r w:rsidR="00CF41E1">
        <w:rPr>
          <w:rFonts w:ascii="Helvetica"/>
        </w:rPr>
        <w:t>≤</w:t>
      </w:r>
      <w:r w:rsidR="00CF41E1">
        <w:rPr>
          <w:rFonts w:ascii="Helvetica"/>
        </w:rPr>
        <w:t xml:space="preserve"> 0.01) of individual genes was determined within each organ. Labels to the left of the matrix give the tissue, experimental condition and sign of expression change that define the gene set. The bar chart at the left of the figure gives the total number of genes that were differentially expressed in gene set. Columns of the matrix show a point for a given set of genes that share differential expression in one tissue, diet and showing a shared sign of expression change. Rows of the matrix show connected points for sets of genes that show intersecting differential expression across &gt;1 gene set. Sets of &lt;5 genes are excluded. The bar chart at the top of the matrix gives the size of the intersection between sets, or the size of the set for non-overlapping genes. The figure shows that DR and rapamycin often have complementary effects within the same tissue. Whole-body samples do not fully account for organ-specific transcriptional variation, since not all sets overlap include genes differentially expressed in whole body samples. See Figure 5 for complementary figure showing the same data set ordered by gene set size.</w:t>
      </w:r>
    </w:p>
    <w:p w14:paraId="17BD2825" w14:textId="77777777" w:rsidR="00CF41E1" w:rsidRDefault="00CF41E1" w:rsidP="00CF41E1">
      <w:pPr>
        <w:pStyle w:val="BodyB"/>
        <w:spacing w:line="360" w:lineRule="auto"/>
        <w:jc w:val="both"/>
        <w:rPr>
          <w:rFonts w:ascii="Helvetica"/>
          <w:b/>
          <w:bCs/>
        </w:rPr>
      </w:pPr>
    </w:p>
    <w:p w14:paraId="2DDD59BC" w14:textId="77777777" w:rsidR="00CF41E1" w:rsidRDefault="00CF41E1" w:rsidP="00CF41E1">
      <w:pPr>
        <w:rPr>
          <w:rFonts w:ascii="Helvetica" w:eastAsia="Helvetica" w:hAnsi="Helvetica" w:cs="Helvetica"/>
          <w:color w:val="000000"/>
          <w:u w:color="000000"/>
        </w:rPr>
      </w:pPr>
      <w:r>
        <w:rPr>
          <w:rFonts w:ascii="Helvetica" w:eastAsia="Helvetica" w:hAnsi="Helvetica" w:cs="Helvetica"/>
        </w:rPr>
        <w:br w:type="page"/>
      </w:r>
    </w:p>
    <w:p w14:paraId="1FC85C56" w14:textId="77777777" w:rsidR="00CF41E1" w:rsidRDefault="00CF41E1" w:rsidP="00CF41E1">
      <w:pPr>
        <w:pStyle w:val="BodyB"/>
        <w:spacing w:line="360" w:lineRule="auto"/>
        <w:jc w:val="both"/>
        <w:rPr>
          <w:rFonts w:ascii="Helvetica" w:eastAsia="Helvetica" w:hAnsi="Helvetica" w:cs="Helvetica"/>
        </w:rPr>
      </w:pPr>
      <w:r>
        <w:rPr>
          <w:rFonts w:ascii="Helvetica" w:eastAsia="Helvetica" w:hAnsi="Helvetica" w:cs="Helvetica"/>
          <w:noProof/>
        </w:rPr>
        <w:drawing>
          <wp:inline distT="0" distB="0" distL="0" distR="0" wp14:anchorId="007639CC" wp14:editId="5293E647">
            <wp:extent cx="5755640" cy="6314440"/>
            <wp:effectExtent l="0" t="0" r="10160" b="10160"/>
            <wp:docPr id="14" name="Picture 14" descr="Macintosh HD:Users:dob:Dropbox:Adam_Matt_shared:rapamycin_RNAseq:manuscript:revision:figures&amp;tables:crap:eigengene analys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ob:Dropbox:Adam_Matt_shared:rapamycin_RNAseq:manuscript:revision:figures&amp;tables:crap:eigengene analyse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6314440"/>
                    </a:xfrm>
                    <a:prstGeom prst="rect">
                      <a:avLst/>
                    </a:prstGeom>
                    <a:noFill/>
                    <a:ln>
                      <a:noFill/>
                    </a:ln>
                  </pic:spPr>
                </pic:pic>
              </a:graphicData>
            </a:graphic>
          </wp:inline>
        </w:drawing>
      </w:r>
    </w:p>
    <w:p w14:paraId="648B1D51" w14:textId="308142B2" w:rsidR="00CF41E1" w:rsidRPr="00AA1587" w:rsidRDefault="00C60687" w:rsidP="00CF41E1">
      <w:pPr>
        <w:pStyle w:val="BodyB"/>
        <w:spacing w:line="360" w:lineRule="auto"/>
        <w:jc w:val="both"/>
        <w:rPr>
          <w:rFonts w:ascii="Helvetica" w:eastAsia="Helvetica" w:hAnsi="Helvetica" w:cs="Helvetica"/>
          <w:b/>
        </w:rPr>
      </w:pPr>
      <w:r>
        <w:rPr>
          <w:rFonts w:ascii="Helvetica"/>
          <w:b/>
          <w:bCs/>
        </w:rPr>
        <w:t>Figure S3</w:t>
      </w:r>
      <w:r w:rsidR="00CF41E1">
        <w:rPr>
          <w:rFonts w:ascii="Helvetica"/>
          <w:b/>
          <w:bCs/>
        </w:rPr>
        <w:t>. Identification of DR/TOR-responsive transcriptional modules by Eigengene analysis</w:t>
      </w:r>
      <w:r w:rsidR="00CF41E1">
        <w:rPr>
          <w:rFonts w:ascii="Helvetica"/>
        </w:rPr>
        <w:t xml:space="preserve">. </w:t>
      </w:r>
      <w:r w:rsidR="00CF41E1">
        <w:rPr>
          <w:rFonts w:ascii="Helvetica"/>
          <w:b/>
          <w:bCs/>
        </w:rPr>
        <w:t xml:space="preserve">(a) </w:t>
      </w:r>
      <w:r w:rsidR="00CF41E1">
        <w:rPr>
          <w:rFonts w:ascii="Helvetica"/>
        </w:rPr>
        <w:t xml:space="preserve">Adjacency (correlation) between module Eigengenes identifies modules 11, 4 and 14 as showing the strongest changes in correlations to the rest of the network. Panels i-iii show module-module correlations within diets (i, DR (1SY); ii, EAA; iii, EAA+rapamycin). Panels iv-vi show changes in module-module correlations between treatments (iv, DR (1SY); v, EAA; vi, EAA+rapamycin). White colouration indicates reduced preservation of module-module correlations between diets. Rows and columns of all plots are ordered by the sum strength of perturbation across the three conditions. </w:t>
      </w:r>
      <w:r w:rsidR="00CF41E1">
        <w:rPr>
          <w:rFonts w:ascii="Helvetica"/>
          <w:b/>
          <w:bCs/>
        </w:rPr>
        <w:t xml:space="preserve">(b) </w:t>
      </w:r>
      <w:r w:rsidR="00CF41E1">
        <w:rPr>
          <w:rFonts w:ascii="Helvetica"/>
        </w:rPr>
        <w:t xml:space="preserve">Clustering of modules by Eigengenes changes across diets. Modules are hierarchically clustered by Eigengenes within each diet, and nearest neighbours are identified when pairs are clearly apparent (blue boxes). Some of these pairings are not robust to dietary changes (red lines), including modules 11 and 4. Module 14 does not have a near neighbour on any diet, and clusters most closely with different modules on each diet. Thus the structure of the transcriptional network, summarised by Eigengenes, changes according to diet, particularly in terms of the relationships of modules 11, 4, 14 to the rest of the network. </w:t>
      </w:r>
      <w:r w:rsidR="00CF41E1">
        <w:rPr>
          <w:rFonts w:ascii="Helvetica"/>
          <w:b/>
        </w:rPr>
        <w:t xml:space="preserve">(c) </w:t>
      </w:r>
      <w:r w:rsidR="00CF41E1" w:rsidRPr="00482BE4">
        <w:rPr>
          <w:rFonts w:ascii="Helvetica"/>
          <w:iCs/>
        </w:rPr>
        <w:t xml:space="preserve">Structure of </w:t>
      </w:r>
      <w:r w:rsidR="00CF41E1">
        <w:rPr>
          <w:rFonts w:ascii="Helvetica"/>
        </w:rPr>
        <w:t>EAA/TOR-dependent changes in the transcriptional network. Additive Bayesian Network (ABN) analysis was used to find structure in the representative expression values (Eigengenes) for the full set of transcriptional modules. Eigengenes are defined as the first principal component of expression values for a module. These explained ~80% of total transcriptomic variance across the organ system. This analysis indicates that perturbations by EAAs/TOR of the organ system's transcriptional architecture most strongly affects coregulation of modules 3, 4, 11 and 14. Changes in the relationship of module 11 to the rest of the network were sufficiently strong that it could not be related to expression of other modules.</w:t>
      </w:r>
    </w:p>
    <w:p w14:paraId="7EEE4101" w14:textId="4C3CCD6B" w:rsidR="00CF41E1" w:rsidRPr="0097483D" w:rsidRDefault="00CF41E1" w:rsidP="00CF41E1">
      <w:pPr>
        <w:rPr>
          <w:rFonts w:ascii="Helvetica" w:eastAsia="Helvetica" w:hAnsi="Helvetica" w:cs="Helvetica"/>
          <w:color w:val="000000"/>
          <w:u w:color="000000"/>
        </w:rPr>
      </w:pPr>
      <w:r>
        <w:rPr>
          <w:rFonts w:ascii="Helvetica" w:eastAsia="Helvetica" w:hAnsi="Helvetica" w:cs="Helvetica"/>
        </w:rPr>
        <w:br w:type="page"/>
      </w:r>
    </w:p>
    <w:p w14:paraId="1540ACF1" w14:textId="77777777" w:rsidR="00CF41E1" w:rsidRDefault="00CF41E1" w:rsidP="00CF41E1">
      <w:pPr>
        <w:pStyle w:val="BodyB"/>
        <w:spacing w:line="360" w:lineRule="auto"/>
        <w:jc w:val="both"/>
        <w:rPr>
          <w:rFonts w:ascii="Helvetica"/>
        </w:rPr>
      </w:pPr>
    </w:p>
    <w:p w14:paraId="6D374A7A" w14:textId="77777777" w:rsidR="00CF41E1" w:rsidRDefault="00CF41E1" w:rsidP="00CF41E1">
      <w:pPr>
        <w:rPr>
          <w:rFonts w:ascii="Helvetica"/>
        </w:rPr>
      </w:pPr>
      <w:r>
        <w:rPr>
          <w:rFonts w:ascii="Helvetica"/>
          <w:noProof/>
        </w:rPr>
        <w:drawing>
          <wp:inline distT="0" distB="0" distL="0" distR="0" wp14:anchorId="246735CC" wp14:editId="2687896F">
            <wp:extent cx="5747385" cy="1397635"/>
            <wp:effectExtent l="0" t="0" r="0" b="0"/>
            <wp:docPr id="9" name="Picture 9" descr="Macintosh HD:Users:dob:Dropbox:Adam_Matt_shared:rapamycin_RNAseq:manuscript:revision:figures&amp;tables:crap:gata express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b:Dropbox:Adam_Matt_shared:rapamycin_RNAseq:manuscript:revision:figures&amp;tables:crap:gata express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1397635"/>
                    </a:xfrm>
                    <a:prstGeom prst="rect">
                      <a:avLst/>
                    </a:prstGeom>
                    <a:noFill/>
                    <a:ln>
                      <a:noFill/>
                    </a:ln>
                  </pic:spPr>
                </pic:pic>
              </a:graphicData>
            </a:graphic>
          </wp:inline>
        </w:drawing>
      </w:r>
    </w:p>
    <w:p w14:paraId="7D311B9C" w14:textId="1DF984FD" w:rsidR="00CF41E1" w:rsidRDefault="00CF41E1" w:rsidP="00CF41E1">
      <w:pPr>
        <w:spacing w:line="360" w:lineRule="auto"/>
        <w:jc w:val="both"/>
        <w:rPr>
          <w:rFonts w:ascii="Helvetica" w:eastAsia="Cambria" w:hAnsi="Cambria" w:cs="Cambria"/>
          <w:color w:val="000000"/>
          <w:u w:color="000000"/>
        </w:rPr>
      </w:pPr>
      <w:r w:rsidRPr="007D0197">
        <w:rPr>
          <w:rFonts w:ascii="Helvetica"/>
          <w:b/>
        </w:rPr>
        <w:t xml:space="preserve">Figure </w:t>
      </w:r>
      <w:r w:rsidR="00A967DC">
        <w:rPr>
          <w:rFonts w:ascii="Helvetica"/>
          <w:b/>
        </w:rPr>
        <w:t>S4</w:t>
      </w:r>
      <w:r w:rsidRPr="007D0197">
        <w:rPr>
          <w:rFonts w:ascii="Helvetica"/>
          <w:b/>
        </w:rPr>
        <w:t>. Expression of GATA factors across organs and dietary conditions.</w:t>
      </w:r>
      <w:r w:rsidRPr="007D0197">
        <w:rPr>
          <w:rFonts w:ascii="Helvetica" w:eastAsia="Helvetica" w:hAnsi="Helvetica" w:cs="Helvetica"/>
          <w:b/>
        </w:rPr>
        <w:t xml:space="preserve"> </w:t>
      </w:r>
      <w:r>
        <w:rPr>
          <w:rFonts w:ascii="Helvetica" w:eastAsia="Helvetica" w:hAnsi="Helvetica" w:cs="Helvetica"/>
        </w:rPr>
        <w:t>Each panel shows normalized expression (log</w:t>
      </w:r>
      <w:r w:rsidRPr="00F1648D">
        <w:rPr>
          <w:rFonts w:ascii="Helvetica" w:eastAsia="Helvetica" w:hAnsi="Helvetica" w:cs="Helvetica"/>
          <w:vertAlign w:val="subscript"/>
        </w:rPr>
        <w:t>2</w:t>
      </w:r>
      <w:r>
        <w:rPr>
          <w:rFonts w:ascii="Helvetica" w:eastAsia="Helvetica" w:hAnsi="Helvetica" w:cs="Helvetica"/>
        </w:rPr>
        <w:t xml:space="preserve"> RPKM) of each of the five GATA family transcription factors In the </w:t>
      </w:r>
      <w:r w:rsidRPr="000C5F51">
        <w:rPr>
          <w:rFonts w:ascii="Helvetica"/>
        </w:rPr>
        <w:t>brain, fat body, gut, ovar</w:t>
      </w:r>
      <w:r>
        <w:rPr>
          <w:rFonts w:ascii="Helvetica"/>
        </w:rPr>
        <w:t>y</w:t>
      </w:r>
      <w:r w:rsidRPr="000C5F51">
        <w:rPr>
          <w:rFonts w:ascii="Helvetica"/>
        </w:rPr>
        <w:t xml:space="preserve"> </w:t>
      </w:r>
      <w:r>
        <w:rPr>
          <w:rFonts w:ascii="Helvetica"/>
        </w:rPr>
        <w:t xml:space="preserve">and </w:t>
      </w:r>
      <w:r w:rsidRPr="000C5F51">
        <w:rPr>
          <w:rFonts w:ascii="Helvetica"/>
        </w:rPr>
        <w:t>thor</w:t>
      </w:r>
      <w:r>
        <w:rPr>
          <w:rFonts w:ascii="Helvetica"/>
        </w:rPr>
        <w:t xml:space="preserve">ax, per each experimental diet DR, EAA, EAA+rapa. </w:t>
      </w:r>
      <w:r w:rsidRPr="004F0130">
        <w:rPr>
          <w:rFonts w:ascii="Helvetica"/>
        </w:rPr>
        <w:t>Plots show medians</w:t>
      </w:r>
      <w:r>
        <w:rPr>
          <w:rFonts w:ascii="Helvetica"/>
        </w:rPr>
        <w:t xml:space="preserve"> (horizontal midline)</w:t>
      </w:r>
      <w:r w:rsidRPr="004F0130">
        <w:rPr>
          <w:rFonts w:ascii="Helvetica"/>
        </w:rPr>
        <w:t>,</w:t>
      </w:r>
      <w:r>
        <w:rPr>
          <w:rFonts w:ascii="Helvetica"/>
        </w:rPr>
        <w:t xml:space="preserve"> 1st and 3rd quartiles (hinges), and range of data points.</w:t>
      </w:r>
    </w:p>
    <w:p w14:paraId="46FA117B" w14:textId="77777777" w:rsidR="008631B3" w:rsidRDefault="008631B3" w:rsidP="00CF41E1">
      <w:pPr>
        <w:rPr>
          <w:rFonts w:ascii="Helvetica"/>
          <w:b/>
          <w:bCs/>
        </w:rPr>
      </w:pPr>
    </w:p>
    <w:p w14:paraId="5FFD2216" w14:textId="77777777" w:rsidR="00CF41E1" w:rsidRDefault="00CF41E1" w:rsidP="00CF41E1">
      <w:pPr>
        <w:rPr>
          <w:rFonts w:ascii="Helvetica" w:hAnsi="Arial Unicode MS" w:cs="Arial Unicode MS"/>
          <w:b/>
          <w:bCs/>
          <w:color w:val="000000"/>
          <w:u w:color="000000"/>
        </w:rPr>
      </w:pPr>
      <w:r>
        <w:rPr>
          <w:rFonts w:ascii="Helvetica"/>
          <w:b/>
          <w:bCs/>
        </w:rPr>
        <w:br w:type="page"/>
      </w:r>
    </w:p>
    <w:p w14:paraId="4DF0764D" w14:textId="77777777" w:rsidR="000A3F5A" w:rsidRDefault="000A3F5A" w:rsidP="000A3F5A">
      <w:pPr>
        <w:pStyle w:val="BodyB"/>
        <w:spacing w:line="360" w:lineRule="auto"/>
        <w:jc w:val="center"/>
        <w:rPr>
          <w:rFonts w:ascii="Helvetica" w:hAnsi="Helvetica"/>
          <w:b/>
          <w:sz w:val="28"/>
        </w:rPr>
      </w:pPr>
      <w:r>
        <w:rPr>
          <w:rFonts w:ascii="Helvetica" w:hAnsi="Helvetica"/>
          <w:b/>
          <w:sz w:val="28"/>
        </w:rPr>
        <w:t>Supplementary Text</w:t>
      </w:r>
    </w:p>
    <w:p w14:paraId="1CF73D3E" w14:textId="77777777" w:rsidR="000A3F5A" w:rsidRDefault="000A3F5A" w:rsidP="000A3F5A">
      <w:pPr>
        <w:pStyle w:val="BodyB"/>
        <w:spacing w:line="360" w:lineRule="auto"/>
        <w:jc w:val="both"/>
        <w:rPr>
          <w:rFonts w:ascii="Helvetica" w:hAnsi="Helvetica"/>
          <w:i/>
        </w:rPr>
      </w:pPr>
    </w:p>
    <w:p w14:paraId="53F5421F" w14:textId="77777777" w:rsidR="000A3F5A" w:rsidRPr="00D60DB8" w:rsidRDefault="000A3F5A" w:rsidP="000A3F5A">
      <w:pPr>
        <w:pStyle w:val="BodyB"/>
        <w:spacing w:line="360" w:lineRule="auto"/>
        <w:jc w:val="both"/>
        <w:rPr>
          <w:rFonts w:ascii="Helvetica" w:hAnsi="Helvetica"/>
          <w:sz w:val="26"/>
        </w:rPr>
      </w:pPr>
      <w:r w:rsidRPr="00D60DB8">
        <w:rPr>
          <w:rFonts w:ascii="Helvetica" w:hAnsi="Helvetica"/>
          <w:i/>
          <w:sz w:val="26"/>
        </w:rPr>
        <w:t>Supplementary text 1 – exclusion of gut samples</w:t>
      </w:r>
    </w:p>
    <w:p w14:paraId="02F68DDC" w14:textId="77777777" w:rsidR="000A3F5A" w:rsidRDefault="000A3F5A" w:rsidP="000A3F5A">
      <w:pPr>
        <w:pStyle w:val="BodyB"/>
        <w:spacing w:line="360" w:lineRule="auto"/>
        <w:ind w:firstLine="720"/>
        <w:jc w:val="both"/>
        <w:rPr>
          <w:rFonts w:ascii="Helvetica" w:hAnsi="Helvetica"/>
        </w:rPr>
      </w:pPr>
      <w:r>
        <w:rPr>
          <w:rFonts w:ascii="Helvetica" w:hAnsi="Helvetica"/>
        </w:rPr>
        <w:t>For each tissue under study per each of the three experimental diets, three samples were originally collected. Exploratory analysis revealed high variation between tissues, but relatively low variation within tissues, with the exception of two gut samples from the DR condition (Figure S1). These two samples showed expression which correlated neither other gut samples from the present study, nor gut transcriptomes from external sources (</w:t>
      </w:r>
      <w:r>
        <w:rPr>
          <w:rFonts w:ascii="Helvetica" w:hAnsi="Helvetica"/>
          <w:i/>
        </w:rPr>
        <w:t>unpublished data</w:t>
      </w:r>
      <w:r>
        <w:rPr>
          <w:rFonts w:ascii="Helvetica" w:hAnsi="Helvetica"/>
        </w:rPr>
        <w:t xml:space="preserve">; and </w:t>
      </w:r>
      <w:r>
        <w:rPr>
          <w:rFonts w:ascii="Helvetica" w:hAnsi="Helvetica"/>
        </w:rPr>
        <w:fldChar w:fldCharType="begin">
          <w:fldData xml:space="preserve">YgBlADcAYwA5ADYAZQA4AC0AZQA5AGYANgAtADQAYwBiADcALQBiADcAYgBkAC0AMQA4AGMAZABk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</w:fldData>
        </w:fldChar>
      </w:r>
      <w:r>
        <w:rPr>
          <w:rFonts w:ascii="Helvetica" w:hAnsi="Helvetica"/>
        </w:rPr>
        <w:instrText>ADDIN LABTIVA_CITE \* MERGEFORMAT</w:instrText>
      </w:r>
      <w:r>
        <w:rPr>
          <w:rFonts w:ascii="Helvetica" w:hAnsi="Helvetica"/>
        </w:rPr>
      </w:r>
      <w:r>
        <w:rPr>
          <w:rFonts w:ascii="Helvetica" w:hAnsi="Helvetica"/>
        </w:rPr>
        <w:fldChar w:fldCharType="separate"/>
      </w:r>
      <w:r w:rsidRPr="00445299">
        <w:rPr>
          <w:rFonts w:ascii="Helvetica" w:hAnsi="Helvetica"/>
          <w:noProof/>
        </w:rPr>
        <w:t xml:space="preserve">(Dutta </w:t>
      </w:r>
      <w:r w:rsidRPr="00445299">
        <w:rPr>
          <w:rFonts w:ascii="Helvetica" w:hAnsi="Helvetica"/>
          <w:i/>
          <w:iCs/>
          <w:noProof/>
        </w:rPr>
        <w:t>et al</w:t>
      </w:r>
      <w:r w:rsidRPr="00445299">
        <w:rPr>
          <w:rFonts w:ascii="Helvetica" w:hAnsi="Helvetica"/>
          <w:noProof/>
        </w:rPr>
        <w:t>, 2015)</w:t>
      </w:r>
      <w:r>
        <w:rPr>
          <w:rFonts w:ascii="Helvetica" w:hAnsi="Helvetica"/>
        </w:rPr>
        <w:fldChar w:fldCharType="end"/>
      </w:r>
      <w:r>
        <w:rPr>
          <w:rFonts w:ascii="Helvetica" w:hAnsi="Helvetica"/>
        </w:rPr>
        <w:t>). We were able to run all our analyses without including these two samples, and so they were excluded.</w:t>
      </w:r>
    </w:p>
    <w:p w14:paraId="47ACE84B" w14:textId="77777777" w:rsidR="000A3F5A" w:rsidRDefault="000A3F5A" w:rsidP="000A3F5A">
      <w:pPr>
        <w:pStyle w:val="BodyB"/>
        <w:spacing w:line="360" w:lineRule="auto"/>
        <w:jc w:val="both"/>
        <w:rPr>
          <w:rFonts w:ascii="Helvetica" w:hAnsi="Helvetica"/>
        </w:rPr>
      </w:pPr>
    </w:p>
    <w:p w14:paraId="4F586801" w14:textId="77777777" w:rsidR="000A3F5A" w:rsidRPr="00D60DB8" w:rsidRDefault="000A3F5A" w:rsidP="000A3F5A">
      <w:pPr>
        <w:pStyle w:val="BodyB"/>
        <w:spacing w:line="360" w:lineRule="auto"/>
        <w:jc w:val="both"/>
        <w:rPr>
          <w:rFonts w:ascii="Helvetica" w:hAnsi="Helvetica"/>
          <w:sz w:val="26"/>
        </w:rPr>
      </w:pPr>
      <w:r w:rsidRPr="00D60DB8">
        <w:rPr>
          <w:rFonts w:ascii="Helvetica" w:hAnsi="Helvetica"/>
          <w:i/>
          <w:sz w:val="26"/>
        </w:rPr>
        <w:t xml:space="preserve">Supplementary text 2 – </w:t>
      </w:r>
      <w:r>
        <w:rPr>
          <w:rFonts w:ascii="Helvetica" w:hAnsi="Helvetica"/>
          <w:i/>
          <w:sz w:val="26"/>
        </w:rPr>
        <w:t>Functional analysis</w:t>
      </w:r>
      <w:r w:rsidRPr="00D60DB8">
        <w:rPr>
          <w:rFonts w:ascii="Helvetica" w:hAnsi="Helvetica"/>
          <w:i/>
          <w:sz w:val="26"/>
        </w:rPr>
        <w:t xml:space="preserve"> of differential</w:t>
      </w:r>
      <w:r>
        <w:rPr>
          <w:rFonts w:ascii="Helvetica" w:hAnsi="Helvetica"/>
          <w:i/>
          <w:sz w:val="26"/>
        </w:rPr>
        <w:t>ly</w:t>
      </w:r>
      <w:r w:rsidRPr="00D60DB8">
        <w:rPr>
          <w:rFonts w:ascii="Helvetica" w:hAnsi="Helvetica"/>
          <w:i/>
          <w:sz w:val="26"/>
        </w:rPr>
        <w:t xml:space="preserve"> expre</w:t>
      </w:r>
      <w:r>
        <w:rPr>
          <w:rFonts w:ascii="Helvetica" w:hAnsi="Helvetica"/>
          <w:i/>
          <w:sz w:val="26"/>
        </w:rPr>
        <w:t>ssed</w:t>
      </w:r>
      <w:r w:rsidRPr="00D60DB8">
        <w:rPr>
          <w:rFonts w:ascii="Helvetica" w:hAnsi="Helvetica"/>
          <w:i/>
          <w:sz w:val="26"/>
        </w:rPr>
        <w:t xml:space="preserve"> </w:t>
      </w:r>
      <w:r>
        <w:rPr>
          <w:rFonts w:ascii="Helvetica" w:hAnsi="Helvetica"/>
          <w:i/>
          <w:sz w:val="26"/>
        </w:rPr>
        <w:t>genes</w:t>
      </w:r>
    </w:p>
    <w:p w14:paraId="0D9AC848" w14:textId="77777777" w:rsidR="000A3F5A" w:rsidRDefault="000A3F5A" w:rsidP="000A3F5A">
      <w:pPr>
        <w:pStyle w:val="BodyB"/>
        <w:spacing w:line="360" w:lineRule="auto"/>
        <w:jc w:val="both"/>
        <w:rPr>
          <w:rFonts w:ascii="Helvetica" w:hAnsi="Helvetica"/>
        </w:rPr>
      </w:pPr>
      <w:r>
        <w:rPr>
          <w:rFonts w:ascii="Helvetica" w:hAnsi="Helvetica"/>
        </w:rPr>
        <w:tab/>
        <w:t xml:space="preserve">There is now a wealth of analyses of changes in gene expression in response to genetic </w:t>
      </w:r>
      <w:r>
        <w:rPr>
          <w:rFonts w:ascii="Helvetica" w:hAnsi="Helvetica"/>
        </w:rPr>
        <w:fldChar w:fldCharType="begin">
          <w:fldData xml:space="preserve">YgBlADcAYwA5ADYAZQA4AC0AZQA5AGYANgAtADQAYwBiADcALQBiADcAYgBkAC0AMQA4AGMAZABk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</w:fldData>
        </w:fldChar>
      </w:r>
      <w:r>
        <w:rPr>
          <w:rFonts w:ascii="Helvetica" w:hAnsi="Helvetica"/>
        </w:rPr>
        <w:instrText>ADDIN LABTIVA_CITE \* MERGEFORMAT</w:instrText>
      </w:r>
      <w:r>
        <w:rPr>
          <w:rFonts w:ascii="Helvetica" w:hAnsi="Helvetica"/>
        </w:rPr>
      </w:r>
      <w:r>
        <w:rPr>
          <w:rFonts w:ascii="Helvetica" w:hAnsi="Helvetica"/>
        </w:rPr>
        <w:fldChar w:fldCharType="separate"/>
      </w:r>
      <w:r w:rsidRPr="00445299">
        <w:rPr>
          <w:rFonts w:ascii="Helvetica" w:hAnsi="Helvetica"/>
          <w:noProof/>
        </w:rPr>
        <w:t>(</w:t>
      </w:r>
      <w:r>
        <w:rPr>
          <w:rFonts w:ascii="Helvetica" w:hAnsi="Helvetica"/>
          <w:noProof/>
        </w:rPr>
        <w:t xml:space="preserve">e.g. </w:t>
      </w:r>
      <w:r w:rsidRPr="00445299">
        <w:rPr>
          <w:rFonts w:ascii="Helvetica" w:hAnsi="Helvetica"/>
          <w:noProof/>
        </w:rPr>
        <w:t xml:space="preserve">Alic </w:t>
      </w:r>
      <w:r w:rsidRPr="00445299">
        <w:rPr>
          <w:rFonts w:ascii="Helvetica" w:hAnsi="Helvetica"/>
          <w:i/>
          <w:iCs/>
          <w:noProof/>
        </w:rPr>
        <w:t>et al</w:t>
      </w:r>
      <w:r w:rsidRPr="00445299">
        <w:rPr>
          <w:rFonts w:ascii="Helvetica" w:hAnsi="Helvetica"/>
          <w:noProof/>
        </w:rPr>
        <w:t>, 2011)</w:t>
      </w:r>
      <w:r>
        <w:rPr>
          <w:rFonts w:ascii="Helvetica" w:hAnsi="Helvetica"/>
        </w:rPr>
        <w:fldChar w:fldCharType="end"/>
      </w:r>
      <w:r>
        <w:rPr>
          <w:rFonts w:ascii="Helvetica" w:hAnsi="Helvetica"/>
        </w:rPr>
        <w:t xml:space="preserve"> and dietary </w:t>
      </w:r>
      <w:r>
        <w:rPr>
          <w:rFonts w:ascii="Helvetica" w:hAnsi="Helvetica"/>
        </w:rPr>
        <w:fldChar w:fldCharType="begin">
          <w:fldData xml:space="preserve">YgBlADcAYwA5ADYAZQA4AC0AZQA5AGYANgAtADQAYwBiADcALQBiADcAYgBkAC0AMQA4AGMAZABk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</w:fldData>
        </w:fldChar>
      </w:r>
      <w:r>
        <w:rPr>
          <w:rFonts w:ascii="Helvetica" w:hAnsi="Helvetica"/>
        </w:rPr>
        <w:instrText>ADDIN LABTIVA_CITE \* MERGEFORMAT</w:instrText>
      </w:r>
      <w:r>
        <w:rPr>
          <w:rFonts w:ascii="Helvetica" w:hAnsi="Helvetica"/>
        </w:rPr>
      </w:r>
      <w:r>
        <w:rPr>
          <w:rFonts w:ascii="Helvetica" w:hAnsi="Helvetica"/>
        </w:rPr>
        <w:fldChar w:fldCharType="separate"/>
      </w:r>
      <w:r w:rsidRPr="00445299">
        <w:rPr>
          <w:rFonts w:ascii="Helvetica" w:hAnsi="Helvetica"/>
          <w:noProof/>
        </w:rPr>
        <w:t>(</w:t>
      </w:r>
      <w:r>
        <w:rPr>
          <w:rFonts w:ascii="Helvetica" w:hAnsi="Helvetica"/>
          <w:noProof/>
        </w:rPr>
        <w:t xml:space="preserve">e.g. </w:t>
      </w:r>
      <w:r w:rsidRPr="00445299">
        <w:rPr>
          <w:rFonts w:ascii="Helvetica" w:hAnsi="Helvetica"/>
          <w:noProof/>
        </w:rPr>
        <w:t xml:space="preserve">Whitaker </w:t>
      </w:r>
      <w:r w:rsidRPr="00445299">
        <w:rPr>
          <w:rFonts w:ascii="Helvetica" w:hAnsi="Helvetica"/>
          <w:i/>
          <w:iCs/>
          <w:noProof/>
        </w:rPr>
        <w:t>et al</w:t>
      </w:r>
      <w:r w:rsidRPr="00445299">
        <w:rPr>
          <w:rFonts w:ascii="Helvetica" w:hAnsi="Helvetica"/>
          <w:noProof/>
        </w:rPr>
        <w:t>, 2014)</w:t>
      </w:r>
      <w:r>
        <w:rPr>
          <w:rFonts w:ascii="Helvetica" w:hAnsi="Helvetica"/>
        </w:rPr>
        <w:fldChar w:fldCharType="end"/>
      </w:r>
      <w:r>
        <w:rPr>
          <w:rFonts w:ascii="Helvetica" w:hAnsi="Helvetica"/>
        </w:rPr>
        <w:t xml:space="preserve"> inteventions to extend lifespan in </w:t>
      </w:r>
      <w:r>
        <w:rPr>
          <w:rFonts w:ascii="Helvetica" w:hAnsi="Helvetica"/>
          <w:i/>
        </w:rPr>
        <w:t>Drosophila</w:t>
      </w:r>
      <w:r>
        <w:rPr>
          <w:rFonts w:ascii="Helvetica" w:hAnsi="Helvetica"/>
        </w:rPr>
        <w:t xml:space="preserve">, as well as descriptions of transcriptomic change throughout the lifecourse (e.g. Carlson et al, 2015). Parallel studies have also been conducted in a number of other model organisms </w:t>
      </w:r>
      <w:r>
        <w:rPr>
          <w:rFonts w:ascii="Helvetica" w:hAnsi="Helvetica"/>
        </w:rPr>
        <w:fldChar w:fldCharType="begin">
          <w:fldData xml:space="preserve">YgBlADcAYwA5ADYAZQA4AC0AZQA5AGYANgAtADQAYwBiADcALQBiADcAYgBkAC0AMQA4AGMAZABk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</w:fldData>
        </w:fldChar>
      </w:r>
      <w:r>
        <w:rPr>
          <w:rFonts w:ascii="Helvetica" w:hAnsi="Helvetica"/>
        </w:rPr>
        <w:instrText>ADDIN LABTIVA_CITE \* MERGEFORMAT</w:instrText>
      </w:r>
      <w:r>
        <w:rPr>
          <w:rFonts w:ascii="Helvetica" w:hAnsi="Helvetica"/>
        </w:rPr>
      </w:r>
      <w:r>
        <w:rPr>
          <w:rFonts w:ascii="Helvetica" w:hAnsi="Helvetica"/>
        </w:rPr>
        <w:fldChar w:fldCharType="separate"/>
      </w:r>
      <w:r w:rsidRPr="002602A4">
        <w:rPr>
          <w:rFonts w:ascii="Helvetica" w:hAnsi="Helvetica"/>
          <w:noProof/>
        </w:rPr>
        <w:t>(</w:t>
      </w:r>
      <w:r>
        <w:rPr>
          <w:rFonts w:ascii="Helvetica" w:hAnsi="Helvetica"/>
          <w:noProof/>
        </w:rPr>
        <w:t xml:space="preserve">e.g. </w:t>
      </w:r>
      <w:r w:rsidRPr="002602A4">
        <w:rPr>
          <w:rFonts w:ascii="Helvetica" w:hAnsi="Helvetica"/>
          <w:noProof/>
        </w:rPr>
        <w:t xml:space="preserve">Selman </w:t>
      </w:r>
      <w:r w:rsidRPr="002602A4">
        <w:rPr>
          <w:rFonts w:ascii="Helvetica" w:hAnsi="Helvetica"/>
          <w:i/>
          <w:iCs/>
          <w:noProof/>
        </w:rPr>
        <w:t>et al</w:t>
      </w:r>
      <w:r w:rsidRPr="002602A4">
        <w:rPr>
          <w:rFonts w:ascii="Helvetica" w:hAnsi="Helvetica"/>
          <w:noProof/>
        </w:rPr>
        <w:t xml:space="preserve">, 2006; Murphy </w:t>
      </w:r>
      <w:r w:rsidRPr="002602A4">
        <w:rPr>
          <w:rFonts w:ascii="Helvetica" w:hAnsi="Helvetica"/>
          <w:i/>
          <w:iCs/>
          <w:noProof/>
        </w:rPr>
        <w:t>et al</w:t>
      </w:r>
      <w:r w:rsidRPr="002602A4">
        <w:rPr>
          <w:rFonts w:ascii="Helvetica" w:hAnsi="Helvetica"/>
          <w:noProof/>
        </w:rPr>
        <w:t>, 2003)</w:t>
      </w:r>
      <w:r>
        <w:rPr>
          <w:rFonts w:ascii="Helvetica" w:hAnsi="Helvetica"/>
        </w:rPr>
        <w:fldChar w:fldCharType="end"/>
      </w:r>
      <w:r>
        <w:rPr>
          <w:rFonts w:ascii="Helvetica" w:hAnsi="Helvetica"/>
        </w:rPr>
        <w:t>. Our goal in the present work was to identify putative regulators of TOR-dependent transcriptional change within organs, and regulators of structural changes to the transcriptome across the organ system. Genes that showed organ-specific differential expression are identified and discussed below.</w:t>
      </w:r>
    </w:p>
    <w:p w14:paraId="06022470" w14:textId="77777777" w:rsidR="000A3F5A" w:rsidRPr="00832461" w:rsidRDefault="000A3F5A" w:rsidP="000A3F5A">
      <w:pPr>
        <w:pStyle w:val="BodyA"/>
        <w:spacing w:line="360" w:lineRule="auto"/>
        <w:jc w:val="both"/>
        <w:rPr>
          <w:rFonts w:ascii="Helvetica"/>
        </w:rPr>
      </w:pPr>
      <w:r>
        <w:rPr>
          <w:rFonts w:ascii="Helvetica"/>
        </w:rPr>
        <w:tab/>
        <w:t xml:space="preserve">At the organismal level, gene expression was generally higher under DR than under EAA-enriched conditions, consistent with fly physiology being primed for immediate exploitation of resources as they become available, to increase fitness in the short term. Such genes included a suite of known or predicted metabolic enzymes - particularly enzymes involved in lipid metabolism - growth regulators (e.g. </w:t>
      </w:r>
      <w:r>
        <w:rPr>
          <w:rFonts w:ascii="Helvetica"/>
          <w:i/>
          <w:iCs/>
        </w:rPr>
        <w:t>dally, dawdle</w:t>
      </w:r>
      <w:r>
        <w:rPr>
          <w:rFonts w:ascii="Helvetica"/>
        </w:rPr>
        <w:t xml:space="preserve">), transcription factors (e.g. </w:t>
      </w:r>
      <w:r>
        <w:rPr>
          <w:rFonts w:ascii="Helvetica"/>
          <w:i/>
          <w:iCs/>
          <w:lang w:val="fr-FR"/>
        </w:rPr>
        <w:t>doublesex</w:t>
      </w:r>
      <w:r>
        <w:rPr>
          <w:rFonts w:ascii="Helvetica"/>
          <w:i/>
          <w:iCs/>
        </w:rPr>
        <w:t xml:space="preserve">), </w:t>
      </w:r>
      <w:r>
        <w:rPr>
          <w:rFonts w:ascii="Helvetica"/>
          <w:lang w:val="it-IT"/>
        </w:rPr>
        <w:t>amino acid transporters (</w:t>
      </w:r>
      <w:r>
        <w:rPr>
          <w:rFonts w:ascii="Helvetica"/>
          <w:i/>
          <w:iCs/>
          <w:lang w:val="nl-NL"/>
        </w:rPr>
        <w:t>Eaat1, NAAT1</w:t>
      </w:r>
      <w:r>
        <w:rPr>
          <w:rFonts w:ascii="Helvetica"/>
        </w:rPr>
        <w:t>), genes responsive to the growth-stimulatory insect hormone ecdysone (</w:t>
      </w:r>
      <w:r w:rsidRPr="00624607">
        <w:rPr>
          <w:rFonts w:ascii="Helvetica"/>
          <w:i/>
        </w:rPr>
        <w:t>Eip63F-1, DOR</w:t>
      </w:r>
      <w:r>
        <w:rPr>
          <w:rFonts w:ascii="Helvetica"/>
        </w:rPr>
        <w:t xml:space="preserve">), 8 peptidases of the </w:t>
      </w:r>
      <w:r>
        <w:rPr>
          <w:rFonts w:ascii="Helvetica"/>
          <w:i/>
          <w:iCs/>
        </w:rPr>
        <w:t xml:space="preserve">Jonah </w:t>
      </w:r>
      <w:r>
        <w:rPr>
          <w:rFonts w:ascii="Helvetica"/>
        </w:rPr>
        <w:t>family, and humoral antimicrobials (</w:t>
      </w:r>
      <w:r>
        <w:rPr>
          <w:rFonts w:ascii="Helvetica"/>
          <w:i/>
          <w:iCs/>
        </w:rPr>
        <w:t>Lysozyme P, Defensin, PGRP-SC2</w:t>
      </w:r>
      <w:r>
        <w:rPr>
          <w:rFonts w:ascii="Helvetica"/>
        </w:rPr>
        <w:t xml:space="preserve">). Conversely, the 17 genes that were downregulated DR and by TOR included the metabolic regulator </w:t>
      </w:r>
      <w:r>
        <w:rPr>
          <w:rFonts w:ascii="Helvetica"/>
          <w:i/>
          <w:iCs/>
          <w:lang w:val="fr-FR"/>
        </w:rPr>
        <w:t>Ilp8</w:t>
      </w:r>
      <w:r>
        <w:rPr>
          <w:rFonts w:ascii="Helvetica"/>
        </w:rPr>
        <w:t xml:space="preserve"> and </w:t>
      </w:r>
      <w:r>
        <w:rPr>
          <w:rFonts w:ascii="Helvetica"/>
          <w:i/>
          <w:iCs/>
        </w:rPr>
        <w:t>Gapdh2</w:t>
      </w:r>
      <w:r>
        <w:rPr>
          <w:rFonts w:ascii="Helvetica"/>
        </w:rPr>
        <w:t xml:space="preserve">. In addition to these reciprocally regulated genes, expression of some genes responded to EAAs but not to rapamycin, i.e. they were EAA-dependent but without evidence of TOR-dependence. Such genes include the immune genes </w:t>
      </w:r>
      <w:r>
        <w:rPr>
          <w:rFonts w:ascii="Helvetica"/>
          <w:i/>
          <w:iCs/>
          <w:lang w:val="es-ES_tradnl"/>
        </w:rPr>
        <w:t>cactus</w:t>
      </w:r>
      <w:r>
        <w:rPr>
          <w:rFonts w:ascii="Helvetica"/>
        </w:rPr>
        <w:t xml:space="preserve"> and </w:t>
      </w:r>
      <w:r>
        <w:rPr>
          <w:rFonts w:ascii="Helvetica"/>
          <w:i/>
          <w:iCs/>
        </w:rPr>
        <w:t>insensitive</w:t>
      </w:r>
      <w:r>
        <w:rPr>
          <w:rFonts w:ascii="Helvetica"/>
        </w:rPr>
        <w:t xml:space="preserve">, and the transcription factors </w:t>
      </w:r>
      <w:r>
        <w:rPr>
          <w:rFonts w:ascii="Helvetica"/>
          <w:i/>
          <w:iCs/>
          <w:lang w:val="da-DK"/>
        </w:rPr>
        <w:t>double-parked</w:t>
      </w:r>
      <w:r>
        <w:rPr>
          <w:rFonts w:ascii="Helvetica"/>
        </w:rPr>
        <w:t xml:space="preserve"> and </w:t>
      </w:r>
      <w:r>
        <w:rPr>
          <w:rFonts w:ascii="Helvetica"/>
          <w:i/>
          <w:iCs/>
        </w:rPr>
        <w:t>E2f2</w:t>
      </w:r>
      <w:r>
        <w:rPr>
          <w:rFonts w:ascii="Helvetica"/>
        </w:rPr>
        <w:t xml:space="preserve">. Of the genes that were downregulated by EAA enrichment, 25 (18%) were not responsive to rapamycin, including enzymes involved in glutathione and glutamate metabolism and in glycine/serine/threonine metabolism, </w:t>
      </w:r>
      <w:r>
        <w:rPr>
          <w:rFonts w:ascii="Helvetica"/>
          <w:i/>
          <w:iCs/>
        </w:rPr>
        <w:t>Eip-71CD</w:t>
      </w:r>
      <w:r>
        <w:rPr>
          <w:rFonts w:ascii="Helvetica"/>
        </w:rPr>
        <w:t>, two heat shock proteins (</w:t>
      </w:r>
      <w:r>
        <w:rPr>
          <w:rFonts w:ascii="Helvetica"/>
          <w:i/>
          <w:iCs/>
        </w:rPr>
        <w:t>Hsp60c</w:t>
      </w:r>
      <w:r>
        <w:rPr>
          <w:rFonts w:ascii="Helvetica"/>
        </w:rPr>
        <w:t xml:space="preserve">, </w:t>
      </w:r>
      <w:r>
        <w:rPr>
          <w:rFonts w:ascii="Helvetica"/>
          <w:i/>
          <w:iCs/>
        </w:rPr>
        <w:t>Hsp70Bb</w:t>
      </w:r>
      <w:r>
        <w:rPr>
          <w:rFonts w:ascii="Helvetica"/>
        </w:rPr>
        <w:t>), and immunity genes (</w:t>
      </w:r>
      <w:r>
        <w:rPr>
          <w:rFonts w:ascii="Helvetica"/>
          <w:i/>
          <w:iCs/>
        </w:rPr>
        <w:t>Lysozyme B</w:t>
      </w:r>
      <w:r>
        <w:rPr>
          <w:rFonts w:ascii="Helvetica"/>
        </w:rPr>
        <w:t xml:space="preserve">, </w:t>
      </w:r>
      <w:r>
        <w:rPr>
          <w:rFonts w:ascii="Helvetica"/>
          <w:i/>
          <w:iCs/>
        </w:rPr>
        <w:t>PGRP-SC1a</w:t>
      </w:r>
      <w:r>
        <w:rPr>
          <w:rFonts w:ascii="Helvetica"/>
        </w:rPr>
        <w:t>). In a few cases, the effects of DR and of rapamycin were not equivalent: 6 genes (</w:t>
      </w:r>
      <w:r>
        <w:rPr>
          <w:rFonts w:ascii="Helvetica"/>
          <w:i/>
          <w:iCs/>
        </w:rPr>
        <w:t>Antigen-5 related-2, CG31869, Metallothionein-D, traffic jam, Uhg5, Vitelline membrane 26Ab</w:t>
      </w:r>
      <w:r>
        <w:rPr>
          <w:rFonts w:ascii="Helvetica"/>
        </w:rPr>
        <w:t xml:space="preserve">) that were upregulated by DR were downregulated by rapamycin, and </w:t>
      </w:r>
      <w:r>
        <w:rPr>
          <w:rFonts w:ascii="Helvetica"/>
          <w:i/>
          <w:iCs/>
        </w:rPr>
        <w:t>Osiris-6</w:t>
      </w:r>
      <w:r>
        <w:rPr>
          <w:rFonts w:ascii="Helvetica"/>
        </w:rPr>
        <w:t xml:space="preserve"> and </w:t>
      </w:r>
      <w:r>
        <w:rPr>
          <w:rFonts w:ascii="Helvetica"/>
          <w:i/>
          <w:iCs/>
        </w:rPr>
        <w:t xml:space="preserve">Osiris-7 </w:t>
      </w:r>
      <w:r>
        <w:rPr>
          <w:rFonts w:ascii="Helvetica"/>
        </w:rPr>
        <w:t>were downregulated by DR but upregulated by rapamycin. Full statistical analyses and enrichment of GO terms are presented in Supplementary Spreadsheets. Collectively, these results demonstrate that EAAs have extensive effects on the whole-fly transcriptome, which are largely TOR-dependent.</w:t>
      </w:r>
    </w:p>
    <w:p w14:paraId="1B3C8B98" w14:textId="77777777" w:rsidR="000A3F5A" w:rsidRDefault="000A3F5A" w:rsidP="000A3F5A">
      <w:pPr>
        <w:pStyle w:val="BodyA"/>
        <w:spacing w:line="360" w:lineRule="auto"/>
        <w:ind w:firstLine="720"/>
        <w:jc w:val="both"/>
        <w:rPr>
          <w:rFonts w:ascii="Helvetica" w:eastAsia="Helvetica" w:hAnsi="Helvetica" w:cs="Helvetica"/>
        </w:rPr>
      </w:pPr>
      <w:r>
        <w:rPr>
          <w:rFonts w:ascii="Helvetica" w:eastAsia="Helvetica" w:hAnsi="Helvetica" w:cs="Helvetica"/>
        </w:rPr>
        <w:t>The three fly yolk proteins (</w:t>
      </w:r>
      <w:r w:rsidRPr="008C31BB">
        <w:rPr>
          <w:rFonts w:ascii="Helvetica" w:eastAsia="Helvetica" w:hAnsi="Helvetica" w:cs="Helvetica"/>
          <w:i/>
        </w:rPr>
        <w:t>Yp1, Yp2, Yp3</w:t>
      </w:r>
      <w:r>
        <w:rPr>
          <w:rFonts w:ascii="Helvetica" w:eastAsia="Helvetica" w:hAnsi="Helvetica" w:cs="Helvetica"/>
        </w:rPr>
        <w:t>) had lower expression in the fat body after DR, and after rapamycin feeding. These changes correspond to egg laying on the same diets</w:t>
      </w:r>
      <w:r>
        <w:rPr>
          <w:rFonts w:ascii="Helvetica" w:eastAsia="Helvetica" w:hAnsi="Helvetica" w:cs="Helvetica"/>
        </w:rPr>
        <w:fldChar w:fldCharType="begin">
          <w:fldData xml:space="preserve">NgA2ADUAOQA3AGIANwA5AC0AYgA0ADIANAAtADQAZgA4ADAALQA4ADkAZgA3AC0AZABmAGUAMgBh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</w:fldData>
        </w:fldChar>
      </w:r>
      <w:r>
        <w:rPr>
          <w:rFonts w:ascii="Helvetica" w:eastAsia="Helvetica" w:hAnsi="Helvetica" w:cs="Helvetica"/>
        </w:rPr>
        <w:instrText>ADDIN LABTIVA_CITE \* MERGEFORMAT</w:instrText>
      </w:r>
      <w:r>
        <w:rPr>
          <w:rFonts w:ascii="Helvetica" w:eastAsia="Helvetica" w:hAnsi="Helvetica" w:cs="Helvetica"/>
        </w:rPr>
      </w:r>
      <w:r>
        <w:rPr>
          <w:rFonts w:ascii="Helvetica" w:eastAsia="Helvetica" w:hAnsi="Helvetica" w:cs="Helvetica"/>
        </w:rPr>
        <w:fldChar w:fldCharType="separate"/>
      </w:r>
      <w:r w:rsidRPr="000824FC">
        <w:rPr>
          <w:rFonts w:ascii="Helvetica" w:hAnsi="Helvetica"/>
          <w:noProof/>
        </w:rPr>
        <w:t xml:space="preserve"> (Emran et al., 2014)</w:t>
      </w:r>
      <w:r>
        <w:rPr>
          <w:rFonts w:ascii="Helvetica" w:eastAsia="Helvetica" w:hAnsi="Helvetica" w:cs="Helvetica"/>
        </w:rPr>
        <w:fldChar w:fldCharType="end"/>
      </w:r>
      <w:r>
        <w:rPr>
          <w:rFonts w:ascii="Helvetica" w:eastAsia="Helvetica" w:hAnsi="Helvetica" w:cs="Helvetica"/>
        </w:rPr>
        <w:t>. A curious feature of the data was the differential expression of multiple genes annotated as chorion proteins (</w:t>
      </w:r>
      <w:r>
        <w:rPr>
          <w:rFonts w:ascii="Helvetica" w:eastAsia="Helvetica" w:hAnsi="Helvetica" w:cs="Helvetica"/>
          <w:i/>
        </w:rPr>
        <w:t>Cp</w:t>
      </w:r>
      <w:r>
        <w:rPr>
          <w:rFonts w:ascii="Helvetica" w:eastAsia="Helvetica" w:hAnsi="Helvetica" w:cs="Helvetica"/>
        </w:rPr>
        <w:t>) and vitelline membrane proteins (</w:t>
      </w:r>
      <w:r>
        <w:rPr>
          <w:rFonts w:ascii="Helvetica" w:eastAsia="Helvetica" w:hAnsi="Helvetica" w:cs="Helvetica"/>
          <w:i/>
        </w:rPr>
        <w:t>Vm</w:t>
      </w:r>
      <w:r>
        <w:rPr>
          <w:rFonts w:ascii="Helvetica" w:eastAsia="Helvetica" w:hAnsi="Helvetica" w:cs="Helvetica"/>
        </w:rPr>
        <w:t xml:space="preserve">) in organs other than the ovary. This corresponds to other data (Dobson, Chaston &amp; Douglas, </w:t>
      </w:r>
      <w:r w:rsidRPr="00754B4B">
        <w:rPr>
          <w:rFonts w:ascii="Helvetica" w:eastAsia="Helvetica" w:hAnsi="Helvetica" w:cs="Helvetica"/>
          <w:i/>
        </w:rPr>
        <w:t>în prep</w:t>
      </w:r>
      <w:r>
        <w:rPr>
          <w:rFonts w:ascii="Helvetica" w:eastAsia="Helvetica" w:hAnsi="Helvetica" w:cs="Helvetica"/>
        </w:rPr>
        <w:t>) which show that genes annotated as vitelline membrane proteins show altered expression after nutritional alteration in whole-</w:t>
      </w:r>
      <w:r w:rsidRPr="00754B4B">
        <w:rPr>
          <w:rFonts w:ascii="Helvetica" w:eastAsia="Helvetica" w:hAnsi="Helvetica" w:cs="Helvetica"/>
        </w:rPr>
        <w:t xml:space="preserve">body </w:t>
      </w:r>
      <w:r>
        <w:rPr>
          <w:rFonts w:ascii="Helvetica" w:eastAsia="Helvetica" w:hAnsi="Helvetica" w:cs="Helvetica"/>
        </w:rPr>
        <w:t xml:space="preserve">samples of </w:t>
      </w:r>
      <w:r>
        <w:rPr>
          <w:rFonts w:ascii="Helvetica" w:eastAsia="Helvetica" w:hAnsi="Helvetica" w:cs="Helvetica"/>
          <w:i/>
        </w:rPr>
        <w:t xml:space="preserve">Drosophila </w:t>
      </w:r>
      <w:r>
        <w:rPr>
          <w:rFonts w:ascii="Helvetica" w:eastAsia="Helvetica" w:hAnsi="Helvetica" w:cs="Helvetica"/>
        </w:rPr>
        <w:t xml:space="preserve">males, implying nutrient-dependent roles for these genes in processes other than egg production (since males do not produce eggs). In the present dataset, these genes changed expression in concert with a number of other genes involved in oogenesis and reproduction, but the changes were not always equivalent across organs (eg </w:t>
      </w:r>
      <w:r w:rsidRPr="00C01C08">
        <w:rPr>
          <w:rFonts w:ascii="Helvetica" w:eastAsia="Helvetica" w:hAnsi="Helvetica" w:cs="Helvetica"/>
          <w:i/>
        </w:rPr>
        <w:t>Cp36</w:t>
      </w:r>
      <w:r>
        <w:rPr>
          <w:rFonts w:ascii="Helvetica" w:eastAsia="Helvetica" w:hAnsi="Helvetica" w:cs="Helvetica"/>
        </w:rPr>
        <w:t xml:space="preserve"> and </w:t>
      </w:r>
      <w:r w:rsidRPr="00C01C08">
        <w:rPr>
          <w:rFonts w:ascii="Helvetica" w:eastAsia="Helvetica" w:hAnsi="Helvetica" w:cs="Helvetica"/>
          <w:i/>
        </w:rPr>
        <w:t>Cp38</w:t>
      </w:r>
      <w:r>
        <w:rPr>
          <w:rFonts w:ascii="Helvetica" w:eastAsia="Helvetica" w:hAnsi="Helvetica" w:cs="Helvetica"/>
        </w:rPr>
        <w:t xml:space="preserve">). We note that a number of chorion proteins have recently been shown to exhibit changes in expression across </w:t>
      </w:r>
      <w:r>
        <w:rPr>
          <w:rFonts w:ascii="Helvetica" w:eastAsia="Helvetica" w:hAnsi="Helvetica" w:cs="Helvetica"/>
          <w:i/>
        </w:rPr>
        <w:t>Drosophila</w:t>
      </w:r>
      <w:r>
        <w:rPr>
          <w:rFonts w:ascii="Helvetica" w:eastAsia="Helvetica" w:hAnsi="Helvetica" w:cs="Helvetica"/>
        </w:rPr>
        <w:t xml:space="preserve"> lifespan (Carlson et al, 2015). Together these results indicate unappreciated roles for these genes outside of the chorion. We also noted that some genes with roles in reproduction were not TOR-dependent, or that TOR suppression and DR had opposite effects on expression. </w:t>
      </w:r>
    </w:p>
    <w:p w14:paraId="7CC414D1" w14:textId="77777777" w:rsidR="000A3F5A" w:rsidRDefault="000A3F5A" w:rsidP="000A3F5A">
      <w:pPr>
        <w:pStyle w:val="BodyA"/>
        <w:spacing w:line="360" w:lineRule="auto"/>
        <w:jc w:val="both"/>
        <w:rPr>
          <w:rFonts w:ascii="Helvetica" w:eastAsia="Helvetica" w:hAnsi="Helvetica" w:cs="Helvetica"/>
        </w:rPr>
      </w:pPr>
      <w:r>
        <w:rPr>
          <w:rFonts w:ascii="Helvetica" w:eastAsia="Helvetica" w:hAnsi="Helvetica" w:cs="Helvetica"/>
        </w:rPr>
        <w:tab/>
        <w:t>Many genes with metabolic functions were regulated by DR, but these effects were not necessarily TOR-dependent, and responses across organs were not equivalent. For example, in the brain, expression of maltases decreased upon DR, and whilst expression of some of these enzymes (</w:t>
      </w:r>
      <w:r w:rsidRPr="001B6437">
        <w:rPr>
          <w:rFonts w:ascii="Helvetica" w:eastAsia="Helvetica" w:hAnsi="Helvetica" w:cs="Helvetica"/>
          <w:i/>
        </w:rPr>
        <w:t>Mal-A7, Mal-A8</w:t>
      </w:r>
      <w:r>
        <w:rPr>
          <w:rFonts w:ascii="Helvetica" w:eastAsia="Helvetica" w:hAnsi="Helvetica" w:cs="Helvetica"/>
        </w:rPr>
        <w:t>) was TOR-dependent, expression of others (</w:t>
      </w:r>
      <w:r>
        <w:rPr>
          <w:rFonts w:ascii="Helvetica" w:eastAsia="Helvetica" w:hAnsi="Helvetica" w:cs="Helvetica"/>
          <w:i/>
        </w:rPr>
        <w:t>Mal-A1, MalA2, Mal-</w:t>
      </w:r>
      <w:r w:rsidRPr="004A63BC">
        <w:rPr>
          <w:rFonts w:ascii="Helvetica" w:eastAsia="Helvetica" w:hAnsi="Helvetica" w:cs="Helvetica"/>
          <w:i/>
        </w:rPr>
        <w:t>A3</w:t>
      </w:r>
      <w:r>
        <w:rPr>
          <w:rFonts w:ascii="Helvetica" w:eastAsia="Helvetica" w:hAnsi="Helvetica" w:cs="Helvetica"/>
        </w:rPr>
        <w:t>) was not. In the thorax, other maltases (</w:t>
      </w:r>
      <w:r w:rsidRPr="002D3201">
        <w:rPr>
          <w:rFonts w:ascii="Helvetica" w:eastAsia="Helvetica" w:hAnsi="Helvetica" w:cs="Helvetica"/>
          <w:i/>
        </w:rPr>
        <w:t>Mal-B1, Mal-A8, Mal-i6</w:t>
      </w:r>
      <w:r>
        <w:rPr>
          <w:rFonts w:ascii="Helvetica" w:eastAsia="Helvetica" w:hAnsi="Helvetica" w:cs="Helvetica"/>
        </w:rPr>
        <w:t xml:space="preserve">) were downregulated by DR in a way that was complemented by TOR suppression. </w:t>
      </w:r>
    </w:p>
    <w:p w14:paraId="095F8486" w14:textId="77777777" w:rsidR="000A3F5A" w:rsidRPr="00B91DFC" w:rsidRDefault="000A3F5A" w:rsidP="000A3F5A">
      <w:pPr>
        <w:pStyle w:val="BodyA"/>
        <w:spacing w:line="360" w:lineRule="auto"/>
        <w:jc w:val="both"/>
        <w:rPr>
          <w:rFonts w:ascii="Helvetica"/>
        </w:rPr>
      </w:pPr>
      <w:r>
        <w:rPr>
          <w:rFonts w:ascii="Helvetica" w:eastAsia="Helvetica" w:hAnsi="Helvetica" w:cs="Helvetica"/>
        </w:rPr>
        <w:tab/>
        <w:t xml:space="preserve">Immunity is a major fitness component which is regulated by diet </w:t>
      </w:r>
      <w:r>
        <w:rPr>
          <w:rFonts w:ascii="Helvetica"/>
        </w:rPr>
        <w:t xml:space="preserve">(Ponton </w:t>
      </w:r>
      <w:r>
        <w:rPr>
          <w:rFonts w:ascii="Helvetica"/>
          <w:i/>
        </w:rPr>
        <w:t>et al</w:t>
      </w:r>
      <w:r>
        <w:rPr>
          <w:rFonts w:ascii="Helvetica"/>
        </w:rPr>
        <w:t xml:space="preserve">, 2013; Simpson &amp; Raubenheimer, 2012; Clark </w:t>
      </w:r>
      <w:r>
        <w:rPr>
          <w:rFonts w:ascii="Helvetica"/>
          <w:i/>
        </w:rPr>
        <w:t>et al</w:t>
      </w:r>
      <w:r>
        <w:rPr>
          <w:rFonts w:ascii="Helvetica"/>
        </w:rPr>
        <w:t xml:space="preserve">, 2013; Unckless </w:t>
      </w:r>
      <w:r>
        <w:rPr>
          <w:rFonts w:ascii="Helvetica"/>
          <w:i/>
        </w:rPr>
        <w:t>et al</w:t>
      </w:r>
      <w:r>
        <w:rPr>
          <w:rFonts w:ascii="Helvetica"/>
        </w:rPr>
        <w:t>, 2015)</w:t>
      </w:r>
      <w:r>
        <w:rPr>
          <w:rFonts w:ascii="Helvetica" w:eastAsia="Helvetica" w:hAnsi="Helvetica" w:cs="Helvetica"/>
        </w:rPr>
        <w:t xml:space="preserve">, therefore our data can shed light on how diet changes the contribution of specific organs to organismal immunity. </w:t>
      </w:r>
      <w:r>
        <w:rPr>
          <w:rFonts w:ascii="Helvetica"/>
        </w:rPr>
        <w:t xml:space="preserve">GO analysis indicated that both DR and rapamycin down-regulated immunity in the fat body, but by contrast up-regulated similar GO terms in the gut. This is consistent with known roles of nutrition in immunity (Simpson &amp; Raubenheimer, 2012; Ponton </w:t>
      </w:r>
      <w:r>
        <w:rPr>
          <w:rFonts w:ascii="Helvetica"/>
          <w:i/>
        </w:rPr>
        <w:t>et al</w:t>
      </w:r>
      <w:r>
        <w:rPr>
          <w:rFonts w:ascii="Helvetica"/>
        </w:rPr>
        <w:t xml:space="preserve">, 2013; Clark </w:t>
      </w:r>
      <w:r>
        <w:rPr>
          <w:rFonts w:ascii="Helvetica"/>
          <w:i/>
        </w:rPr>
        <w:t>et al</w:t>
      </w:r>
      <w:r>
        <w:rPr>
          <w:rFonts w:ascii="Helvetica"/>
        </w:rPr>
        <w:t xml:space="preserve">, 2013; Howick &amp; Lazzaro, 2014; Unckless </w:t>
      </w:r>
      <w:r>
        <w:rPr>
          <w:rFonts w:ascii="Helvetica"/>
          <w:i/>
        </w:rPr>
        <w:t>et al</w:t>
      </w:r>
      <w:r>
        <w:rPr>
          <w:rFonts w:ascii="Helvetica"/>
        </w:rPr>
        <w:t xml:space="preserve">, 2015), and suggests that diet alters the contribution of specific organs to overall immunity. </w:t>
      </w:r>
      <w:r>
        <w:rPr>
          <w:rFonts w:ascii="Helvetica" w:eastAsia="Helvetica" w:hAnsi="Helvetica" w:cs="Helvetica"/>
        </w:rPr>
        <w:t xml:space="preserve">In particular, expression of secreted antimicrobials responded to DR/TOR, in a highly organ-specific fashion. The fat body is a major source of antimicrobials, and expression of </w:t>
      </w:r>
      <w:r>
        <w:rPr>
          <w:rFonts w:ascii="Helvetica" w:eastAsia="Helvetica" w:hAnsi="Helvetica" w:cs="Helvetica"/>
          <w:i/>
        </w:rPr>
        <w:t>Cecropin</w:t>
      </w:r>
      <w:r>
        <w:rPr>
          <w:rFonts w:ascii="Helvetica" w:eastAsia="Helvetica" w:hAnsi="Helvetica" w:cs="Helvetica"/>
        </w:rPr>
        <w:t xml:space="preserve">, </w:t>
      </w:r>
      <w:r>
        <w:rPr>
          <w:rFonts w:ascii="Helvetica" w:eastAsia="Helvetica" w:hAnsi="Helvetica" w:cs="Helvetica"/>
          <w:i/>
        </w:rPr>
        <w:t>Diptericin</w:t>
      </w:r>
      <w:r>
        <w:rPr>
          <w:rFonts w:ascii="Helvetica" w:eastAsia="Helvetica" w:hAnsi="Helvetica" w:cs="Helvetica"/>
        </w:rPr>
        <w:t xml:space="preserve">, </w:t>
      </w:r>
      <w:r>
        <w:rPr>
          <w:rFonts w:ascii="Helvetica" w:eastAsia="Helvetica" w:hAnsi="Helvetica" w:cs="Helvetica"/>
          <w:i/>
        </w:rPr>
        <w:t>Lysozyme X</w:t>
      </w:r>
      <w:r>
        <w:rPr>
          <w:rFonts w:ascii="Helvetica" w:eastAsia="Helvetica" w:hAnsi="Helvetica" w:cs="Helvetica"/>
        </w:rPr>
        <w:t xml:space="preserve">, </w:t>
      </w:r>
      <w:r>
        <w:rPr>
          <w:rFonts w:ascii="Helvetica" w:eastAsia="Helvetica" w:hAnsi="Helvetica" w:cs="Helvetica"/>
          <w:i/>
        </w:rPr>
        <w:t>Metchnikowin</w:t>
      </w:r>
      <w:r>
        <w:rPr>
          <w:rFonts w:ascii="Helvetica" w:eastAsia="Helvetica" w:hAnsi="Helvetica" w:cs="Helvetica"/>
        </w:rPr>
        <w:t xml:space="preserve">, </w:t>
      </w:r>
      <w:r>
        <w:rPr>
          <w:rFonts w:ascii="Helvetica" w:eastAsia="Helvetica" w:hAnsi="Helvetica" w:cs="Helvetica"/>
          <w:i/>
        </w:rPr>
        <w:t>Drosomycin-like 5</w:t>
      </w:r>
      <w:r>
        <w:rPr>
          <w:rFonts w:ascii="Helvetica" w:eastAsia="Helvetica" w:hAnsi="Helvetica" w:cs="Helvetica"/>
        </w:rPr>
        <w:t xml:space="preserve">, </w:t>
      </w:r>
      <w:r>
        <w:rPr>
          <w:rFonts w:ascii="Helvetica" w:eastAsia="Helvetica" w:hAnsi="Helvetica" w:cs="Helvetica"/>
          <w:i/>
        </w:rPr>
        <w:t xml:space="preserve">Attacin B </w:t>
      </w:r>
      <w:r>
        <w:rPr>
          <w:rFonts w:ascii="Helvetica" w:eastAsia="Helvetica" w:hAnsi="Helvetica" w:cs="Helvetica"/>
        </w:rPr>
        <w:t xml:space="preserve">and </w:t>
      </w:r>
      <w:r>
        <w:rPr>
          <w:rFonts w:ascii="Helvetica" w:eastAsia="Helvetica" w:hAnsi="Helvetica" w:cs="Helvetica"/>
          <w:i/>
        </w:rPr>
        <w:t>Attacin C</w:t>
      </w:r>
      <w:r>
        <w:rPr>
          <w:rFonts w:ascii="Helvetica" w:eastAsia="Helvetica" w:hAnsi="Helvetica" w:cs="Helvetica"/>
        </w:rPr>
        <w:t xml:space="preserve"> decreased after DR or rapamycin feeding. However, in the brain and thorax, immunity genes were downregulated by DR, but not by rapamycin. This suggests that systemic immunity may be determined by interplay of both nutrient availability and signalling, but immunity in specific tissues is determined by nutrient availability alone, and that some organs are selectively spared the immunosuppressive effect of reduced TOR signalling.</w:t>
      </w:r>
    </w:p>
    <w:p w14:paraId="306BC00E" w14:textId="77777777" w:rsidR="000A3F5A" w:rsidRDefault="000A3F5A" w:rsidP="000A3F5A">
      <w:pPr>
        <w:pStyle w:val="BodyA"/>
        <w:spacing w:line="360" w:lineRule="auto"/>
        <w:jc w:val="both"/>
        <w:rPr>
          <w:rFonts w:ascii="Helvetica" w:eastAsia="Helvetica" w:hAnsi="Helvetica" w:cs="Helvetica"/>
        </w:rPr>
      </w:pPr>
    </w:p>
    <w:p w14:paraId="30B3957B" w14:textId="77777777" w:rsidR="000A3F5A" w:rsidRDefault="000A3F5A" w:rsidP="000A3F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eastAsia="Helvetica" w:hAnsi="Helvetica" w:cs="Helvetica"/>
        </w:rPr>
      </w:pPr>
      <w:r w:rsidRPr="000C6938">
        <w:rPr>
          <w:rFonts w:ascii="Helvetica" w:eastAsia="Helvetica" w:hAnsi="Helvetica" w:cs="Helvetica"/>
          <w:i/>
          <w:color w:val="000000"/>
          <w:sz w:val="26"/>
          <w:u w:color="000000"/>
        </w:rPr>
        <w:t>Bibliography (Supplementary Text)</w:t>
      </w:r>
      <w:r>
        <w:rPr>
          <w:rFonts w:ascii="Helvetica" w:eastAsia="Helvetica" w:hAnsi="Helvetica" w:cs="Helvetica"/>
        </w:rPr>
        <w:br/>
      </w:r>
    </w:p>
    <w:p w14:paraId="747A5297" w14:textId="77777777" w:rsidR="000A3F5A" w:rsidRPr="001E4917" w:rsidRDefault="000A3F5A" w:rsidP="000A3F5A">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r w:rsidRPr="005D3A3D">
        <w:rPr>
          <w:rFonts w:ascii="Helvetica" w:eastAsia="Helvetica" w:hAnsi="Helvetica" w:cs="Helvetica"/>
        </w:rPr>
        <w:fldChar w:fldCharType="begin"/>
      </w:r>
      <w:r w:rsidRPr="001E4917">
        <w:rPr>
          <w:rFonts w:ascii="Helvetica" w:eastAsia="Helvetica" w:hAnsi="Helvetica" w:cs="Helvetica"/>
        </w:rPr>
        <w:instrText>ADDIN LABTIVA_BIBLIOGRAPHY \* MERGEFORMAT</w:instrText>
      </w:r>
      <w:r w:rsidRPr="005D3A3D">
        <w:rPr>
          <w:rFonts w:ascii="Helvetica" w:eastAsia="Helvetica" w:hAnsi="Helvetica" w:cs="Helvetica"/>
        </w:rPr>
        <w:fldChar w:fldCharType="separate"/>
      </w:r>
      <w:r w:rsidRPr="001E4917">
        <w:rPr>
          <w:rFonts w:ascii="Helvetica" w:hAnsi="Helvetica"/>
          <w:noProof/>
          <w:color w:val="000000"/>
        </w:rPr>
        <w:t xml:space="preserve">Alic N, Andrews DT, Giannakou ME, Papatheodorou I, Slack C, Hoddinott MP, Cochemé HM, Schuster EF, Thornton JM &amp; Partridge L (2011) Genome wide dFOXO targets and topology of the transcriptomic response to stress and insulin signalling. </w:t>
      </w:r>
      <w:r w:rsidRPr="001E4917">
        <w:rPr>
          <w:rFonts w:ascii="Helvetica" w:hAnsi="Helvetica"/>
          <w:i/>
          <w:iCs/>
          <w:noProof/>
          <w:color w:val="000000"/>
        </w:rPr>
        <w:t>Molecular Systems Biology</w:t>
      </w:r>
      <w:r w:rsidRPr="001E4917">
        <w:rPr>
          <w:rFonts w:ascii="Helvetica" w:hAnsi="Helvetica"/>
          <w:noProof/>
          <w:color w:val="000000"/>
        </w:rPr>
        <w:t xml:space="preserve"> </w:t>
      </w:r>
      <w:r w:rsidRPr="001E4917">
        <w:rPr>
          <w:rFonts w:ascii="Helvetica" w:hAnsi="Helvetica"/>
          <w:b/>
          <w:bCs/>
          <w:noProof/>
          <w:color w:val="000000"/>
        </w:rPr>
        <w:t>7:</w:t>
      </w:r>
      <w:r w:rsidRPr="001E4917">
        <w:rPr>
          <w:rFonts w:ascii="Helvetica" w:hAnsi="Helvetica"/>
          <w:noProof/>
          <w:color w:val="000000"/>
        </w:rPr>
        <w:t xml:space="preserve"> 502</w:t>
      </w:r>
    </w:p>
    <w:p w14:paraId="13BF72EE" w14:textId="77777777" w:rsidR="000A3F5A" w:rsidRPr="001E4917" w:rsidRDefault="000A3F5A" w:rsidP="000A3F5A">
      <w:pPr>
        <w:pStyle w:val="ListParagraph"/>
        <w:widowControl w:val="0"/>
        <w:numPr>
          <w:ilvl w:val="0"/>
          <w:numId w:val="1"/>
        </w:numPr>
        <w:autoSpaceDE w:val="0"/>
        <w:autoSpaceDN w:val="0"/>
        <w:adjustRightInd w:val="0"/>
        <w:rPr>
          <w:rFonts w:ascii="Helvetica" w:hAnsi="Helvetica"/>
          <w:noProof/>
        </w:rPr>
      </w:pPr>
      <w:r w:rsidRPr="001E4917">
        <w:rPr>
          <w:rFonts w:ascii="Helvetica" w:hAnsi="Helvetica"/>
          <w:noProof/>
        </w:rPr>
        <w:t xml:space="preserve">Carlson KA, Gardner K, Pashaj A, Carlson DJ, Yu F, Eudy JD, Zhang C &amp; Harshman LG (2015) Genome-Wide Gene Expression in relation to Age in Large Laboratory Cohorts of Drosophila melanogaster. </w:t>
      </w:r>
      <w:r w:rsidRPr="001E4917">
        <w:rPr>
          <w:rFonts w:ascii="Helvetica" w:hAnsi="Helvetica"/>
          <w:i/>
          <w:iCs/>
          <w:noProof/>
        </w:rPr>
        <w:t>Genet Res Int</w:t>
      </w:r>
      <w:r w:rsidRPr="001E4917">
        <w:rPr>
          <w:rFonts w:ascii="Helvetica" w:hAnsi="Helvetica"/>
          <w:noProof/>
        </w:rPr>
        <w:t xml:space="preserve"> </w:t>
      </w:r>
      <w:r w:rsidRPr="001E4917">
        <w:rPr>
          <w:rFonts w:ascii="Helvetica" w:hAnsi="Helvetica"/>
          <w:b/>
          <w:bCs/>
          <w:noProof/>
        </w:rPr>
        <w:t>2015:</w:t>
      </w:r>
      <w:r w:rsidRPr="001E4917">
        <w:rPr>
          <w:rFonts w:ascii="Helvetica" w:hAnsi="Helvetica"/>
          <w:noProof/>
        </w:rPr>
        <w:t xml:space="preserve"> 835624</w:t>
      </w:r>
    </w:p>
    <w:p w14:paraId="32A8C28B" w14:textId="77777777" w:rsidR="000A3F5A" w:rsidRPr="001E4917" w:rsidRDefault="000A3F5A" w:rsidP="000A3F5A">
      <w:pPr>
        <w:pStyle w:val="ListParagraph"/>
        <w:widowControl w:val="0"/>
        <w:numPr>
          <w:ilvl w:val="0"/>
          <w:numId w:val="1"/>
        </w:numPr>
        <w:autoSpaceDE w:val="0"/>
        <w:autoSpaceDN w:val="0"/>
        <w:adjustRightInd w:val="0"/>
        <w:rPr>
          <w:rFonts w:ascii="Helvetica" w:hAnsi="Helvetica"/>
          <w:noProof/>
        </w:rPr>
      </w:pPr>
      <w:r w:rsidRPr="001E4917">
        <w:rPr>
          <w:rFonts w:ascii="Helvetica" w:hAnsi="Helvetica"/>
          <w:noProof/>
        </w:rPr>
        <w:t xml:space="preserve">Clark RI, Tan S, Péan CB, Roostalu U, Vivancos V, Bronda K, Pilátová M, Fu J, Walker DW, Berdeaux R, Geissmann F &amp; Dionne MS (2013) MEF2 Is an In Vivo Immune-Metabolic Switch. </w:t>
      </w:r>
      <w:r w:rsidRPr="001E4917">
        <w:rPr>
          <w:rFonts w:ascii="Helvetica" w:hAnsi="Helvetica"/>
          <w:i/>
          <w:iCs/>
          <w:noProof/>
        </w:rPr>
        <w:t>Cell</w:t>
      </w:r>
      <w:r w:rsidRPr="001E4917">
        <w:rPr>
          <w:rFonts w:ascii="Helvetica" w:hAnsi="Helvetica"/>
          <w:noProof/>
        </w:rPr>
        <w:t xml:space="preserve"> </w:t>
      </w:r>
      <w:r w:rsidRPr="001E4917">
        <w:rPr>
          <w:rFonts w:ascii="Helvetica" w:hAnsi="Helvetica"/>
          <w:b/>
          <w:bCs/>
          <w:noProof/>
        </w:rPr>
        <w:t>155:</w:t>
      </w:r>
      <w:r w:rsidRPr="001E4917">
        <w:rPr>
          <w:rFonts w:ascii="Helvetica" w:hAnsi="Helvetica"/>
          <w:noProof/>
        </w:rPr>
        <w:t xml:space="preserve"> 1–13</w:t>
      </w:r>
    </w:p>
    <w:p w14:paraId="0F3C1D2D" w14:textId="77777777" w:rsidR="000A3F5A" w:rsidRPr="001E4917" w:rsidRDefault="000A3F5A" w:rsidP="000A3F5A">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r w:rsidRPr="001E4917">
        <w:rPr>
          <w:rFonts w:ascii="Helvetica" w:hAnsi="Helvetica"/>
          <w:noProof/>
          <w:color w:val="000000"/>
        </w:rPr>
        <w:t xml:space="preserve">Dutta D, Dobson A, Houtz P, Gläßer C, Revah J, Korzelius J, Patel P, Edgar B &amp; Buchon N (2015) Regional Cell-Specific Transcriptome Mapping Reveals Regulatory Complexity in the Adult Drosophila Midgut. </w:t>
      </w:r>
      <w:r w:rsidRPr="001E4917">
        <w:rPr>
          <w:rFonts w:ascii="Helvetica" w:hAnsi="Helvetica"/>
          <w:i/>
          <w:iCs/>
          <w:noProof/>
          <w:color w:val="000000"/>
        </w:rPr>
        <w:t>Cell Reports</w:t>
      </w:r>
    </w:p>
    <w:p w14:paraId="1037F030" w14:textId="77777777" w:rsidR="000A3F5A" w:rsidRPr="001E4917" w:rsidRDefault="000A3F5A" w:rsidP="000A3F5A">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r w:rsidRPr="001E4917">
        <w:rPr>
          <w:rFonts w:ascii="Helvetica" w:hAnsi="Helvetica"/>
          <w:noProof/>
          <w:color w:val="000000"/>
        </w:rPr>
        <w:t xml:space="preserve">Emran S, Yang M, He X, Zandveld J &amp; Piper MD (2014) Target of rapamycin signalling mediates the lifespan-extending effects of dietary restriction by essential amino acid alteration. </w:t>
      </w:r>
      <w:r w:rsidRPr="001E4917">
        <w:rPr>
          <w:rFonts w:ascii="Helvetica" w:hAnsi="Helvetica"/>
          <w:i/>
          <w:iCs/>
          <w:noProof/>
          <w:color w:val="000000"/>
        </w:rPr>
        <w:t>Aging</w:t>
      </w:r>
      <w:r w:rsidRPr="001E4917">
        <w:rPr>
          <w:rFonts w:ascii="Helvetica" w:hAnsi="Helvetica"/>
          <w:noProof/>
          <w:color w:val="000000"/>
        </w:rPr>
        <w:t xml:space="preserve"> </w:t>
      </w:r>
      <w:r w:rsidRPr="001E4917">
        <w:rPr>
          <w:rFonts w:ascii="Helvetica" w:hAnsi="Helvetica"/>
          <w:b/>
          <w:bCs/>
          <w:noProof/>
          <w:color w:val="000000"/>
        </w:rPr>
        <w:t>6:</w:t>
      </w:r>
      <w:r w:rsidRPr="001E4917">
        <w:rPr>
          <w:rFonts w:ascii="Helvetica" w:hAnsi="Helvetica"/>
          <w:noProof/>
          <w:color w:val="000000"/>
        </w:rPr>
        <w:t xml:space="preserve"> 390–8</w:t>
      </w:r>
    </w:p>
    <w:p w14:paraId="4D0614B0" w14:textId="77777777" w:rsidR="000A3F5A" w:rsidRPr="001E4917" w:rsidRDefault="000A3F5A" w:rsidP="000A3F5A">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r w:rsidRPr="001E4917">
        <w:rPr>
          <w:rFonts w:ascii="Helvetica" w:hAnsi="Helvetica"/>
          <w:noProof/>
          <w:color w:val="000000"/>
        </w:rPr>
        <w:t xml:space="preserve">Murphy CT, McCarroll SA, Bargmann CI, Fraser A, Kamath RS, Ahringer J, Li H &amp; Kenyon C (2003) Genes that act downstream of DAF-16 to influence the lifespan of Caenorhabditis elegans. </w:t>
      </w:r>
      <w:r w:rsidRPr="001E4917">
        <w:rPr>
          <w:rFonts w:ascii="Helvetica" w:hAnsi="Helvetica"/>
          <w:i/>
          <w:iCs/>
          <w:noProof/>
          <w:color w:val="000000"/>
        </w:rPr>
        <w:t>Nature</w:t>
      </w:r>
      <w:r w:rsidRPr="001E4917">
        <w:rPr>
          <w:rFonts w:ascii="Helvetica" w:hAnsi="Helvetica"/>
          <w:noProof/>
          <w:color w:val="000000"/>
        </w:rPr>
        <w:t xml:space="preserve"> </w:t>
      </w:r>
      <w:r w:rsidRPr="001E4917">
        <w:rPr>
          <w:rFonts w:ascii="Helvetica" w:hAnsi="Helvetica"/>
          <w:b/>
          <w:bCs/>
          <w:noProof/>
          <w:color w:val="000000"/>
        </w:rPr>
        <w:t>424:</w:t>
      </w:r>
      <w:r w:rsidRPr="001E4917">
        <w:rPr>
          <w:rFonts w:ascii="Helvetica" w:hAnsi="Helvetica"/>
          <w:noProof/>
          <w:color w:val="000000"/>
        </w:rPr>
        <w:t xml:space="preserve"> 277–284</w:t>
      </w:r>
    </w:p>
    <w:p w14:paraId="7D548710" w14:textId="77777777" w:rsidR="000A3F5A" w:rsidRPr="001E4917" w:rsidRDefault="000A3F5A" w:rsidP="000A3F5A">
      <w:pPr>
        <w:pStyle w:val="ListParagraph"/>
        <w:widowControl w:val="0"/>
        <w:numPr>
          <w:ilvl w:val="0"/>
          <w:numId w:val="1"/>
        </w:numPr>
        <w:autoSpaceDE w:val="0"/>
        <w:autoSpaceDN w:val="0"/>
        <w:adjustRightInd w:val="0"/>
        <w:rPr>
          <w:rFonts w:ascii="Helvetica" w:hAnsi="Helvetica"/>
          <w:noProof/>
        </w:rPr>
      </w:pPr>
      <w:r w:rsidRPr="001E4917">
        <w:rPr>
          <w:rFonts w:ascii="Helvetica" w:hAnsi="Helvetica"/>
          <w:noProof/>
        </w:rPr>
        <w:t xml:space="preserve">Ponton F, Wilson K, Holmes A, Cotter S, Raubenheimer D &amp; Simpson S (2013) Integrating nutrition and immunology: A new frontier. </w:t>
      </w:r>
      <w:r w:rsidRPr="001E4917">
        <w:rPr>
          <w:rFonts w:ascii="Helvetica" w:hAnsi="Helvetica"/>
          <w:i/>
          <w:iCs/>
          <w:noProof/>
        </w:rPr>
        <w:t>Journal of Insect Physiology</w:t>
      </w:r>
      <w:r w:rsidRPr="001E4917">
        <w:rPr>
          <w:rFonts w:ascii="Helvetica" w:hAnsi="Helvetica"/>
          <w:noProof/>
        </w:rPr>
        <w:t xml:space="preserve"> </w:t>
      </w:r>
      <w:r w:rsidRPr="001E4917">
        <w:rPr>
          <w:rFonts w:ascii="Helvetica" w:hAnsi="Helvetica"/>
          <w:b/>
          <w:bCs/>
          <w:noProof/>
        </w:rPr>
        <w:t>59:</w:t>
      </w:r>
      <w:r w:rsidRPr="001E4917">
        <w:rPr>
          <w:rFonts w:ascii="Helvetica" w:hAnsi="Helvetica"/>
          <w:noProof/>
        </w:rPr>
        <w:t xml:space="preserve"> 130-137</w:t>
      </w:r>
    </w:p>
    <w:p w14:paraId="2ECE7CEE" w14:textId="77777777" w:rsidR="000A3F5A" w:rsidRPr="001E4917" w:rsidRDefault="000A3F5A" w:rsidP="000A3F5A">
      <w:pPr>
        <w:pStyle w:val="ListParagraph"/>
        <w:widowControl w:val="0"/>
        <w:numPr>
          <w:ilvl w:val="0"/>
          <w:numId w:val="1"/>
        </w:numPr>
        <w:autoSpaceDE w:val="0"/>
        <w:autoSpaceDN w:val="0"/>
        <w:adjustRightInd w:val="0"/>
        <w:rPr>
          <w:rFonts w:ascii="Helvetica" w:hAnsi="Helvetica"/>
          <w:noProof/>
        </w:rPr>
      </w:pPr>
      <w:r w:rsidRPr="001E4917">
        <w:rPr>
          <w:rFonts w:ascii="Helvetica" w:hAnsi="Helvetica"/>
          <w:noProof/>
        </w:rPr>
        <w:t>Simpson SJ &amp; Raubenheimer D (2012) The Nature of Nutrition: a unifying framework from animal adaptation to human obesity. Princeton University Press</w:t>
      </w:r>
    </w:p>
    <w:p w14:paraId="429B83B6" w14:textId="77777777" w:rsidR="000A3F5A" w:rsidRPr="001E4917" w:rsidRDefault="000A3F5A" w:rsidP="000A3F5A">
      <w:pPr>
        <w:pStyle w:val="ListParagraph"/>
        <w:widowControl w:val="0"/>
        <w:numPr>
          <w:ilvl w:val="0"/>
          <w:numId w:val="1"/>
        </w:numPr>
        <w:autoSpaceDE w:val="0"/>
        <w:autoSpaceDN w:val="0"/>
        <w:adjustRightInd w:val="0"/>
        <w:rPr>
          <w:rFonts w:ascii="Helvetica" w:hAnsi="Helvetica"/>
          <w:noProof/>
        </w:rPr>
      </w:pPr>
      <w:r w:rsidRPr="001E4917">
        <w:rPr>
          <w:rFonts w:ascii="Helvetica" w:hAnsi="Helvetica"/>
          <w:noProof/>
        </w:rPr>
        <w:t xml:space="preserve">Unckless RL, Rottschaefer SM &amp; Lazzaro BP (2015) The Complex Contributions of Genetics and Nutrition to Immunity in Drosophila melanogaster. </w:t>
      </w:r>
      <w:r w:rsidRPr="001E4917">
        <w:rPr>
          <w:rFonts w:ascii="Helvetica" w:hAnsi="Helvetica"/>
          <w:i/>
          <w:iCs/>
          <w:noProof/>
        </w:rPr>
        <w:t>PLOS Genetics</w:t>
      </w:r>
      <w:r w:rsidRPr="001E4917">
        <w:rPr>
          <w:rFonts w:ascii="Helvetica" w:hAnsi="Helvetica"/>
          <w:noProof/>
        </w:rPr>
        <w:t xml:space="preserve"> </w:t>
      </w:r>
      <w:r w:rsidRPr="001E4917">
        <w:rPr>
          <w:rFonts w:ascii="Helvetica" w:hAnsi="Helvetica"/>
          <w:b/>
          <w:bCs/>
          <w:noProof/>
        </w:rPr>
        <w:t>11:</w:t>
      </w:r>
      <w:r w:rsidRPr="001E4917">
        <w:rPr>
          <w:rFonts w:ascii="Helvetica" w:hAnsi="Helvetica"/>
          <w:noProof/>
        </w:rPr>
        <w:t xml:space="preserve">  e1005030</w:t>
      </w:r>
    </w:p>
    <w:p w14:paraId="6318C15F" w14:textId="77777777" w:rsidR="000A3F5A" w:rsidRPr="001E4917" w:rsidRDefault="000A3F5A" w:rsidP="000A3F5A">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r w:rsidRPr="001E4917">
        <w:rPr>
          <w:rFonts w:ascii="Helvetica" w:hAnsi="Helvetica"/>
          <w:noProof/>
          <w:color w:val="000000"/>
        </w:rPr>
        <w:t xml:space="preserve">Whitaker R, Gil, Ding F, Tatar M, Helfand S &amp; Neretti N (2014) Dietary switch reveals fast coordinated gene expression changes in Drosophila melanogaster. </w:t>
      </w:r>
      <w:r w:rsidRPr="001E4917">
        <w:rPr>
          <w:rFonts w:ascii="Helvetica" w:hAnsi="Helvetica"/>
          <w:i/>
          <w:iCs/>
          <w:noProof/>
          <w:color w:val="000000"/>
        </w:rPr>
        <w:t>Aging</w:t>
      </w:r>
      <w:r w:rsidRPr="001E4917">
        <w:rPr>
          <w:rFonts w:ascii="Helvetica" w:hAnsi="Helvetica"/>
          <w:noProof/>
          <w:color w:val="000000"/>
        </w:rPr>
        <w:t xml:space="preserve"> </w:t>
      </w:r>
      <w:r w:rsidRPr="001E4917">
        <w:rPr>
          <w:rFonts w:ascii="Helvetica" w:hAnsi="Helvetica"/>
          <w:b/>
          <w:bCs/>
          <w:noProof/>
          <w:color w:val="000000"/>
        </w:rPr>
        <w:t>6:</w:t>
      </w:r>
      <w:r w:rsidRPr="001E4917">
        <w:rPr>
          <w:rFonts w:ascii="Helvetica" w:hAnsi="Helvetica"/>
          <w:noProof/>
          <w:color w:val="000000"/>
        </w:rPr>
        <w:t xml:space="preserve"> 355–68</w:t>
      </w:r>
    </w:p>
    <w:p w14:paraId="47BF34B3" w14:textId="77777777" w:rsidR="000A3F5A" w:rsidRPr="005D3A3D" w:rsidRDefault="000A3F5A" w:rsidP="000A3F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noProof/>
          <w:color w:val="000000"/>
        </w:rPr>
      </w:pPr>
    </w:p>
    <w:p w14:paraId="0D118DEC" w14:textId="26F6C292" w:rsidR="002A281F" w:rsidRDefault="000A3F5A">
      <w:r w:rsidRPr="005D3A3D">
        <w:rPr>
          <w:rFonts w:ascii="Helvetica" w:eastAsia="Helvetica" w:hAnsi="Helvetica" w:cs="Helvetica"/>
        </w:rPr>
        <w:fldChar w:fldCharType="end"/>
      </w:r>
      <w:bookmarkStart w:id="0" w:name="_GoBack"/>
      <w:bookmarkEnd w:id="0"/>
    </w:p>
    <w:sectPr w:rsidR="002A281F" w:rsidSect="002A28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82B45"/>
    <w:multiLevelType w:val="hybridMultilevel"/>
    <w:tmpl w:val="3EB29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E1"/>
    <w:rsid w:val="000A3F5A"/>
    <w:rsid w:val="002A281F"/>
    <w:rsid w:val="005876C3"/>
    <w:rsid w:val="008631B3"/>
    <w:rsid w:val="00895777"/>
    <w:rsid w:val="0097483D"/>
    <w:rsid w:val="009A5639"/>
    <w:rsid w:val="00A17206"/>
    <w:rsid w:val="00A967DC"/>
    <w:rsid w:val="00C60687"/>
    <w:rsid w:val="00CA456D"/>
    <w:rsid w:val="00CF4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F7AE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1"/>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CF41E1"/>
    <w:pPr>
      <w:pBdr>
        <w:top w:val="nil"/>
        <w:left w:val="nil"/>
        <w:bottom w:val="nil"/>
        <w:right w:val="nil"/>
        <w:between w:val="nil"/>
        <w:bar w:val="nil"/>
      </w:pBdr>
    </w:pPr>
    <w:rPr>
      <w:rFonts w:ascii="Cambria" w:eastAsia="Cambria" w:hAnsi="Cambria" w:cs="Cambria"/>
      <w:color w:val="000000"/>
      <w:u w:color="000000"/>
      <w:bdr w:val="nil"/>
    </w:rPr>
  </w:style>
  <w:style w:type="paragraph" w:customStyle="1" w:styleId="BodyB">
    <w:name w:val="Body B"/>
    <w:rsid w:val="00CF41E1"/>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styleId="BalloonText">
    <w:name w:val="Balloon Text"/>
    <w:basedOn w:val="Normal"/>
    <w:link w:val="BalloonTextChar"/>
    <w:uiPriority w:val="99"/>
    <w:semiHidden/>
    <w:unhideWhenUsed/>
    <w:rsid w:val="00CF4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1E1"/>
    <w:rPr>
      <w:rFonts w:ascii="Lucida Grande" w:eastAsia="Arial Unicode MS" w:hAnsi="Lucida Grande" w:cs="Lucida Grande"/>
      <w:sz w:val="18"/>
      <w:szCs w:val="18"/>
      <w:bdr w:val="nil"/>
    </w:rPr>
  </w:style>
  <w:style w:type="paragraph" w:styleId="ListParagraph">
    <w:name w:val="List Paragraph"/>
    <w:basedOn w:val="Normal"/>
    <w:uiPriority w:val="34"/>
    <w:qFormat/>
    <w:rsid w:val="000A3F5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1"/>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CF41E1"/>
    <w:pPr>
      <w:pBdr>
        <w:top w:val="nil"/>
        <w:left w:val="nil"/>
        <w:bottom w:val="nil"/>
        <w:right w:val="nil"/>
        <w:between w:val="nil"/>
        <w:bar w:val="nil"/>
      </w:pBdr>
    </w:pPr>
    <w:rPr>
      <w:rFonts w:ascii="Cambria" w:eastAsia="Cambria" w:hAnsi="Cambria" w:cs="Cambria"/>
      <w:color w:val="000000"/>
      <w:u w:color="000000"/>
      <w:bdr w:val="nil"/>
    </w:rPr>
  </w:style>
  <w:style w:type="paragraph" w:customStyle="1" w:styleId="BodyB">
    <w:name w:val="Body B"/>
    <w:rsid w:val="00CF41E1"/>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styleId="BalloonText">
    <w:name w:val="Balloon Text"/>
    <w:basedOn w:val="Normal"/>
    <w:link w:val="BalloonTextChar"/>
    <w:uiPriority w:val="99"/>
    <w:semiHidden/>
    <w:unhideWhenUsed/>
    <w:rsid w:val="00CF4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1E1"/>
    <w:rPr>
      <w:rFonts w:ascii="Lucida Grande" w:eastAsia="Arial Unicode MS" w:hAnsi="Lucida Grande" w:cs="Lucida Grande"/>
      <w:sz w:val="18"/>
      <w:szCs w:val="18"/>
      <w:bdr w:val="nil"/>
    </w:rPr>
  </w:style>
  <w:style w:type="paragraph" w:styleId="ListParagraph">
    <w:name w:val="List Paragraph"/>
    <w:basedOn w:val="Normal"/>
    <w:uiPriority w:val="34"/>
    <w:qFormat/>
    <w:rsid w:val="000A3F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2050</Words>
  <Characters>11691</Characters>
  <Application>Microsoft Macintosh Word</Application>
  <DocSecurity>0</DocSecurity>
  <Lines>97</Lines>
  <Paragraphs>27</Paragraphs>
  <ScaleCrop>false</ScaleCrop>
  <Company>UCL</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Dobson</dc:creator>
  <cp:keywords/>
  <dc:description/>
  <cp:lastModifiedBy>Adam Dobson</cp:lastModifiedBy>
  <cp:revision>3</cp:revision>
  <dcterms:created xsi:type="dcterms:W3CDTF">2016-08-18T08:56:00Z</dcterms:created>
  <dcterms:modified xsi:type="dcterms:W3CDTF">2016-08-18T08:56:00Z</dcterms:modified>
</cp:coreProperties>
</file>