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C9" w:rsidRDefault="00C74ECC" w:rsidP="00C253C9">
      <w:pPr>
        <w:spacing w:line="480" w:lineRule="auto"/>
        <w:jc w:val="both"/>
        <w:rPr>
          <w:rFonts w:ascii="Helvetica" w:hAnsi="Helvetica" w:cs="Arial"/>
          <w:b/>
          <w:sz w:val="20"/>
          <w:szCs w:val="20"/>
        </w:rPr>
      </w:pPr>
      <w:r w:rsidRPr="00C74ECC">
        <w:rPr>
          <w:rFonts w:ascii="Helvetica" w:hAnsi="Helvetica" w:cs="Arial"/>
          <w:b/>
          <w:sz w:val="20"/>
          <w:szCs w:val="20"/>
        </w:rPr>
        <w:t>Materials and Methods</w:t>
      </w:r>
    </w:p>
    <w:p w:rsidR="00C74ECC" w:rsidRPr="00C74ECC" w:rsidRDefault="00C74ECC" w:rsidP="00C253C9">
      <w:pPr>
        <w:spacing w:line="480" w:lineRule="auto"/>
        <w:jc w:val="both"/>
        <w:rPr>
          <w:rFonts w:ascii="Helvetica" w:hAnsi="Helvetica" w:cs="Arial"/>
          <w:b/>
          <w:sz w:val="20"/>
          <w:szCs w:val="20"/>
        </w:rPr>
      </w:pPr>
      <w:r>
        <w:rPr>
          <w:rFonts w:ascii="Helvetica" w:hAnsi="Helvetica" w:cs="Arial"/>
          <w:b/>
          <w:sz w:val="20"/>
          <w:szCs w:val="20"/>
        </w:rPr>
        <w:t>Communities and fermentation</w:t>
      </w:r>
    </w:p>
    <w:p w:rsidR="00C253C9" w:rsidRPr="00D610C5" w:rsidRDefault="00C253C9" w:rsidP="00C74ECC">
      <w:pPr>
        <w:spacing w:line="480" w:lineRule="auto"/>
        <w:jc w:val="both"/>
        <w:rPr>
          <w:rFonts w:ascii="Helvetica" w:hAnsi="Helvetica" w:cs="Arial"/>
          <w:sz w:val="20"/>
          <w:szCs w:val="20"/>
        </w:rPr>
      </w:pPr>
      <w:r w:rsidRPr="00D610C5">
        <w:rPr>
          <w:rFonts w:ascii="Helvetica" w:hAnsi="Helvetica" w:cs="Arial"/>
          <w:sz w:val="20"/>
          <w:szCs w:val="20"/>
        </w:rPr>
        <w:t xml:space="preserve">The communities used were collected from commercial operations, both from </w:t>
      </w:r>
      <w:r w:rsidR="00A514BA">
        <w:rPr>
          <w:rFonts w:ascii="Helvetica" w:hAnsi="Helvetica" w:cs="Arial"/>
          <w:sz w:val="20"/>
          <w:szCs w:val="20"/>
        </w:rPr>
        <w:t xml:space="preserve">anaerobic </w:t>
      </w:r>
      <w:proofErr w:type="spellStart"/>
      <w:r w:rsidR="00A514BA">
        <w:rPr>
          <w:rFonts w:ascii="Helvetica" w:hAnsi="Helvetica" w:cs="Arial"/>
          <w:sz w:val="20"/>
          <w:szCs w:val="20"/>
        </w:rPr>
        <w:t>digestors</w:t>
      </w:r>
      <w:proofErr w:type="spellEnd"/>
      <w:r w:rsidR="00A514BA">
        <w:rPr>
          <w:rFonts w:ascii="Helvetica" w:hAnsi="Helvetica" w:cs="Arial"/>
          <w:sz w:val="20"/>
          <w:szCs w:val="20"/>
        </w:rPr>
        <w:t xml:space="preserve"> (</w:t>
      </w:r>
      <w:r w:rsidRPr="00D610C5">
        <w:rPr>
          <w:rFonts w:ascii="Helvetica" w:hAnsi="Helvetica" w:cs="Arial"/>
          <w:sz w:val="20"/>
          <w:szCs w:val="20"/>
        </w:rPr>
        <w:t>AD plants</w:t>
      </w:r>
      <w:r w:rsidR="00A514BA">
        <w:rPr>
          <w:rFonts w:ascii="Helvetica" w:hAnsi="Helvetica" w:cs="Arial"/>
          <w:sz w:val="20"/>
          <w:szCs w:val="20"/>
        </w:rPr>
        <w:t>)</w:t>
      </w:r>
      <w:r w:rsidRPr="00D610C5">
        <w:rPr>
          <w:rFonts w:ascii="Helvetica" w:hAnsi="Helvetica" w:cs="Arial"/>
          <w:sz w:val="20"/>
          <w:szCs w:val="20"/>
        </w:rPr>
        <w:t xml:space="preserve"> and communities present in nature used to seed the AD plants. The </w:t>
      </w:r>
      <w:r w:rsidR="00B37BB4">
        <w:rPr>
          <w:rFonts w:ascii="Helvetica" w:hAnsi="Helvetica" w:cs="Arial"/>
          <w:sz w:val="20"/>
          <w:szCs w:val="20"/>
        </w:rPr>
        <w:t>source and</w:t>
      </w:r>
      <w:r w:rsidRPr="00D610C5">
        <w:rPr>
          <w:rFonts w:ascii="Helvetica" w:hAnsi="Helvetica" w:cs="Arial"/>
          <w:sz w:val="20"/>
          <w:szCs w:val="20"/>
        </w:rPr>
        <w:t xml:space="preserve"> types of communities </w:t>
      </w:r>
      <w:r w:rsidR="00B37BB4">
        <w:rPr>
          <w:rFonts w:ascii="Helvetica" w:hAnsi="Helvetica" w:cs="Arial"/>
          <w:sz w:val="20"/>
          <w:szCs w:val="20"/>
        </w:rPr>
        <w:t xml:space="preserve">used </w:t>
      </w:r>
      <w:r w:rsidRPr="00D610C5">
        <w:rPr>
          <w:rFonts w:ascii="Helvetica" w:hAnsi="Helvetica" w:cs="Arial"/>
          <w:sz w:val="20"/>
          <w:szCs w:val="20"/>
        </w:rPr>
        <w:t xml:space="preserve">can be found in Table 1. Communities </w:t>
      </w:r>
      <w:r w:rsidR="004E1DA4">
        <w:rPr>
          <w:rFonts w:ascii="Helvetica" w:hAnsi="Helvetica" w:cs="Arial"/>
          <w:sz w:val="20"/>
          <w:szCs w:val="20"/>
        </w:rPr>
        <w:t xml:space="preserve">were </w:t>
      </w:r>
      <w:r w:rsidRPr="00D610C5">
        <w:rPr>
          <w:rFonts w:ascii="Helvetica" w:hAnsi="Helvetica" w:cs="Arial"/>
          <w:sz w:val="20"/>
          <w:szCs w:val="20"/>
        </w:rPr>
        <w:t xml:space="preserve">stored at 4°C prior to use. </w:t>
      </w:r>
      <w:r w:rsidR="00B37BB4">
        <w:rPr>
          <w:rFonts w:ascii="Helvetica" w:hAnsi="Helvetica" w:cs="Arial"/>
          <w:sz w:val="20"/>
          <w:szCs w:val="20"/>
        </w:rPr>
        <w:t>For a</w:t>
      </w:r>
      <w:r w:rsidRPr="00D610C5">
        <w:rPr>
          <w:rFonts w:ascii="Helvetica" w:hAnsi="Helvetica" w:cs="Arial"/>
          <w:sz w:val="20"/>
          <w:szCs w:val="20"/>
        </w:rPr>
        <w:t>ll experiments</w:t>
      </w:r>
      <w:r w:rsidR="00B37BB4">
        <w:rPr>
          <w:rFonts w:ascii="Helvetica" w:hAnsi="Helvetica" w:cs="Arial"/>
          <w:sz w:val="20"/>
          <w:szCs w:val="20"/>
        </w:rPr>
        <w:t>, communities</w:t>
      </w:r>
      <w:r w:rsidRPr="00D610C5">
        <w:rPr>
          <w:rFonts w:ascii="Helvetica" w:hAnsi="Helvetica" w:cs="Arial"/>
          <w:sz w:val="20"/>
          <w:szCs w:val="20"/>
        </w:rPr>
        <w:t xml:space="preserve"> were grown in 500 ml bottles (600ml total volume with headspace; Duran) using </w:t>
      </w:r>
      <w:r w:rsidR="00B37BB4">
        <w:rPr>
          <w:rFonts w:ascii="Helvetica" w:hAnsi="Helvetica" w:cs="Arial"/>
          <w:sz w:val="20"/>
          <w:szCs w:val="20"/>
        </w:rPr>
        <w:t>the commercial</w:t>
      </w:r>
      <w:r w:rsidR="004E1DA4">
        <w:rPr>
          <w:rFonts w:ascii="Helvetica" w:hAnsi="Helvetica" w:cs="Arial"/>
          <w:sz w:val="20"/>
          <w:szCs w:val="20"/>
        </w:rPr>
        <w:t>ly available</w:t>
      </w:r>
      <w:r w:rsidR="00B37BB4">
        <w:rPr>
          <w:rFonts w:ascii="Helvetica" w:hAnsi="Helvetica" w:cs="Arial"/>
          <w:sz w:val="20"/>
          <w:szCs w:val="20"/>
        </w:rPr>
        <w:t xml:space="preserve"> </w:t>
      </w:r>
      <w:r w:rsidRPr="00D610C5">
        <w:rPr>
          <w:rFonts w:ascii="Helvetica" w:hAnsi="Helvetica" w:cs="Arial"/>
          <w:sz w:val="20"/>
          <w:szCs w:val="20"/>
        </w:rPr>
        <w:t>Automated Methane Potential Test System (AMPTS, Bioprocess Control Sweden AB) to measure CO</w:t>
      </w:r>
      <w:r w:rsidRPr="00D610C5">
        <w:rPr>
          <w:rFonts w:ascii="Helvetica" w:hAnsi="Helvetica" w:cs="Arial"/>
          <w:sz w:val="20"/>
          <w:szCs w:val="20"/>
          <w:vertAlign w:val="subscript"/>
        </w:rPr>
        <w:t>2</w:t>
      </w:r>
      <w:r w:rsidRPr="00D610C5">
        <w:rPr>
          <w:rFonts w:ascii="Helvetica" w:hAnsi="Helvetica" w:cs="Arial"/>
          <w:sz w:val="20"/>
          <w:szCs w:val="20"/>
        </w:rPr>
        <w:t xml:space="preserve">-stripped biogas production (referred to as methane in this paper). Samples were fed weekly </w:t>
      </w:r>
      <w:r w:rsidR="00BE045D">
        <w:rPr>
          <w:rFonts w:ascii="Helvetica" w:hAnsi="Helvetica" w:cs="Arial"/>
          <w:sz w:val="20"/>
          <w:szCs w:val="20"/>
        </w:rPr>
        <w:t xml:space="preserve">in a fed-batch mode </w:t>
      </w:r>
      <w:r w:rsidRPr="00D610C5">
        <w:rPr>
          <w:rFonts w:ascii="Helvetica" w:hAnsi="Helvetica" w:cs="Arial"/>
          <w:sz w:val="20"/>
          <w:szCs w:val="20"/>
        </w:rPr>
        <w:t>using a defined medium</w:t>
      </w:r>
      <w:r w:rsidR="00BE045D">
        <w:rPr>
          <w:rFonts w:ascii="Helvetica" w:hAnsi="Helvetica" w:cs="Arial"/>
          <w:sz w:val="20"/>
          <w:szCs w:val="20"/>
        </w:rPr>
        <w:t xml:space="preserve"> </w:t>
      </w:r>
      <w:r w:rsidR="00B37BB4">
        <w:rPr>
          <w:rFonts w:ascii="Helvetica" w:hAnsi="Helvetica" w:cs="Arial"/>
          <w:sz w:val="20"/>
          <w:szCs w:val="20"/>
        </w:rPr>
        <w:t>(see below for media composition)</w:t>
      </w:r>
      <w:r w:rsidRPr="00D610C5">
        <w:rPr>
          <w:rFonts w:ascii="Helvetica" w:hAnsi="Helvetica" w:cs="Arial"/>
          <w:sz w:val="20"/>
          <w:szCs w:val="20"/>
        </w:rPr>
        <w:t>.</w:t>
      </w:r>
      <w:r w:rsidR="00C74ECC">
        <w:rPr>
          <w:rFonts w:ascii="Helvetica" w:hAnsi="Helvetica" w:cs="Arial"/>
          <w:sz w:val="20"/>
          <w:szCs w:val="20"/>
        </w:rPr>
        <w:t xml:space="preserve"> </w:t>
      </w:r>
      <w:r w:rsidRPr="00D610C5">
        <w:rPr>
          <w:rFonts w:ascii="Helvetica" w:hAnsi="Helvetica" w:cs="Arial"/>
          <w:sz w:val="20"/>
          <w:szCs w:val="20"/>
        </w:rPr>
        <w:t>The communities from experiment</w:t>
      </w:r>
      <w:r w:rsidR="00527F95">
        <w:rPr>
          <w:rFonts w:ascii="Helvetica" w:hAnsi="Helvetica" w:cs="Arial"/>
          <w:sz w:val="20"/>
          <w:szCs w:val="20"/>
        </w:rPr>
        <w:t xml:space="preserve"> 1</w:t>
      </w:r>
      <w:r w:rsidRPr="00D610C5">
        <w:rPr>
          <w:rFonts w:ascii="Helvetica" w:hAnsi="Helvetica" w:cs="Arial"/>
          <w:sz w:val="20"/>
          <w:szCs w:val="20"/>
        </w:rPr>
        <w:t xml:space="preserve"> were </w:t>
      </w:r>
      <w:r w:rsidR="00527F95">
        <w:rPr>
          <w:rFonts w:ascii="Helvetica" w:hAnsi="Helvetica" w:cs="Arial"/>
          <w:sz w:val="20"/>
          <w:szCs w:val="20"/>
        </w:rPr>
        <w:t>equalised in terms</w:t>
      </w:r>
      <w:r w:rsidRPr="00D610C5">
        <w:rPr>
          <w:rFonts w:ascii="Helvetica" w:hAnsi="Helvetica" w:cs="Arial"/>
          <w:sz w:val="20"/>
          <w:szCs w:val="20"/>
        </w:rPr>
        <w:t xml:space="preserve"> of bacterial cells per gram </w:t>
      </w:r>
      <w:r w:rsidR="00527F95">
        <w:rPr>
          <w:rFonts w:ascii="Helvetica" w:hAnsi="Helvetica" w:cs="Arial"/>
          <w:sz w:val="20"/>
          <w:szCs w:val="20"/>
        </w:rPr>
        <w:t>of sample</w:t>
      </w:r>
      <w:r w:rsidR="004E1DA4">
        <w:rPr>
          <w:rFonts w:ascii="Helvetica" w:hAnsi="Helvetica" w:cs="Arial"/>
          <w:sz w:val="20"/>
          <w:szCs w:val="20"/>
        </w:rPr>
        <w:t xml:space="preserve"> </w:t>
      </w:r>
      <w:r w:rsidRPr="00D610C5">
        <w:rPr>
          <w:rFonts w:ascii="Helvetica" w:hAnsi="Helvetica" w:cs="Arial"/>
          <w:sz w:val="20"/>
          <w:szCs w:val="20"/>
        </w:rPr>
        <w:t>before inoculation</w:t>
      </w:r>
      <w:r w:rsidR="00527F95">
        <w:rPr>
          <w:rFonts w:ascii="Helvetica" w:hAnsi="Helvetica" w:cs="Arial"/>
          <w:sz w:val="20"/>
          <w:szCs w:val="20"/>
        </w:rPr>
        <w:t xml:space="preserve"> using M9 salts to dilute them to the community with the lowest cell density</w:t>
      </w:r>
      <w:r w:rsidRPr="00D610C5">
        <w:rPr>
          <w:rFonts w:ascii="Helvetica" w:hAnsi="Helvetica" w:cs="Arial"/>
          <w:sz w:val="20"/>
          <w:szCs w:val="20"/>
        </w:rPr>
        <w:t xml:space="preserve">, based on qPCR enumeration of 16S </w:t>
      </w:r>
      <w:r w:rsidR="004E1DA4">
        <w:rPr>
          <w:rFonts w:ascii="Helvetica" w:hAnsi="Helvetica" w:cs="Arial"/>
          <w:sz w:val="20"/>
          <w:szCs w:val="20"/>
        </w:rPr>
        <w:t>rRNA gene copies</w:t>
      </w:r>
      <w:r w:rsidRPr="00D610C5">
        <w:rPr>
          <w:rFonts w:ascii="Helvetica" w:hAnsi="Helvetica" w:cs="Arial"/>
          <w:sz w:val="20"/>
          <w:szCs w:val="20"/>
        </w:rPr>
        <w:t xml:space="preserve">. </w:t>
      </w:r>
      <w:r w:rsidR="00527F95">
        <w:rPr>
          <w:rFonts w:ascii="Helvetica" w:hAnsi="Helvetica" w:cs="Arial"/>
          <w:sz w:val="20"/>
          <w:szCs w:val="20"/>
        </w:rPr>
        <w:t>For experiments 2 and 3, s</w:t>
      </w:r>
      <w:r w:rsidR="0062561B">
        <w:rPr>
          <w:rFonts w:ascii="Helvetica" w:hAnsi="Helvetica" w:cs="Arial"/>
          <w:sz w:val="20"/>
          <w:szCs w:val="20"/>
        </w:rPr>
        <w:t xml:space="preserve">tarting 16S rRNA copy number was determined (but not equalised between communities) </w:t>
      </w:r>
      <w:r w:rsidR="00F37440">
        <w:rPr>
          <w:rFonts w:ascii="Helvetica" w:hAnsi="Helvetica" w:cs="Arial"/>
          <w:sz w:val="20"/>
          <w:szCs w:val="20"/>
        </w:rPr>
        <w:t>and</w:t>
      </w:r>
      <w:r w:rsidR="00527F95">
        <w:rPr>
          <w:rFonts w:ascii="Helvetica" w:hAnsi="Helvetica" w:cs="Arial"/>
          <w:sz w:val="20"/>
          <w:szCs w:val="20"/>
        </w:rPr>
        <w:t xml:space="preserve"> </w:t>
      </w:r>
      <w:r w:rsidR="0062561B">
        <w:rPr>
          <w:rFonts w:ascii="Helvetica" w:hAnsi="Helvetica" w:cs="Arial"/>
          <w:sz w:val="20"/>
          <w:szCs w:val="20"/>
        </w:rPr>
        <w:t>did not correlate with methane production.</w:t>
      </w:r>
      <w:r w:rsidRPr="00D610C5">
        <w:rPr>
          <w:rFonts w:ascii="Helvetica" w:hAnsi="Helvetica" w:cs="Arial"/>
          <w:sz w:val="20"/>
          <w:szCs w:val="20"/>
        </w:rPr>
        <w:t xml:space="preserve"> </w:t>
      </w:r>
      <w:r w:rsidR="00F37440">
        <w:rPr>
          <w:rFonts w:ascii="Helvetica" w:hAnsi="Helvetica" w:cs="Arial"/>
          <w:sz w:val="20"/>
          <w:szCs w:val="20"/>
        </w:rPr>
        <w:t>T</w:t>
      </w:r>
      <w:r w:rsidR="00527F95">
        <w:rPr>
          <w:rFonts w:ascii="Helvetica" w:hAnsi="Helvetica" w:cs="Arial"/>
          <w:sz w:val="20"/>
          <w:szCs w:val="20"/>
        </w:rPr>
        <w:t>he f</w:t>
      </w:r>
      <w:r w:rsidRPr="00D610C5">
        <w:rPr>
          <w:rFonts w:ascii="Helvetica" w:hAnsi="Helvetica" w:cs="Arial"/>
          <w:sz w:val="20"/>
          <w:szCs w:val="20"/>
        </w:rPr>
        <w:t xml:space="preserve">ermenters were </w:t>
      </w:r>
      <w:r w:rsidR="00F37440">
        <w:rPr>
          <w:rFonts w:ascii="Helvetica" w:hAnsi="Helvetica" w:cs="Arial"/>
          <w:sz w:val="20"/>
          <w:szCs w:val="20"/>
        </w:rPr>
        <w:t xml:space="preserve">inoculated with 275 g of sample and </w:t>
      </w:r>
      <w:r w:rsidRPr="00D610C5">
        <w:rPr>
          <w:rFonts w:ascii="Helvetica" w:hAnsi="Helvetica" w:cs="Arial"/>
          <w:sz w:val="20"/>
          <w:szCs w:val="20"/>
        </w:rPr>
        <w:t>fed with 25 ml of defined medium: meat extract 111.1 gl</w:t>
      </w:r>
      <w:r w:rsidRPr="00D610C5">
        <w:rPr>
          <w:rFonts w:ascii="Helvetica" w:hAnsi="Helvetica" w:cs="Arial"/>
          <w:sz w:val="20"/>
          <w:szCs w:val="20"/>
          <w:vertAlign w:val="superscript"/>
        </w:rPr>
        <w:t>-1</w:t>
      </w:r>
      <w:r w:rsidRPr="00D610C5">
        <w:rPr>
          <w:rFonts w:ascii="Helvetica" w:hAnsi="Helvetica" w:cs="Arial"/>
          <w:sz w:val="20"/>
          <w:szCs w:val="20"/>
        </w:rPr>
        <w:t>, cellulose 24.9 gl</w:t>
      </w:r>
      <w:r w:rsidRPr="00D610C5">
        <w:rPr>
          <w:rFonts w:ascii="Helvetica" w:hAnsi="Helvetica" w:cs="Arial"/>
          <w:sz w:val="20"/>
          <w:szCs w:val="20"/>
          <w:vertAlign w:val="superscript"/>
        </w:rPr>
        <w:t>-1</w:t>
      </w:r>
      <w:r w:rsidRPr="00D610C5">
        <w:rPr>
          <w:rFonts w:ascii="Helvetica" w:hAnsi="Helvetica" w:cs="Arial"/>
          <w:sz w:val="20"/>
          <w:szCs w:val="20"/>
        </w:rPr>
        <w:t>, starch 9.8 gl</w:t>
      </w:r>
      <w:r w:rsidRPr="00D610C5">
        <w:rPr>
          <w:rFonts w:ascii="Helvetica" w:hAnsi="Helvetica" w:cs="Arial"/>
          <w:sz w:val="20"/>
          <w:szCs w:val="20"/>
          <w:vertAlign w:val="superscript"/>
        </w:rPr>
        <w:t>-1</w:t>
      </w:r>
      <w:r w:rsidRPr="00D610C5">
        <w:rPr>
          <w:rFonts w:ascii="Helvetica" w:hAnsi="Helvetica" w:cs="Arial"/>
          <w:sz w:val="20"/>
          <w:szCs w:val="20"/>
        </w:rPr>
        <w:t xml:space="preserve"> glucose 0.89 gl</w:t>
      </w:r>
      <w:r w:rsidRPr="00D610C5">
        <w:rPr>
          <w:rFonts w:ascii="Helvetica" w:hAnsi="Helvetica" w:cs="Arial"/>
          <w:sz w:val="20"/>
          <w:szCs w:val="20"/>
          <w:vertAlign w:val="superscript"/>
        </w:rPr>
        <w:t>-1</w:t>
      </w:r>
      <w:r w:rsidRPr="00D610C5">
        <w:rPr>
          <w:rFonts w:ascii="Helvetica" w:hAnsi="Helvetica" w:cs="Arial"/>
          <w:sz w:val="20"/>
          <w:szCs w:val="20"/>
        </w:rPr>
        <w:t>, xylose 3.55 gl</w:t>
      </w:r>
      <w:r w:rsidRPr="00D610C5">
        <w:rPr>
          <w:rFonts w:ascii="Helvetica" w:hAnsi="Helvetica" w:cs="Arial"/>
          <w:sz w:val="20"/>
          <w:szCs w:val="20"/>
          <w:vertAlign w:val="superscript"/>
        </w:rPr>
        <w:t xml:space="preserve">-1 </w:t>
      </w:r>
      <w:r w:rsidRPr="00D610C5">
        <w:rPr>
          <w:rFonts w:ascii="Helvetica" w:hAnsi="Helvetica" w:cs="Arial"/>
          <w:sz w:val="20"/>
          <w:szCs w:val="20"/>
        </w:rPr>
        <w:t>(carbon to nitrogen ratio of 15:1) every week, starting with t</w:t>
      </w:r>
      <w:r w:rsidRPr="00D610C5">
        <w:rPr>
          <w:rFonts w:ascii="Helvetica" w:hAnsi="Helvetica" w:cs="Arial"/>
          <w:sz w:val="20"/>
          <w:szCs w:val="20"/>
          <w:vertAlign w:val="subscript"/>
        </w:rPr>
        <w:t>0</w:t>
      </w:r>
      <w:r w:rsidRPr="00D610C5">
        <w:rPr>
          <w:rFonts w:ascii="Helvetica" w:hAnsi="Helvetica" w:cs="Arial"/>
          <w:sz w:val="20"/>
          <w:szCs w:val="20"/>
        </w:rPr>
        <w:t>. Before the start of the fermentation, 0.3 mL of 1000x Trace Metal stock (1 gl</w:t>
      </w:r>
      <w:r w:rsidRPr="00D610C5">
        <w:rPr>
          <w:rFonts w:ascii="Helvetica" w:hAnsi="Helvetica" w:cs="Arial"/>
          <w:sz w:val="20"/>
          <w:szCs w:val="20"/>
          <w:vertAlign w:val="superscript"/>
        </w:rPr>
        <w:t>-1</w:t>
      </w:r>
      <w:r w:rsidRPr="00D610C5">
        <w:rPr>
          <w:rFonts w:ascii="Helvetica" w:hAnsi="Helvetica" w:cs="Arial"/>
          <w:sz w:val="20"/>
          <w:szCs w:val="20"/>
        </w:rPr>
        <w:t xml:space="preserve"> </w:t>
      </w:r>
      <w:r w:rsidRPr="00D610C5">
        <w:rPr>
          <w:rFonts w:ascii="Helvetica" w:hAnsi="Helvetica" w:cs="Arial"/>
          <w:sz w:val="20"/>
          <w:szCs w:val="20"/>
          <w:lang w:val="en-US"/>
        </w:rPr>
        <w:t>FeCl</w:t>
      </w:r>
      <w:r w:rsidRPr="00D610C5">
        <w:rPr>
          <w:rFonts w:ascii="Helvetica" w:hAnsi="Helvetica" w:cs="Arial"/>
          <w:sz w:val="20"/>
          <w:szCs w:val="20"/>
          <w:vertAlign w:val="subscript"/>
          <w:lang w:val="en-US"/>
        </w:rPr>
        <w:t>2</w:t>
      </w:r>
      <w:r w:rsidRPr="00D610C5">
        <w:rPr>
          <w:rFonts w:ascii="Helvetica" w:hAnsi="Helvetica" w:cs="Arial"/>
          <w:position w:val="-3"/>
          <w:sz w:val="20"/>
          <w:szCs w:val="20"/>
          <w:lang w:val="en-US"/>
        </w:rPr>
        <w:t xml:space="preserve"> </w:t>
      </w:r>
      <w:r w:rsidRPr="00D610C5">
        <w:rPr>
          <w:rFonts w:ascii="Helvetica" w:hAnsi="Helvetica" w:cs="Arial"/>
          <w:position w:val="5"/>
          <w:sz w:val="20"/>
          <w:szCs w:val="20"/>
          <w:lang w:val="en-US"/>
        </w:rPr>
        <w:t xml:space="preserve">. </w:t>
      </w:r>
      <w:r w:rsidRPr="00D610C5">
        <w:rPr>
          <w:rFonts w:ascii="Helvetica" w:hAnsi="Helvetica" w:cs="Arial"/>
          <w:sz w:val="20"/>
          <w:szCs w:val="20"/>
          <w:lang w:val="en-US"/>
        </w:rPr>
        <w:t>4H</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O, 0.5 </w:t>
      </w:r>
      <w:r w:rsidRPr="00D610C5">
        <w:rPr>
          <w:rFonts w:ascii="Helvetica" w:hAnsi="Helvetica" w:cs="Arial"/>
          <w:sz w:val="20"/>
          <w:szCs w:val="20"/>
        </w:rPr>
        <w:t>gl</w:t>
      </w:r>
      <w:r w:rsidRPr="00D610C5">
        <w:rPr>
          <w:rFonts w:ascii="Helvetica" w:hAnsi="Helvetica" w:cs="Arial"/>
          <w:sz w:val="20"/>
          <w:szCs w:val="20"/>
          <w:vertAlign w:val="superscript"/>
        </w:rPr>
        <w:t>-1</w:t>
      </w:r>
      <w:r w:rsidRPr="00D610C5">
        <w:rPr>
          <w:rFonts w:ascii="Helvetica" w:hAnsi="Helvetica" w:cs="Arial"/>
          <w:sz w:val="20"/>
          <w:szCs w:val="20"/>
          <w:lang w:val="en-US"/>
        </w:rPr>
        <w:t xml:space="preserve"> MnCl</w:t>
      </w:r>
      <w:r w:rsidRPr="00D610C5">
        <w:rPr>
          <w:rFonts w:ascii="Helvetica" w:hAnsi="Helvetica" w:cs="Arial"/>
          <w:sz w:val="20"/>
          <w:szCs w:val="20"/>
          <w:vertAlign w:val="subscript"/>
          <w:lang w:val="en-US"/>
        </w:rPr>
        <w:t>2</w:t>
      </w:r>
      <w:r w:rsidRPr="00D610C5">
        <w:rPr>
          <w:rFonts w:ascii="Helvetica" w:hAnsi="Helvetica" w:cs="Arial"/>
          <w:position w:val="-3"/>
          <w:sz w:val="20"/>
          <w:szCs w:val="20"/>
          <w:lang w:val="en-US"/>
        </w:rPr>
        <w:t xml:space="preserve"> </w:t>
      </w:r>
      <w:r w:rsidRPr="00D610C5">
        <w:rPr>
          <w:rFonts w:ascii="Helvetica" w:hAnsi="Helvetica" w:cs="Arial"/>
          <w:position w:val="5"/>
          <w:sz w:val="20"/>
          <w:szCs w:val="20"/>
          <w:lang w:val="en-US"/>
        </w:rPr>
        <w:t xml:space="preserve">. </w:t>
      </w:r>
      <w:r w:rsidRPr="00D610C5">
        <w:rPr>
          <w:rFonts w:ascii="Helvetica" w:hAnsi="Helvetica" w:cs="Arial"/>
          <w:sz w:val="20"/>
          <w:szCs w:val="20"/>
          <w:lang w:val="en-US"/>
        </w:rPr>
        <w:t>4H</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O, 0.3 </w:t>
      </w:r>
      <w:r w:rsidRPr="00D610C5">
        <w:rPr>
          <w:rFonts w:ascii="Helvetica" w:hAnsi="Helvetica" w:cs="Arial"/>
          <w:sz w:val="20"/>
          <w:szCs w:val="20"/>
        </w:rPr>
        <w:t>gl</w:t>
      </w:r>
      <w:r w:rsidRPr="00D610C5">
        <w:rPr>
          <w:rFonts w:ascii="Helvetica" w:hAnsi="Helvetica" w:cs="Arial"/>
          <w:sz w:val="20"/>
          <w:szCs w:val="20"/>
          <w:vertAlign w:val="superscript"/>
        </w:rPr>
        <w:t>-1</w:t>
      </w:r>
      <w:r w:rsidRPr="00D610C5">
        <w:rPr>
          <w:rFonts w:ascii="Helvetica" w:hAnsi="Helvetica" w:cs="Arial"/>
          <w:sz w:val="20"/>
          <w:szCs w:val="20"/>
          <w:lang w:val="en-US"/>
        </w:rPr>
        <w:t xml:space="preserve"> CoCl</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 </w:t>
      </w:r>
      <w:r w:rsidRPr="00D610C5">
        <w:rPr>
          <w:rFonts w:ascii="Helvetica" w:hAnsi="Helvetica" w:cs="Arial"/>
          <w:position w:val="5"/>
          <w:sz w:val="20"/>
          <w:szCs w:val="20"/>
          <w:lang w:val="en-US"/>
        </w:rPr>
        <w:t xml:space="preserve">. </w:t>
      </w:r>
      <w:r w:rsidRPr="00D610C5">
        <w:rPr>
          <w:rFonts w:ascii="Helvetica" w:hAnsi="Helvetica" w:cs="Arial"/>
          <w:sz w:val="20"/>
          <w:szCs w:val="20"/>
          <w:lang w:val="en-US"/>
        </w:rPr>
        <w:t>4H</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O, 0.2 </w:t>
      </w:r>
      <w:r w:rsidRPr="00D610C5">
        <w:rPr>
          <w:rFonts w:ascii="Helvetica" w:hAnsi="Helvetica" w:cs="Arial"/>
          <w:sz w:val="20"/>
          <w:szCs w:val="20"/>
        </w:rPr>
        <w:t>gl</w:t>
      </w:r>
      <w:r w:rsidRPr="00D610C5">
        <w:rPr>
          <w:rFonts w:ascii="Helvetica" w:hAnsi="Helvetica" w:cs="Arial"/>
          <w:sz w:val="20"/>
          <w:szCs w:val="20"/>
          <w:vertAlign w:val="superscript"/>
        </w:rPr>
        <w:t>-1</w:t>
      </w:r>
      <w:r w:rsidRPr="00D610C5">
        <w:rPr>
          <w:rFonts w:ascii="Helvetica" w:hAnsi="Helvetica" w:cs="Arial"/>
          <w:sz w:val="20"/>
          <w:szCs w:val="20"/>
          <w:lang w:val="en-US"/>
        </w:rPr>
        <w:t xml:space="preserve"> ZnCl</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 0.1 </w:t>
      </w:r>
      <w:r w:rsidRPr="00D610C5">
        <w:rPr>
          <w:rFonts w:ascii="Helvetica" w:hAnsi="Helvetica" w:cs="Arial"/>
          <w:sz w:val="20"/>
          <w:szCs w:val="20"/>
        </w:rPr>
        <w:t>gl</w:t>
      </w:r>
      <w:r w:rsidRPr="00D610C5">
        <w:rPr>
          <w:rFonts w:ascii="Helvetica" w:hAnsi="Helvetica" w:cs="Arial"/>
          <w:sz w:val="20"/>
          <w:szCs w:val="20"/>
          <w:vertAlign w:val="superscript"/>
        </w:rPr>
        <w:t>-1</w:t>
      </w:r>
      <w:r w:rsidRPr="00D610C5">
        <w:rPr>
          <w:rFonts w:ascii="Helvetica" w:hAnsi="Helvetica" w:cs="Arial"/>
          <w:sz w:val="20"/>
          <w:szCs w:val="20"/>
          <w:lang w:val="en-US"/>
        </w:rPr>
        <w:t xml:space="preserve"> NiSO</w:t>
      </w:r>
      <w:r w:rsidRPr="00D610C5">
        <w:rPr>
          <w:rFonts w:ascii="Helvetica" w:hAnsi="Helvetica" w:cs="Arial"/>
          <w:sz w:val="20"/>
          <w:szCs w:val="20"/>
          <w:vertAlign w:val="subscript"/>
          <w:lang w:val="en-US"/>
        </w:rPr>
        <w:t xml:space="preserve">4 </w:t>
      </w:r>
      <w:r w:rsidRPr="00D610C5">
        <w:rPr>
          <w:rFonts w:ascii="Helvetica" w:hAnsi="Helvetica" w:cs="Arial"/>
          <w:position w:val="5"/>
          <w:sz w:val="20"/>
          <w:szCs w:val="20"/>
          <w:lang w:val="en-US"/>
        </w:rPr>
        <w:t xml:space="preserve">. </w:t>
      </w:r>
      <w:r w:rsidRPr="00D610C5">
        <w:rPr>
          <w:rFonts w:ascii="Helvetica" w:hAnsi="Helvetica" w:cs="Arial"/>
          <w:sz w:val="20"/>
          <w:szCs w:val="20"/>
          <w:lang w:val="en-US"/>
        </w:rPr>
        <w:t>6H</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O, 0.05 </w:t>
      </w:r>
      <w:r w:rsidRPr="00D610C5">
        <w:rPr>
          <w:rFonts w:ascii="Helvetica" w:hAnsi="Helvetica" w:cs="Arial"/>
          <w:sz w:val="20"/>
          <w:szCs w:val="20"/>
        </w:rPr>
        <w:t>gl</w:t>
      </w:r>
      <w:r w:rsidRPr="00D610C5">
        <w:rPr>
          <w:rFonts w:ascii="Helvetica" w:hAnsi="Helvetica" w:cs="Arial"/>
          <w:sz w:val="20"/>
          <w:szCs w:val="20"/>
          <w:vertAlign w:val="superscript"/>
        </w:rPr>
        <w:t>-1</w:t>
      </w:r>
      <w:r w:rsidRPr="00D610C5">
        <w:rPr>
          <w:rFonts w:ascii="Helvetica" w:hAnsi="Helvetica" w:cs="Arial"/>
          <w:sz w:val="20"/>
          <w:szCs w:val="20"/>
          <w:lang w:val="en-US"/>
        </w:rPr>
        <w:t xml:space="preserve"> Na</w:t>
      </w:r>
      <w:r w:rsidRPr="00D610C5">
        <w:rPr>
          <w:rFonts w:ascii="Helvetica" w:hAnsi="Helvetica" w:cs="Arial"/>
          <w:sz w:val="20"/>
          <w:szCs w:val="20"/>
          <w:vertAlign w:val="subscript"/>
          <w:lang w:val="en-US"/>
        </w:rPr>
        <w:t>2</w:t>
      </w:r>
      <w:r w:rsidRPr="00D610C5">
        <w:rPr>
          <w:rFonts w:ascii="Helvetica" w:hAnsi="Helvetica" w:cs="Arial"/>
          <w:sz w:val="20"/>
          <w:szCs w:val="20"/>
          <w:lang w:val="en-US"/>
        </w:rPr>
        <w:t>MoO</w:t>
      </w:r>
      <w:r w:rsidRPr="00D610C5">
        <w:rPr>
          <w:rFonts w:ascii="Helvetica" w:hAnsi="Helvetica" w:cs="Arial"/>
          <w:sz w:val="20"/>
          <w:szCs w:val="20"/>
          <w:vertAlign w:val="subscript"/>
          <w:lang w:val="en-US"/>
        </w:rPr>
        <w:t>4</w:t>
      </w:r>
      <w:r w:rsidRPr="00D610C5">
        <w:rPr>
          <w:rFonts w:ascii="Helvetica" w:hAnsi="Helvetica" w:cs="Arial"/>
          <w:position w:val="-3"/>
          <w:sz w:val="20"/>
          <w:szCs w:val="20"/>
          <w:lang w:val="en-US"/>
        </w:rPr>
        <w:t xml:space="preserve"> </w:t>
      </w:r>
      <w:r w:rsidRPr="00D610C5">
        <w:rPr>
          <w:rFonts w:ascii="Helvetica" w:hAnsi="Helvetica" w:cs="Arial"/>
          <w:position w:val="5"/>
          <w:sz w:val="20"/>
          <w:szCs w:val="20"/>
          <w:lang w:val="en-US"/>
        </w:rPr>
        <w:t xml:space="preserve">. </w:t>
      </w:r>
      <w:r w:rsidRPr="00D610C5">
        <w:rPr>
          <w:rFonts w:ascii="Helvetica" w:hAnsi="Helvetica" w:cs="Arial"/>
          <w:sz w:val="20"/>
          <w:szCs w:val="20"/>
          <w:lang w:val="en-US"/>
        </w:rPr>
        <w:t>4H</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O, 0.02 </w:t>
      </w:r>
      <w:r w:rsidRPr="00D610C5">
        <w:rPr>
          <w:rFonts w:ascii="Helvetica" w:hAnsi="Helvetica" w:cs="Arial"/>
          <w:sz w:val="20"/>
          <w:szCs w:val="20"/>
        </w:rPr>
        <w:t>gl</w:t>
      </w:r>
      <w:r w:rsidRPr="00D610C5">
        <w:rPr>
          <w:rFonts w:ascii="Helvetica" w:hAnsi="Helvetica" w:cs="Arial"/>
          <w:sz w:val="20"/>
          <w:szCs w:val="20"/>
          <w:vertAlign w:val="superscript"/>
        </w:rPr>
        <w:t>-1</w:t>
      </w:r>
      <w:r w:rsidRPr="00D610C5">
        <w:rPr>
          <w:rFonts w:ascii="Helvetica" w:hAnsi="Helvetica" w:cs="Arial"/>
          <w:sz w:val="20"/>
          <w:szCs w:val="20"/>
          <w:lang w:val="en-US"/>
        </w:rPr>
        <w:t xml:space="preserve"> H</w:t>
      </w:r>
      <w:r w:rsidRPr="00D610C5">
        <w:rPr>
          <w:rFonts w:ascii="Helvetica" w:hAnsi="Helvetica" w:cs="Arial"/>
          <w:sz w:val="20"/>
          <w:szCs w:val="20"/>
          <w:vertAlign w:val="subscript"/>
          <w:lang w:val="en-US"/>
        </w:rPr>
        <w:t>3</w:t>
      </w:r>
      <w:r w:rsidRPr="00D610C5">
        <w:rPr>
          <w:rFonts w:ascii="Helvetica" w:hAnsi="Helvetica" w:cs="Arial"/>
          <w:sz w:val="20"/>
          <w:szCs w:val="20"/>
          <w:lang w:val="en-US"/>
        </w:rPr>
        <w:t>BO</w:t>
      </w:r>
      <w:r w:rsidRPr="00D610C5">
        <w:rPr>
          <w:rFonts w:ascii="Helvetica" w:hAnsi="Helvetica" w:cs="Arial"/>
          <w:sz w:val="20"/>
          <w:szCs w:val="20"/>
          <w:vertAlign w:val="subscript"/>
          <w:lang w:val="en-US"/>
        </w:rPr>
        <w:t>3</w:t>
      </w:r>
      <w:r w:rsidRPr="00D610C5">
        <w:rPr>
          <w:rFonts w:ascii="Helvetica" w:hAnsi="Helvetica" w:cs="Arial"/>
          <w:sz w:val="20"/>
          <w:szCs w:val="20"/>
          <w:lang w:val="en-US"/>
        </w:rPr>
        <w:t xml:space="preserve">, 0.008 </w:t>
      </w:r>
      <w:r w:rsidRPr="00D610C5">
        <w:rPr>
          <w:rFonts w:ascii="Helvetica" w:hAnsi="Helvetica" w:cs="Arial"/>
          <w:sz w:val="20"/>
          <w:szCs w:val="20"/>
        </w:rPr>
        <w:t>gl</w:t>
      </w:r>
      <w:r w:rsidRPr="00D610C5">
        <w:rPr>
          <w:rFonts w:ascii="Helvetica" w:hAnsi="Helvetica" w:cs="Arial"/>
          <w:sz w:val="20"/>
          <w:szCs w:val="20"/>
          <w:vertAlign w:val="superscript"/>
        </w:rPr>
        <w:t>-1</w:t>
      </w:r>
      <w:r w:rsidRPr="00D610C5">
        <w:rPr>
          <w:rFonts w:ascii="Helvetica" w:hAnsi="Helvetica" w:cs="Arial"/>
          <w:sz w:val="20"/>
          <w:szCs w:val="20"/>
          <w:lang w:val="en-US"/>
        </w:rPr>
        <w:t xml:space="preserve"> Na</w:t>
      </w:r>
      <w:r w:rsidRPr="00D610C5">
        <w:rPr>
          <w:rFonts w:ascii="Helvetica" w:hAnsi="Helvetica" w:cs="Arial"/>
          <w:sz w:val="20"/>
          <w:szCs w:val="20"/>
          <w:vertAlign w:val="subscript"/>
          <w:lang w:val="en-US"/>
        </w:rPr>
        <w:t>2</w:t>
      </w:r>
      <w:r w:rsidRPr="00D610C5">
        <w:rPr>
          <w:rFonts w:ascii="Helvetica" w:hAnsi="Helvetica" w:cs="Arial"/>
          <w:position w:val="-3"/>
          <w:sz w:val="20"/>
          <w:szCs w:val="20"/>
          <w:lang w:val="en-US"/>
        </w:rPr>
        <w:t xml:space="preserve"> </w:t>
      </w:r>
      <w:r w:rsidRPr="00D610C5">
        <w:rPr>
          <w:rFonts w:ascii="Helvetica" w:hAnsi="Helvetica" w:cs="Arial"/>
          <w:sz w:val="20"/>
          <w:szCs w:val="20"/>
          <w:lang w:val="en-US"/>
        </w:rPr>
        <w:t>WO</w:t>
      </w:r>
      <w:r w:rsidRPr="00D610C5">
        <w:rPr>
          <w:rFonts w:ascii="Helvetica" w:hAnsi="Helvetica" w:cs="Arial"/>
          <w:sz w:val="20"/>
          <w:szCs w:val="20"/>
          <w:vertAlign w:val="subscript"/>
          <w:lang w:val="en-US"/>
        </w:rPr>
        <w:t>4</w:t>
      </w:r>
      <w:r w:rsidRPr="00D610C5">
        <w:rPr>
          <w:rFonts w:ascii="Helvetica" w:hAnsi="Helvetica" w:cs="Arial"/>
          <w:position w:val="-3"/>
          <w:sz w:val="20"/>
          <w:szCs w:val="20"/>
          <w:lang w:val="en-US"/>
        </w:rPr>
        <w:t xml:space="preserve"> </w:t>
      </w:r>
      <w:r w:rsidRPr="00D610C5">
        <w:rPr>
          <w:rFonts w:ascii="Helvetica" w:hAnsi="Helvetica" w:cs="Arial"/>
          <w:position w:val="5"/>
          <w:sz w:val="20"/>
          <w:szCs w:val="20"/>
          <w:lang w:val="en-US"/>
        </w:rPr>
        <w:t xml:space="preserve">. </w:t>
      </w:r>
      <w:r w:rsidRPr="00D610C5">
        <w:rPr>
          <w:rFonts w:ascii="Helvetica" w:hAnsi="Helvetica" w:cs="Arial"/>
          <w:sz w:val="20"/>
          <w:szCs w:val="20"/>
          <w:lang w:val="en-US"/>
        </w:rPr>
        <w:t>2H</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O, 0.006 </w:t>
      </w:r>
      <w:r w:rsidRPr="00D610C5">
        <w:rPr>
          <w:rFonts w:ascii="Helvetica" w:hAnsi="Helvetica" w:cs="Arial"/>
          <w:sz w:val="20"/>
          <w:szCs w:val="20"/>
        </w:rPr>
        <w:t>gl</w:t>
      </w:r>
      <w:r w:rsidRPr="00D610C5">
        <w:rPr>
          <w:rFonts w:ascii="Helvetica" w:hAnsi="Helvetica" w:cs="Arial"/>
          <w:sz w:val="20"/>
          <w:szCs w:val="20"/>
          <w:vertAlign w:val="superscript"/>
        </w:rPr>
        <w:t>-1</w:t>
      </w:r>
      <w:r w:rsidRPr="00D610C5">
        <w:rPr>
          <w:rFonts w:ascii="Helvetica" w:hAnsi="Helvetica" w:cs="Arial"/>
          <w:sz w:val="20"/>
          <w:szCs w:val="20"/>
          <w:lang w:val="en-US"/>
        </w:rPr>
        <w:t xml:space="preserve"> Na</w:t>
      </w:r>
      <w:r w:rsidRPr="00D610C5">
        <w:rPr>
          <w:rFonts w:ascii="Helvetica" w:hAnsi="Helvetica" w:cs="Arial"/>
          <w:sz w:val="20"/>
          <w:szCs w:val="20"/>
          <w:vertAlign w:val="subscript"/>
          <w:lang w:val="en-US"/>
        </w:rPr>
        <w:t>2</w:t>
      </w:r>
      <w:r w:rsidRPr="00D610C5">
        <w:rPr>
          <w:rFonts w:ascii="Helvetica" w:hAnsi="Helvetica" w:cs="Arial"/>
          <w:sz w:val="20"/>
          <w:szCs w:val="20"/>
          <w:lang w:val="en-US"/>
        </w:rPr>
        <w:t>SeO</w:t>
      </w:r>
      <w:r w:rsidRPr="00D610C5">
        <w:rPr>
          <w:rFonts w:ascii="Helvetica" w:hAnsi="Helvetica" w:cs="Arial"/>
          <w:sz w:val="20"/>
          <w:szCs w:val="20"/>
          <w:vertAlign w:val="subscript"/>
          <w:lang w:val="en-US"/>
        </w:rPr>
        <w:t>3</w:t>
      </w:r>
      <w:r w:rsidRPr="00D610C5">
        <w:rPr>
          <w:rFonts w:ascii="Helvetica" w:hAnsi="Helvetica" w:cs="Arial"/>
          <w:position w:val="-3"/>
          <w:sz w:val="20"/>
          <w:szCs w:val="20"/>
          <w:lang w:val="en-US"/>
        </w:rPr>
        <w:t xml:space="preserve"> </w:t>
      </w:r>
      <w:r w:rsidRPr="00D610C5">
        <w:rPr>
          <w:rFonts w:ascii="Helvetica" w:hAnsi="Helvetica" w:cs="Arial"/>
          <w:position w:val="5"/>
          <w:sz w:val="20"/>
          <w:szCs w:val="20"/>
          <w:lang w:val="en-US"/>
        </w:rPr>
        <w:t xml:space="preserve">. </w:t>
      </w:r>
      <w:r w:rsidRPr="00D610C5">
        <w:rPr>
          <w:rFonts w:ascii="Helvetica" w:hAnsi="Helvetica" w:cs="Arial"/>
          <w:sz w:val="20"/>
          <w:szCs w:val="20"/>
          <w:lang w:val="en-US"/>
        </w:rPr>
        <w:t>5H</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O, 0.002 </w:t>
      </w:r>
      <w:r w:rsidRPr="00D610C5">
        <w:rPr>
          <w:rFonts w:ascii="Helvetica" w:hAnsi="Helvetica" w:cs="Arial"/>
          <w:sz w:val="20"/>
          <w:szCs w:val="20"/>
        </w:rPr>
        <w:t>gl</w:t>
      </w:r>
      <w:r w:rsidRPr="00D610C5">
        <w:rPr>
          <w:rFonts w:ascii="Helvetica" w:hAnsi="Helvetica" w:cs="Arial"/>
          <w:sz w:val="20"/>
          <w:szCs w:val="20"/>
          <w:vertAlign w:val="superscript"/>
        </w:rPr>
        <w:t>-1</w:t>
      </w:r>
      <w:r w:rsidRPr="00D610C5">
        <w:rPr>
          <w:rFonts w:ascii="Helvetica" w:hAnsi="Helvetica" w:cs="Arial"/>
          <w:sz w:val="20"/>
          <w:szCs w:val="20"/>
        </w:rPr>
        <w:t xml:space="preserve"> </w:t>
      </w:r>
      <w:r w:rsidRPr="00D610C5">
        <w:rPr>
          <w:rFonts w:ascii="Helvetica" w:hAnsi="Helvetica" w:cs="Arial"/>
          <w:sz w:val="20"/>
          <w:szCs w:val="20"/>
          <w:lang w:val="en-US"/>
        </w:rPr>
        <w:t>CuCl</w:t>
      </w:r>
      <w:r w:rsidRPr="00D610C5">
        <w:rPr>
          <w:rFonts w:ascii="Helvetica" w:hAnsi="Helvetica" w:cs="Arial"/>
          <w:sz w:val="20"/>
          <w:szCs w:val="20"/>
          <w:vertAlign w:val="subscript"/>
          <w:lang w:val="en-US"/>
        </w:rPr>
        <w:t>2</w:t>
      </w:r>
      <w:r w:rsidRPr="00D610C5">
        <w:rPr>
          <w:rFonts w:ascii="Helvetica" w:hAnsi="Helvetica" w:cs="Arial"/>
          <w:position w:val="-3"/>
          <w:sz w:val="20"/>
          <w:szCs w:val="20"/>
          <w:lang w:val="en-US"/>
        </w:rPr>
        <w:t xml:space="preserve"> </w:t>
      </w:r>
      <w:r w:rsidRPr="00D610C5">
        <w:rPr>
          <w:rFonts w:ascii="Helvetica" w:hAnsi="Helvetica" w:cs="Arial"/>
          <w:position w:val="5"/>
          <w:sz w:val="20"/>
          <w:szCs w:val="20"/>
          <w:lang w:val="en-US"/>
        </w:rPr>
        <w:t xml:space="preserve">. </w:t>
      </w:r>
      <w:r w:rsidRPr="00D610C5">
        <w:rPr>
          <w:rFonts w:ascii="Helvetica" w:hAnsi="Helvetica" w:cs="Arial"/>
          <w:sz w:val="20"/>
          <w:szCs w:val="20"/>
          <w:lang w:val="en-US"/>
        </w:rPr>
        <w:t>2H</w:t>
      </w:r>
      <w:r w:rsidRPr="00D610C5">
        <w:rPr>
          <w:rFonts w:ascii="Helvetica" w:hAnsi="Helvetica" w:cs="Arial"/>
          <w:sz w:val="20"/>
          <w:szCs w:val="20"/>
          <w:vertAlign w:val="subscript"/>
          <w:lang w:val="en-US"/>
        </w:rPr>
        <w:t>2</w:t>
      </w:r>
      <w:r w:rsidRPr="00D610C5">
        <w:rPr>
          <w:rFonts w:ascii="Helvetica" w:hAnsi="Helvetica" w:cs="Arial"/>
          <w:sz w:val="20"/>
          <w:szCs w:val="20"/>
          <w:lang w:val="en-US"/>
        </w:rPr>
        <w:t>O) w</w:t>
      </w:r>
      <w:r w:rsidR="009E6B5C">
        <w:rPr>
          <w:rFonts w:ascii="Helvetica" w:hAnsi="Helvetica" w:cs="Arial"/>
          <w:sz w:val="20"/>
          <w:szCs w:val="20"/>
          <w:lang w:val="en-US"/>
        </w:rPr>
        <w:t xml:space="preserve">as added to each fermenter. </w:t>
      </w:r>
      <w:r w:rsidR="0062561B">
        <w:rPr>
          <w:rFonts w:ascii="Helvetica" w:hAnsi="Helvetica" w:cs="Arial"/>
          <w:sz w:val="20"/>
          <w:szCs w:val="20"/>
          <w:lang w:val="en-US"/>
        </w:rPr>
        <w:t>Experiment 1</w:t>
      </w:r>
      <w:r w:rsidRPr="00D610C5">
        <w:rPr>
          <w:rFonts w:ascii="Helvetica" w:hAnsi="Helvetica" w:cs="Arial"/>
          <w:sz w:val="20"/>
          <w:szCs w:val="20"/>
          <w:lang w:val="en-US"/>
        </w:rPr>
        <w:t xml:space="preserve"> </w:t>
      </w:r>
      <w:r w:rsidR="00B37BB4">
        <w:rPr>
          <w:rFonts w:ascii="Helvetica" w:hAnsi="Helvetica" w:cs="Arial"/>
          <w:sz w:val="20"/>
          <w:szCs w:val="20"/>
          <w:lang w:val="en-US"/>
        </w:rPr>
        <w:t xml:space="preserve">(shown in Figure 1) </w:t>
      </w:r>
      <w:r w:rsidRPr="00D610C5">
        <w:rPr>
          <w:rFonts w:ascii="Helvetica" w:hAnsi="Helvetica" w:cs="Arial"/>
          <w:sz w:val="20"/>
          <w:szCs w:val="20"/>
          <w:lang w:val="en-US"/>
        </w:rPr>
        <w:t xml:space="preserve">ran for 5 weeks, </w:t>
      </w:r>
      <w:r w:rsidR="0062561B">
        <w:rPr>
          <w:rFonts w:ascii="Helvetica" w:hAnsi="Helvetica" w:cs="Arial"/>
          <w:sz w:val="20"/>
          <w:szCs w:val="20"/>
          <w:lang w:val="en-US"/>
        </w:rPr>
        <w:t xml:space="preserve">experiment 2 </w:t>
      </w:r>
      <w:r w:rsidR="00B37BB4">
        <w:rPr>
          <w:rFonts w:ascii="Helvetica" w:hAnsi="Helvetica" w:cs="Arial"/>
          <w:sz w:val="20"/>
          <w:szCs w:val="20"/>
          <w:lang w:val="en-US"/>
        </w:rPr>
        <w:t xml:space="preserve">(shown in Figure </w:t>
      </w:r>
      <w:r w:rsidR="00A514BA">
        <w:rPr>
          <w:rFonts w:ascii="Helvetica" w:hAnsi="Helvetica" w:cs="Arial"/>
          <w:sz w:val="20"/>
          <w:szCs w:val="20"/>
          <w:lang w:val="en-US"/>
        </w:rPr>
        <w:t>2</w:t>
      </w:r>
      <w:r w:rsidR="00B37BB4">
        <w:rPr>
          <w:rFonts w:ascii="Helvetica" w:hAnsi="Helvetica" w:cs="Arial"/>
          <w:sz w:val="20"/>
          <w:szCs w:val="20"/>
          <w:lang w:val="en-US"/>
        </w:rPr>
        <w:t xml:space="preserve">) </w:t>
      </w:r>
      <w:r w:rsidRPr="00D610C5">
        <w:rPr>
          <w:rFonts w:ascii="Helvetica" w:hAnsi="Helvetica" w:cs="Arial"/>
          <w:sz w:val="20"/>
          <w:szCs w:val="20"/>
          <w:lang w:val="en-US"/>
        </w:rPr>
        <w:t xml:space="preserve">for 6 weeks and </w:t>
      </w:r>
      <w:r w:rsidR="0062561B">
        <w:rPr>
          <w:rFonts w:ascii="Helvetica" w:hAnsi="Helvetica" w:cs="Arial"/>
          <w:sz w:val="20"/>
          <w:szCs w:val="20"/>
          <w:lang w:val="en-US"/>
        </w:rPr>
        <w:t xml:space="preserve">experiment 3 </w:t>
      </w:r>
      <w:r w:rsidRPr="00D610C5">
        <w:rPr>
          <w:rFonts w:ascii="Helvetica" w:hAnsi="Helvetica" w:cs="Arial"/>
          <w:sz w:val="20"/>
          <w:szCs w:val="20"/>
          <w:lang w:val="en-US"/>
        </w:rPr>
        <w:t xml:space="preserve"> </w:t>
      </w:r>
      <w:r w:rsidR="00B37BB4">
        <w:rPr>
          <w:rFonts w:ascii="Helvetica" w:hAnsi="Helvetica" w:cs="Arial"/>
          <w:sz w:val="20"/>
          <w:szCs w:val="20"/>
          <w:lang w:val="en-US"/>
        </w:rPr>
        <w:t xml:space="preserve">(shown in Figure </w:t>
      </w:r>
      <w:r w:rsidR="00A514BA">
        <w:rPr>
          <w:rFonts w:ascii="Helvetica" w:hAnsi="Helvetica" w:cs="Arial"/>
          <w:sz w:val="20"/>
          <w:szCs w:val="20"/>
          <w:lang w:val="en-US"/>
        </w:rPr>
        <w:t>4</w:t>
      </w:r>
      <w:r w:rsidR="00B37BB4">
        <w:rPr>
          <w:rFonts w:ascii="Helvetica" w:hAnsi="Helvetica" w:cs="Arial"/>
          <w:sz w:val="20"/>
          <w:szCs w:val="20"/>
          <w:lang w:val="en-US"/>
        </w:rPr>
        <w:t xml:space="preserve">) </w:t>
      </w:r>
      <w:r w:rsidRPr="00D610C5">
        <w:rPr>
          <w:rFonts w:ascii="Helvetica" w:hAnsi="Helvetica" w:cs="Arial"/>
          <w:sz w:val="20"/>
          <w:szCs w:val="20"/>
          <w:lang w:val="en-US"/>
        </w:rPr>
        <w:t xml:space="preserve">for </w:t>
      </w:r>
      <w:r w:rsidR="00A514BA">
        <w:rPr>
          <w:rFonts w:ascii="Helvetica" w:hAnsi="Helvetica" w:cs="Arial"/>
          <w:sz w:val="20"/>
          <w:szCs w:val="20"/>
          <w:lang w:val="en-US"/>
        </w:rPr>
        <w:t>5</w:t>
      </w:r>
      <w:r w:rsidRPr="00D610C5">
        <w:rPr>
          <w:rFonts w:ascii="Helvetica" w:hAnsi="Helvetica" w:cs="Arial"/>
          <w:sz w:val="20"/>
          <w:szCs w:val="20"/>
          <w:lang w:val="en-US"/>
        </w:rPr>
        <w:t xml:space="preserve"> weeks. </w:t>
      </w: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lang w:val="en-US"/>
        </w:rPr>
      </w:pPr>
    </w:p>
    <w:p w:rsidR="00C253C9" w:rsidRPr="00D610C5" w:rsidRDefault="00C253C9" w:rsidP="00C253C9">
      <w:pPr>
        <w:widowControl w:val="0"/>
        <w:autoSpaceDE w:val="0"/>
        <w:autoSpaceDN w:val="0"/>
        <w:adjustRightInd w:val="0"/>
        <w:spacing w:line="480" w:lineRule="auto"/>
        <w:jc w:val="both"/>
        <w:rPr>
          <w:rFonts w:ascii="Helvetica" w:hAnsi="Helvetica" w:cs="Arial"/>
          <w:b/>
          <w:sz w:val="20"/>
          <w:szCs w:val="20"/>
          <w:lang w:val="en-US"/>
        </w:rPr>
      </w:pPr>
      <w:r w:rsidRPr="00D610C5">
        <w:rPr>
          <w:rFonts w:ascii="Helvetica" w:hAnsi="Helvetica" w:cs="Arial"/>
          <w:b/>
          <w:sz w:val="20"/>
          <w:szCs w:val="20"/>
          <w:lang w:val="en-US"/>
        </w:rPr>
        <w:t>Measuring methane content of Biogas</w:t>
      </w: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lang w:val="en-US"/>
        </w:rPr>
      </w:pPr>
      <w:r w:rsidRPr="00D610C5">
        <w:rPr>
          <w:rFonts w:ascii="Helvetica" w:hAnsi="Helvetica" w:cs="Arial"/>
          <w:sz w:val="20"/>
          <w:szCs w:val="20"/>
          <w:lang w:val="en-US"/>
        </w:rPr>
        <w:t xml:space="preserve">All resulting lab-scale reactors inoculated with the samples were </w:t>
      </w:r>
      <w:r w:rsidR="00A514BA">
        <w:rPr>
          <w:rFonts w:ascii="Helvetica" w:hAnsi="Helvetica" w:cs="Arial"/>
          <w:sz w:val="20"/>
          <w:szCs w:val="20"/>
          <w:lang w:val="en-US"/>
        </w:rPr>
        <w:t>run</w:t>
      </w:r>
      <w:r w:rsidRPr="00D610C5">
        <w:rPr>
          <w:rFonts w:ascii="Helvetica" w:hAnsi="Helvetica" w:cs="Arial"/>
          <w:sz w:val="20"/>
          <w:szCs w:val="20"/>
          <w:lang w:val="en-US"/>
        </w:rPr>
        <w:t xml:space="preserve"> at 37°C using the AMPTS. The AMPTS system measures the volume of biogas produced following stripping of CO</w:t>
      </w:r>
      <w:r w:rsidRPr="00D610C5">
        <w:rPr>
          <w:rFonts w:ascii="Helvetica" w:hAnsi="Helvetica" w:cs="Arial"/>
          <w:sz w:val="20"/>
          <w:szCs w:val="20"/>
          <w:vertAlign w:val="subscript"/>
          <w:lang w:val="en-US"/>
        </w:rPr>
        <w:t>2</w:t>
      </w:r>
      <w:r w:rsidRPr="00D610C5">
        <w:rPr>
          <w:rFonts w:ascii="Helvetica" w:hAnsi="Helvetica" w:cs="Arial"/>
          <w:sz w:val="20"/>
          <w:szCs w:val="20"/>
          <w:lang w:val="en-US"/>
        </w:rPr>
        <w:t xml:space="preserve"> from the produced gas. </w:t>
      </w:r>
      <w:r w:rsidR="00F37440">
        <w:rPr>
          <w:rFonts w:ascii="Helvetica" w:hAnsi="Helvetica" w:cs="Arial"/>
          <w:sz w:val="20"/>
          <w:szCs w:val="20"/>
          <w:lang w:val="en-US"/>
        </w:rPr>
        <w:t>W</w:t>
      </w:r>
      <w:r w:rsidR="0062561B">
        <w:rPr>
          <w:rFonts w:ascii="Helvetica" w:hAnsi="Helvetica" w:cs="Arial"/>
          <w:sz w:val="20"/>
          <w:szCs w:val="20"/>
          <w:lang w:val="en-US"/>
        </w:rPr>
        <w:t>e have confirmed</w:t>
      </w:r>
      <w:r w:rsidR="00FF04CA">
        <w:rPr>
          <w:rFonts w:ascii="Helvetica" w:hAnsi="Helvetica" w:cs="Arial"/>
          <w:sz w:val="20"/>
          <w:szCs w:val="20"/>
          <w:lang w:val="en-US"/>
        </w:rPr>
        <w:t xml:space="preserve"> </w:t>
      </w:r>
      <w:r w:rsidRPr="00D610C5">
        <w:rPr>
          <w:rFonts w:ascii="Helvetica" w:hAnsi="Helvetica" w:cs="Arial"/>
          <w:sz w:val="20"/>
          <w:szCs w:val="20"/>
          <w:lang w:val="en-US"/>
        </w:rPr>
        <w:t>that the measured biogas is &gt;95% methane</w:t>
      </w:r>
      <w:r w:rsidR="00F37440">
        <w:rPr>
          <w:rFonts w:ascii="Helvetica" w:hAnsi="Helvetica" w:cs="Arial"/>
          <w:sz w:val="20"/>
          <w:szCs w:val="20"/>
          <w:lang w:val="en-US"/>
        </w:rPr>
        <w:t xml:space="preserve"> using GC-FID</w:t>
      </w:r>
      <w:r w:rsidRPr="00D610C5">
        <w:rPr>
          <w:rFonts w:ascii="Helvetica" w:hAnsi="Helvetica" w:cs="Arial"/>
          <w:sz w:val="20"/>
          <w:szCs w:val="20"/>
          <w:lang w:val="en-US"/>
        </w:rPr>
        <w:t xml:space="preserve">. </w:t>
      </w: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lang w:val="en-US"/>
        </w:rPr>
      </w:pPr>
    </w:p>
    <w:p w:rsidR="00C253C9" w:rsidRPr="00D610C5" w:rsidRDefault="00C253C9" w:rsidP="00C253C9">
      <w:pPr>
        <w:widowControl w:val="0"/>
        <w:autoSpaceDE w:val="0"/>
        <w:autoSpaceDN w:val="0"/>
        <w:adjustRightInd w:val="0"/>
        <w:spacing w:line="480" w:lineRule="auto"/>
        <w:jc w:val="both"/>
        <w:rPr>
          <w:rFonts w:ascii="Helvetica" w:hAnsi="Helvetica" w:cs="Arial"/>
          <w:b/>
          <w:sz w:val="20"/>
          <w:szCs w:val="20"/>
          <w:lang w:val="en-US"/>
        </w:rPr>
      </w:pPr>
      <w:r w:rsidRPr="00D610C5">
        <w:rPr>
          <w:rFonts w:ascii="Helvetica" w:hAnsi="Helvetica" w:cs="Arial"/>
          <w:b/>
          <w:sz w:val="20"/>
          <w:szCs w:val="20"/>
          <w:lang w:val="en-US"/>
        </w:rPr>
        <w:t>DNA extraction, amplicon library construction and sequencing</w:t>
      </w:r>
    </w:p>
    <w:p w:rsidR="009E6B5C" w:rsidRPr="009E6B5C" w:rsidRDefault="009E6B5C" w:rsidP="009E6B5C">
      <w:pPr>
        <w:spacing w:line="480" w:lineRule="auto"/>
        <w:jc w:val="both"/>
        <w:rPr>
          <w:rFonts w:ascii="Helvetica" w:hAnsi="Helvetica"/>
          <w:sz w:val="20"/>
          <w:szCs w:val="20"/>
        </w:rPr>
      </w:pPr>
      <w:r w:rsidRPr="009E6B5C">
        <w:rPr>
          <w:rFonts w:ascii="Helvetica" w:hAnsi="Helvetica"/>
          <w:sz w:val="20"/>
          <w:szCs w:val="20"/>
        </w:rPr>
        <w:t xml:space="preserve">DNA for 16S </w:t>
      </w:r>
      <w:r w:rsidR="00E92C12">
        <w:rPr>
          <w:rFonts w:ascii="Helvetica" w:hAnsi="Helvetica"/>
          <w:sz w:val="20"/>
          <w:szCs w:val="20"/>
        </w:rPr>
        <w:t xml:space="preserve">rRNA gene </w:t>
      </w:r>
      <w:r w:rsidRPr="009E6B5C">
        <w:rPr>
          <w:rFonts w:ascii="Helvetica" w:hAnsi="Helvetica"/>
          <w:sz w:val="20"/>
          <w:szCs w:val="20"/>
        </w:rPr>
        <w:t>amplicon sequencing</w:t>
      </w:r>
      <w:r w:rsidR="00F37440">
        <w:rPr>
          <w:rFonts w:ascii="Helvetica" w:hAnsi="Helvetica"/>
          <w:sz w:val="20"/>
          <w:szCs w:val="20"/>
        </w:rPr>
        <w:t xml:space="preserve"> </w:t>
      </w:r>
      <w:r w:rsidRPr="009E6B5C">
        <w:rPr>
          <w:rFonts w:ascii="Helvetica" w:hAnsi="Helvetica"/>
          <w:sz w:val="20"/>
          <w:szCs w:val="20"/>
        </w:rPr>
        <w:t xml:space="preserve">was extracted </w:t>
      </w:r>
      <w:proofErr w:type="gramStart"/>
      <w:r w:rsidRPr="009E6B5C">
        <w:rPr>
          <w:rFonts w:ascii="Helvetica" w:hAnsi="Helvetica"/>
          <w:sz w:val="20"/>
          <w:szCs w:val="20"/>
        </w:rPr>
        <w:t xml:space="preserve">using </w:t>
      </w:r>
      <w:r w:rsidR="00FF04CA" w:rsidRPr="009E6B5C">
        <w:rPr>
          <w:rFonts w:ascii="Helvetica" w:hAnsi="Helvetica"/>
          <w:sz w:val="20"/>
          <w:szCs w:val="20"/>
        </w:rPr>
        <w:t xml:space="preserve"> </w:t>
      </w:r>
      <w:proofErr w:type="spellStart"/>
      <w:r w:rsidRPr="009E6B5C">
        <w:rPr>
          <w:rFonts w:ascii="Helvetica" w:hAnsi="Helvetica"/>
          <w:sz w:val="20"/>
          <w:szCs w:val="20"/>
        </w:rPr>
        <w:t>QIAamp</w:t>
      </w:r>
      <w:proofErr w:type="spellEnd"/>
      <w:proofErr w:type="gramEnd"/>
      <w:r w:rsidRPr="009E6B5C">
        <w:rPr>
          <w:rFonts w:ascii="Helvetica" w:hAnsi="Helvetica"/>
          <w:sz w:val="20"/>
          <w:szCs w:val="20"/>
        </w:rPr>
        <w:t xml:space="preserve"> DNA Stool Mini Kit (QIAGEN) </w:t>
      </w:r>
      <w:r w:rsidR="00F37440">
        <w:rPr>
          <w:rFonts w:ascii="Helvetica" w:hAnsi="Helvetica"/>
          <w:sz w:val="20"/>
          <w:szCs w:val="20"/>
        </w:rPr>
        <w:t>or</w:t>
      </w:r>
      <w:r w:rsidR="00F37440" w:rsidRPr="009E6B5C">
        <w:rPr>
          <w:rFonts w:ascii="Helvetica" w:hAnsi="Helvetica"/>
          <w:sz w:val="20"/>
          <w:szCs w:val="20"/>
        </w:rPr>
        <w:t xml:space="preserve"> </w:t>
      </w:r>
      <w:r w:rsidRPr="009E6B5C">
        <w:rPr>
          <w:rFonts w:ascii="Helvetica" w:hAnsi="Helvetica"/>
          <w:sz w:val="20"/>
          <w:szCs w:val="20"/>
        </w:rPr>
        <w:t>FastDNA™ SPIN Kit for Soil (MP)</w:t>
      </w:r>
      <w:r w:rsidR="00F37440">
        <w:rPr>
          <w:rFonts w:ascii="Helvetica" w:hAnsi="Helvetica"/>
          <w:sz w:val="20"/>
          <w:szCs w:val="20"/>
        </w:rPr>
        <w:t xml:space="preserve">, depending on the experiment. </w:t>
      </w:r>
      <w:r w:rsidR="00C74ECC">
        <w:rPr>
          <w:rFonts w:ascii="Helvetica" w:hAnsi="Helvetica"/>
          <w:sz w:val="20"/>
          <w:szCs w:val="20"/>
        </w:rPr>
        <w:t xml:space="preserve">Note that DNA extraction for </w:t>
      </w:r>
      <w:r w:rsidR="00B37BB4">
        <w:rPr>
          <w:rFonts w:ascii="Helvetica" w:hAnsi="Helvetica"/>
          <w:sz w:val="20"/>
          <w:szCs w:val="20"/>
        </w:rPr>
        <w:t xml:space="preserve">mixed </w:t>
      </w:r>
      <w:r w:rsidR="00A514BA">
        <w:rPr>
          <w:rFonts w:ascii="Helvetica" w:hAnsi="Helvetica"/>
          <w:sz w:val="20"/>
          <w:szCs w:val="20"/>
        </w:rPr>
        <w:t>community</w:t>
      </w:r>
      <w:r w:rsidR="00B37BB4">
        <w:rPr>
          <w:rFonts w:ascii="Helvetica" w:hAnsi="Helvetica"/>
          <w:sz w:val="20"/>
          <w:szCs w:val="20"/>
        </w:rPr>
        <w:t xml:space="preserve"> </w:t>
      </w:r>
      <w:r w:rsidR="00C74ECC">
        <w:rPr>
          <w:rFonts w:ascii="Helvetica" w:hAnsi="Helvetica"/>
          <w:sz w:val="20"/>
          <w:szCs w:val="20"/>
        </w:rPr>
        <w:t xml:space="preserve">P06 from the </w:t>
      </w:r>
      <w:proofErr w:type="gramStart"/>
      <w:r w:rsidR="00C74ECC">
        <w:rPr>
          <w:rFonts w:ascii="Helvetica" w:hAnsi="Helvetica"/>
          <w:sz w:val="20"/>
          <w:szCs w:val="20"/>
        </w:rPr>
        <w:t>10 mix</w:t>
      </w:r>
      <w:proofErr w:type="gramEnd"/>
      <w:r w:rsidR="00C74ECC">
        <w:rPr>
          <w:rFonts w:ascii="Helvetica" w:hAnsi="Helvetica"/>
          <w:sz w:val="20"/>
          <w:szCs w:val="20"/>
        </w:rPr>
        <w:t xml:space="preserve"> experiment failed.</w:t>
      </w:r>
      <w:r w:rsidR="001F34A7">
        <w:rPr>
          <w:rFonts w:ascii="Helvetica" w:hAnsi="Helvetica"/>
          <w:sz w:val="20"/>
          <w:szCs w:val="20"/>
        </w:rPr>
        <w:t xml:space="preserve"> The</w:t>
      </w:r>
      <w:r w:rsidRPr="009E6B5C">
        <w:rPr>
          <w:rFonts w:ascii="Helvetica" w:hAnsi="Helvetica"/>
          <w:sz w:val="20"/>
          <w:szCs w:val="20"/>
        </w:rPr>
        <w:t xml:space="preserve"> DNA for qPCR was extracted </w:t>
      </w:r>
      <w:r w:rsidR="001F34A7">
        <w:rPr>
          <w:rFonts w:ascii="Helvetica" w:hAnsi="Helvetica"/>
          <w:sz w:val="20"/>
          <w:szCs w:val="20"/>
        </w:rPr>
        <w:t>with the</w:t>
      </w:r>
      <w:r w:rsidRPr="009E6B5C">
        <w:rPr>
          <w:rFonts w:ascii="Helvetica" w:hAnsi="Helvetica"/>
          <w:sz w:val="20"/>
          <w:szCs w:val="20"/>
        </w:rPr>
        <w:t xml:space="preserve"> </w:t>
      </w:r>
      <w:proofErr w:type="spellStart"/>
      <w:r w:rsidRPr="009E6B5C">
        <w:rPr>
          <w:rFonts w:ascii="Helvetica" w:hAnsi="Helvetica"/>
          <w:sz w:val="20"/>
          <w:szCs w:val="20"/>
        </w:rPr>
        <w:t>QIAamp</w:t>
      </w:r>
      <w:proofErr w:type="spellEnd"/>
      <w:r w:rsidRPr="009E6B5C">
        <w:rPr>
          <w:rFonts w:ascii="Helvetica" w:hAnsi="Helvetica"/>
          <w:sz w:val="20"/>
          <w:szCs w:val="20"/>
        </w:rPr>
        <w:t xml:space="preserve"> DNA Stool Mini Kit (QIAGEN)</w:t>
      </w:r>
      <w:r w:rsidR="001F34A7">
        <w:rPr>
          <w:rFonts w:ascii="Helvetica" w:hAnsi="Helvetica"/>
          <w:sz w:val="20"/>
          <w:szCs w:val="20"/>
        </w:rPr>
        <w:t>,</w:t>
      </w:r>
      <w:r w:rsidRPr="009E6B5C">
        <w:rPr>
          <w:rFonts w:ascii="Helvetica" w:hAnsi="Helvetica"/>
          <w:sz w:val="20"/>
          <w:szCs w:val="20"/>
        </w:rPr>
        <w:t xml:space="preserve"> </w:t>
      </w:r>
      <w:r w:rsidRPr="009E6B5C">
        <w:rPr>
          <w:rFonts w:ascii="Helvetica" w:eastAsia="Times New Roman" w:hAnsi="Helvetica" w:cs="Times New Roman"/>
          <w:bCs/>
          <w:sz w:val="20"/>
          <w:szCs w:val="20"/>
        </w:rPr>
        <w:t>protocol for pathogen detection with the 95ºC incubation step</w:t>
      </w:r>
      <w:r w:rsidR="001F34A7">
        <w:rPr>
          <w:rFonts w:ascii="Helvetica" w:eastAsia="Times New Roman" w:hAnsi="Helvetica" w:cs="Times New Roman"/>
          <w:bCs/>
          <w:sz w:val="20"/>
          <w:szCs w:val="20"/>
        </w:rPr>
        <w:t xml:space="preserve"> </w:t>
      </w:r>
      <w:r w:rsidRPr="009E6B5C">
        <w:rPr>
          <w:rFonts w:ascii="Helvetica" w:hAnsi="Helvetica"/>
          <w:sz w:val="20"/>
          <w:szCs w:val="20"/>
        </w:rPr>
        <w:t xml:space="preserve">and the </w:t>
      </w:r>
      <w:proofErr w:type="spellStart"/>
      <w:r w:rsidRPr="009E6B5C">
        <w:rPr>
          <w:rFonts w:ascii="Helvetica" w:hAnsi="Helvetica"/>
          <w:sz w:val="20"/>
          <w:szCs w:val="20"/>
        </w:rPr>
        <w:t>Power</w:t>
      </w:r>
      <w:r w:rsidR="001F34A7">
        <w:rPr>
          <w:rFonts w:ascii="Helvetica" w:hAnsi="Helvetica"/>
          <w:sz w:val="20"/>
          <w:szCs w:val="20"/>
        </w:rPr>
        <w:t>lyzer</w:t>
      </w:r>
      <w:proofErr w:type="spellEnd"/>
      <w:r w:rsidR="001F34A7">
        <w:rPr>
          <w:rFonts w:ascii="Helvetica" w:hAnsi="Helvetica"/>
          <w:sz w:val="20"/>
          <w:szCs w:val="20"/>
        </w:rPr>
        <w:t xml:space="preserve"> </w:t>
      </w:r>
      <w:proofErr w:type="spellStart"/>
      <w:r w:rsidR="001F34A7">
        <w:rPr>
          <w:rFonts w:ascii="Helvetica" w:hAnsi="Helvetica"/>
          <w:sz w:val="20"/>
          <w:szCs w:val="20"/>
        </w:rPr>
        <w:t>Powersoil</w:t>
      </w:r>
      <w:proofErr w:type="spellEnd"/>
      <w:r w:rsidR="001F34A7">
        <w:rPr>
          <w:rFonts w:ascii="Helvetica" w:hAnsi="Helvetica"/>
          <w:sz w:val="20"/>
          <w:szCs w:val="20"/>
        </w:rPr>
        <w:t xml:space="preserve"> DNA KIT (MOBIO)</w:t>
      </w:r>
      <w:r w:rsidRPr="009E6B5C">
        <w:rPr>
          <w:rFonts w:ascii="Helvetica" w:hAnsi="Helvetica"/>
          <w:sz w:val="20"/>
          <w:szCs w:val="20"/>
        </w:rPr>
        <w:t xml:space="preserve">. DNA from </w:t>
      </w:r>
      <w:r w:rsidRPr="001F34A7">
        <w:rPr>
          <w:rFonts w:ascii="Helvetica" w:hAnsi="Helvetica"/>
          <w:i/>
          <w:sz w:val="20"/>
          <w:szCs w:val="20"/>
        </w:rPr>
        <w:t>A</w:t>
      </w:r>
      <w:r w:rsidR="001F34A7" w:rsidRPr="001F34A7">
        <w:rPr>
          <w:rFonts w:ascii="Helvetica" w:hAnsi="Helvetica"/>
          <w:i/>
          <w:sz w:val="20"/>
          <w:szCs w:val="20"/>
        </w:rPr>
        <w:t>.</w:t>
      </w:r>
      <w:r w:rsidRPr="001F34A7">
        <w:rPr>
          <w:rFonts w:ascii="Helvetica" w:hAnsi="Helvetica"/>
          <w:i/>
          <w:sz w:val="20"/>
          <w:szCs w:val="20"/>
        </w:rPr>
        <w:t xml:space="preserve"> </w:t>
      </w:r>
      <w:proofErr w:type="spellStart"/>
      <w:r w:rsidRPr="001F34A7">
        <w:rPr>
          <w:rFonts w:ascii="Helvetica" w:hAnsi="Helvetica"/>
          <w:i/>
          <w:sz w:val="20"/>
          <w:szCs w:val="20"/>
        </w:rPr>
        <w:t>b</w:t>
      </w:r>
      <w:r w:rsidR="001F34A7" w:rsidRPr="001F34A7">
        <w:rPr>
          <w:rFonts w:ascii="Helvetica" w:hAnsi="Helvetica"/>
          <w:i/>
          <w:sz w:val="20"/>
          <w:szCs w:val="20"/>
        </w:rPr>
        <w:t>a</w:t>
      </w:r>
      <w:r w:rsidRPr="001F34A7">
        <w:rPr>
          <w:rFonts w:ascii="Helvetica" w:hAnsi="Helvetica"/>
          <w:i/>
          <w:sz w:val="20"/>
          <w:szCs w:val="20"/>
        </w:rPr>
        <w:t>ylyi</w:t>
      </w:r>
      <w:proofErr w:type="spellEnd"/>
      <w:r w:rsidR="001F34A7">
        <w:rPr>
          <w:rFonts w:ascii="Helvetica" w:hAnsi="Helvetica"/>
          <w:sz w:val="20"/>
          <w:szCs w:val="20"/>
        </w:rPr>
        <w:t xml:space="preserve">, </w:t>
      </w:r>
      <w:r w:rsidR="001F34A7" w:rsidRPr="001F34A7">
        <w:rPr>
          <w:rFonts w:ascii="Helvetica" w:hAnsi="Helvetica"/>
          <w:i/>
          <w:sz w:val="20"/>
          <w:szCs w:val="20"/>
        </w:rPr>
        <w:t>P. fluorescens</w:t>
      </w:r>
      <w:r w:rsidRPr="001F34A7">
        <w:rPr>
          <w:rFonts w:ascii="Helvetica" w:hAnsi="Helvetica"/>
          <w:i/>
          <w:sz w:val="20"/>
          <w:szCs w:val="20"/>
        </w:rPr>
        <w:t xml:space="preserve"> </w:t>
      </w:r>
      <w:r w:rsidRPr="00EE08EA">
        <w:rPr>
          <w:rFonts w:ascii="Helvetica" w:hAnsi="Helvetica"/>
          <w:sz w:val="20"/>
          <w:szCs w:val="20"/>
        </w:rPr>
        <w:t>SBW25</w:t>
      </w:r>
      <w:r w:rsidRPr="00FF04CA">
        <w:rPr>
          <w:rFonts w:ascii="Helvetica" w:hAnsi="Helvetica"/>
          <w:sz w:val="20"/>
          <w:szCs w:val="20"/>
        </w:rPr>
        <w:t xml:space="preserve"> </w:t>
      </w:r>
      <w:r w:rsidRPr="009E6B5C">
        <w:rPr>
          <w:rFonts w:ascii="Helvetica" w:hAnsi="Helvetica"/>
          <w:sz w:val="20"/>
          <w:szCs w:val="20"/>
        </w:rPr>
        <w:t xml:space="preserve">for Bacteria from </w:t>
      </w:r>
      <w:r w:rsidRPr="001F34A7">
        <w:rPr>
          <w:rFonts w:ascii="Helvetica" w:hAnsi="Helvetica"/>
          <w:i/>
          <w:sz w:val="20"/>
          <w:szCs w:val="20"/>
        </w:rPr>
        <w:t>H</w:t>
      </w:r>
      <w:r w:rsidR="001F34A7" w:rsidRPr="001F34A7">
        <w:rPr>
          <w:rFonts w:ascii="Helvetica" w:hAnsi="Helvetica"/>
          <w:i/>
          <w:sz w:val="20"/>
          <w:szCs w:val="20"/>
        </w:rPr>
        <w:t>.</w:t>
      </w:r>
      <w:r w:rsidRPr="001F34A7">
        <w:rPr>
          <w:rFonts w:ascii="Helvetica" w:hAnsi="Helvetica"/>
          <w:i/>
          <w:sz w:val="20"/>
          <w:szCs w:val="20"/>
        </w:rPr>
        <w:t xml:space="preserve"> </w:t>
      </w:r>
      <w:proofErr w:type="spellStart"/>
      <w:r w:rsidRPr="001F34A7">
        <w:rPr>
          <w:rFonts w:ascii="Helvetica" w:hAnsi="Helvetica"/>
          <w:i/>
          <w:sz w:val="20"/>
          <w:szCs w:val="20"/>
        </w:rPr>
        <w:t>salinarum</w:t>
      </w:r>
      <w:proofErr w:type="spellEnd"/>
      <w:r w:rsidRPr="009E6B5C">
        <w:rPr>
          <w:rFonts w:ascii="Helvetica" w:hAnsi="Helvetica"/>
          <w:sz w:val="20"/>
          <w:szCs w:val="20"/>
        </w:rPr>
        <w:t xml:space="preserve"> DSM 669 for Arch</w:t>
      </w:r>
      <w:r w:rsidR="00C74ECC">
        <w:rPr>
          <w:rFonts w:ascii="Helvetica" w:hAnsi="Helvetica"/>
          <w:sz w:val="20"/>
          <w:szCs w:val="20"/>
        </w:rPr>
        <w:t>a</w:t>
      </w:r>
      <w:r w:rsidRPr="009E6B5C">
        <w:rPr>
          <w:rFonts w:ascii="Helvetica" w:hAnsi="Helvetica"/>
          <w:sz w:val="20"/>
          <w:szCs w:val="20"/>
        </w:rPr>
        <w:t>ea</w:t>
      </w:r>
      <w:r w:rsidR="001F34A7">
        <w:rPr>
          <w:rFonts w:ascii="Helvetica" w:hAnsi="Helvetica"/>
          <w:sz w:val="20"/>
          <w:szCs w:val="20"/>
        </w:rPr>
        <w:t xml:space="preserve"> was used</w:t>
      </w:r>
      <w:r w:rsidR="00A514BA" w:rsidRPr="00A514BA">
        <w:rPr>
          <w:rFonts w:ascii="Helvetica" w:hAnsi="Helvetica"/>
          <w:sz w:val="20"/>
          <w:szCs w:val="20"/>
        </w:rPr>
        <w:t xml:space="preserve"> </w:t>
      </w:r>
      <w:r w:rsidR="00A514BA">
        <w:rPr>
          <w:rFonts w:ascii="Helvetica" w:hAnsi="Helvetica"/>
          <w:sz w:val="20"/>
          <w:szCs w:val="20"/>
        </w:rPr>
        <w:t>as standards</w:t>
      </w:r>
      <w:r w:rsidRPr="009E6B5C">
        <w:rPr>
          <w:rFonts w:ascii="Helvetica" w:hAnsi="Helvetica"/>
          <w:sz w:val="20"/>
          <w:szCs w:val="20"/>
        </w:rPr>
        <w:t>. The primers</w:t>
      </w:r>
      <w:r w:rsidR="001F34A7">
        <w:rPr>
          <w:rFonts w:ascii="Helvetica" w:hAnsi="Helvetica"/>
          <w:sz w:val="20"/>
          <w:szCs w:val="20"/>
        </w:rPr>
        <w:fldChar w:fldCharType="begin" w:fldLock="1"/>
      </w:r>
      <w:r w:rsidR="00B235AE">
        <w:rPr>
          <w:rFonts w:ascii="Helvetica" w:hAnsi="Helvetica"/>
          <w:sz w:val="20"/>
          <w:szCs w:val="20"/>
        </w:rPr>
        <w:instrText>ADDIN CSL_CITATION { "citationItems" : [ { "id" : "ITEM-1", "itemData" : { "ISSN" : "1432-184X", "PMID" : "9852510", "abstract" : "Abstract In this study, two different agricultural soils were investigated: one organic soil and one sandy soil, from Stend (south of Bergen), Norway. The sandy soil was a field frequently tilled and subjected to crop rotations. The organic soil was permanent grazing land, infrequently tilled. Our objective was to compare the diversity of the cultivable bacteria with the diversity of the total bacterial population in soil. About 200 bacteria, randomly isolated by standard procedures, were investigated. The diversity of the cultivable bacteria was described at phenotypic, phylogenetic, and genetic levels by applying phenotypical testing (Biolog) and molecular methods, such as amplified rDNA restriction analysis (ARDRA); hybridization to oligonucleotide probes; and REP-PCR. The total bacterial diversity was determined by reassociation analysis of DNA isolated from the bacterial fraction of environmental samples, combined with ARDRA and DGGE analysis. The relationship between the diversity of cultivated bacteria and the total bacteria was elucidated. Organic soil exhibited a higher diversity for all analyses performed than the sandy soil. Analysis of cultivable bacteria resulted in different resolution levels and revealed a high biodiversity within the population of cultured isolates. The difference between the two agricultural soils was significantly higher when the total bacterial population was analyzed than when the cultivable population was. Thus, analysis of microbial diversity must ultimately embrace the entire microbial community DNA, rather than DNA from cultivable bacteria.", "author" : [ { "dropping-particle" : "", "family" : "\u00d8vre\u00e5s", "given" : "L", "non-dropping-particle" : "", "parse-names" : false, "suffix" : "" }, { "dropping-particle" : "", "family" : "Torsvik", "given" : "V", "non-dropping-particle" : "", "parse-names" : false, "suffix" : "" } ], "container-title" : "Microbial Ecology", "id" : "ITEM-1", "issue" : "3", "issued" : { "date-parts" : [ [ "1998" ] ] }, "page" : "303-315", "title" : "Microbial Diversity and Community Structure in Two Different Agricultural Soil Communities.", "type" : "article-journal", "volume" : "36" }, "uris" : [ "http://www.mendeley.com/documents/?uuid=b2bb9390-dcc4-4eac-b414-9f8ef9933868" ] } ], "mendeley" : { "formattedCitation" : "&lt;sup&gt;1&lt;/sup&gt;", "plainTextFormattedCitation" : "1", "previouslyFormattedCitation" : "&lt;sup&gt;1&lt;/sup&gt;" }, "properties" : { "noteIndex" : 0 }, "schema" : "https://github.com/citation-style-language/schema/raw/master/csl-citation.json" }</w:instrText>
      </w:r>
      <w:r w:rsidR="001F34A7">
        <w:rPr>
          <w:rFonts w:ascii="Helvetica" w:hAnsi="Helvetica"/>
          <w:sz w:val="20"/>
          <w:szCs w:val="20"/>
        </w:rPr>
        <w:fldChar w:fldCharType="separate"/>
      </w:r>
      <w:r w:rsidR="001F34A7" w:rsidRPr="001F34A7">
        <w:rPr>
          <w:rFonts w:ascii="Helvetica" w:hAnsi="Helvetica"/>
          <w:noProof/>
          <w:sz w:val="20"/>
          <w:szCs w:val="20"/>
          <w:vertAlign w:val="superscript"/>
        </w:rPr>
        <w:t>1</w:t>
      </w:r>
      <w:r w:rsidR="001F34A7">
        <w:rPr>
          <w:rFonts w:ascii="Helvetica" w:hAnsi="Helvetica"/>
          <w:sz w:val="20"/>
          <w:szCs w:val="20"/>
        </w:rPr>
        <w:fldChar w:fldCharType="end"/>
      </w:r>
      <w:r w:rsidRPr="009E6B5C">
        <w:rPr>
          <w:rFonts w:ascii="Helvetica" w:hAnsi="Helvetica"/>
          <w:sz w:val="20"/>
          <w:szCs w:val="20"/>
        </w:rPr>
        <w:t xml:space="preserve"> used to identify Bacteria were 16S rRNA 338f - ACT CCT ACG GGA GGC AGC AG, 518r - ATT ACC GCG GCT </w:t>
      </w:r>
      <w:proofErr w:type="spellStart"/>
      <w:r w:rsidRPr="009E6B5C">
        <w:rPr>
          <w:rFonts w:ascii="Helvetica" w:hAnsi="Helvetica"/>
          <w:sz w:val="20"/>
          <w:szCs w:val="20"/>
        </w:rPr>
        <w:t>GCT</w:t>
      </w:r>
      <w:proofErr w:type="spellEnd"/>
      <w:r w:rsidRPr="009E6B5C">
        <w:rPr>
          <w:rFonts w:ascii="Helvetica" w:hAnsi="Helvetica"/>
          <w:sz w:val="20"/>
          <w:szCs w:val="20"/>
        </w:rPr>
        <w:t xml:space="preserve"> GG for Archaea: 931f - AGG AAT TGG CGG GGG AGC A, m1100r - BGG GTC TCG CTC GTT RCC. T</w:t>
      </w:r>
      <w:r w:rsidR="001F34A7">
        <w:rPr>
          <w:rFonts w:ascii="Helvetica" w:hAnsi="Helvetica"/>
          <w:sz w:val="20"/>
          <w:szCs w:val="20"/>
        </w:rPr>
        <w:t xml:space="preserve">he </w:t>
      </w:r>
      <w:r w:rsidR="00FF04CA">
        <w:rPr>
          <w:rFonts w:ascii="Helvetica" w:hAnsi="Helvetica"/>
          <w:sz w:val="20"/>
          <w:szCs w:val="20"/>
        </w:rPr>
        <w:t>reagents used were:</w:t>
      </w:r>
      <w:r w:rsidRPr="009E6B5C">
        <w:rPr>
          <w:rFonts w:ascii="Helvetica" w:hAnsi="Helvetica"/>
          <w:sz w:val="20"/>
          <w:szCs w:val="20"/>
        </w:rPr>
        <w:t xml:space="preserve"> 1x Brilliant III Ultra-Fast SYBR® Green QPCR Master Mix</w:t>
      </w:r>
      <w:r w:rsidR="00FF04CA">
        <w:rPr>
          <w:rFonts w:ascii="Helvetica" w:hAnsi="Helvetica"/>
          <w:sz w:val="20"/>
          <w:szCs w:val="20"/>
        </w:rPr>
        <w:t>;</w:t>
      </w:r>
      <w:r w:rsidRPr="009E6B5C">
        <w:rPr>
          <w:rFonts w:ascii="Helvetica" w:hAnsi="Helvetica"/>
          <w:sz w:val="20"/>
          <w:szCs w:val="20"/>
        </w:rPr>
        <w:t xml:space="preserve"> 150nM 338f and 300nM 518r or 300nM 931f and 300 nM m1100r</w:t>
      </w:r>
      <w:r w:rsidR="00FF04CA">
        <w:rPr>
          <w:rFonts w:ascii="Helvetica" w:hAnsi="Helvetica"/>
          <w:sz w:val="20"/>
          <w:szCs w:val="20"/>
        </w:rPr>
        <w:t>;</w:t>
      </w:r>
      <w:r w:rsidRPr="009E6B5C">
        <w:rPr>
          <w:rFonts w:ascii="Helvetica" w:hAnsi="Helvetica"/>
          <w:sz w:val="20"/>
          <w:szCs w:val="20"/>
        </w:rPr>
        <w:t xml:space="preserve"> ROX 300nM</w:t>
      </w:r>
      <w:r w:rsidR="00FF04CA">
        <w:rPr>
          <w:rFonts w:ascii="Helvetica" w:hAnsi="Helvetica"/>
          <w:sz w:val="20"/>
          <w:szCs w:val="20"/>
        </w:rPr>
        <w:t>; and</w:t>
      </w:r>
      <w:r w:rsidRPr="009E6B5C">
        <w:rPr>
          <w:rFonts w:ascii="Helvetica" w:hAnsi="Helvetica"/>
          <w:sz w:val="20"/>
          <w:szCs w:val="20"/>
        </w:rPr>
        <w:t xml:space="preserve"> BSA 100 ng/µl final concentration. All s</w:t>
      </w:r>
      <w:r w:rsidR="001F34A7">
        <w:rPr>
          <w:rFonts w:ascii="Helvetica" w:hAnsi="Helvetica"/>
          <w:sz w:val="20"/>
          <w:szCs w:val="20"/>
        </w:rPr>
        <w:t xml:space="preserve">amples were run in triplicate </w:t>
      </w:r>
      <w:r w:rsidRPr="009E6B5C">
        <w:rPr>
          <w:rFonts w:ascii="Helvetica" w:hAnsi="Helvetica"/>
          <w:sz w:val="20"/>
          <w:szCs w:val="20"/>
        </w:rPr>
        <w:t>on a StepOnePlus (Applied Biosystems) qPCR machine</w:t>
      </w:r>
      <w:r w:rsidR="00CD3186">
        <w:rPr>
          <w:rFonts w:ascii="Helvetica" w:hAnsi="Helvetica"/>
          <w:sz w:val="20"/>
          <w:szCs w:val="20"/>
        </w:rPr>
        <w:t xml:space="preserve"> using a program with </w:t>
      </w:r>
      <w:r w:rsidRPr="009E6B5C">
        <w:rPr>
          <w:rFonts w:ascii="Helvetica" w:hAnsi="Helvetica"/>
          <w:sz w:val="20"/>
          <w:szCs w:val="20"/>
        </w:rPr>
        <w:t>3</w:t>
      </w:r>
      <w:r w:rsidR="001F34A7">
        <w:rPr>
          <w:rFonts w:ascii="Helvetica" w:hAnsi="Helvetica"/>
          <w:sz w:val="20"/>
          <w:szCs w:val="20"/>
        </w:rPr>
        <w:t>’</w:t>
      </w:r>
      <w:r w:rsidRPr="009E6B5C">
        <w:rPr>
          <w:rFonts w:ascii="Helvetica" w:hAnsi="Helvetica"/>
          <w:sz w:val="20"/>
          <w:szCs w:val="20"/>
        </w:rPr>
        <w:t xml:space="preserve"> 95ºC initial de</w:t>
      </w:r>
      <w:r w:rsidR="001F34A7">
        <w:rPr>
          <w:rFonts w:ascii="Helvetica" w:hAnsi="Helvetica"/>
          <w:sz w:val="20"/>
          <w:szCs w:val="20"/>
        </w:rPr>
        <w:t>naturation</w:t>
      </w:r>
      <w:r w:rsidR="00CD3186">
        <w:rPr>
          <w:rFonts w:ascii="Helvetica" w:hAnsi="Helvetica"/>
          <w:sz w:val="20"/>
          <w:szCs w:val="20"/>
        </w:rPr>
        <w:t xml:space="preserve"> followed by</w:t>
      </w:r>
      <w:r w:rsidR="001F34A7">
        <w:rPr>
          <w:rFonts w:ascii="Helvetica" w:hAnsi="Helvetica"/>
          <w:sz w:val="20"/>
          <w:szCs w:val="20"/>
        </w:rPr>
        <w:t xml:space="preserve"> 40 cycles of 5’’ </w:t>
      </w:r>
      <w:r w:rsidRPr="009E6B5C">
        <w:rPr>
          <w:rFonts w:ascii="Helvetica" w:hAnsi="Helvetica"/>
          <w:sz w:val="20"/>
          <w:szCs w:val="20"/>
        </w:rPr>
        <w:t>at 95ºC and 10</w:t>
      </w:r>
      <w:r w:rsidR="001F34A7">
        <w:rPr>
          <w:rFonts w:ascii="Helvetica" w:hAnsi="Helvetica"/>
          <w:sz w:val="20"/>
          <w:szCs w:val="20"/>
        </w:rPr>
        <w:t>’’</w:t>
      </w:r>
      <w:r w:rsidRPr="009E6B5C">
        <w:rPr>
          <w:rFonts w:ascii="Helvetica" w:hAnsi="Helvetica"/>
          <w:sz w:val="20"/>
          <w:szCs w:val="20"/>
        </w:rPr>
        <w:t xml:space="preserve"> at 60ºC</w:t>
      </w:r>
      <w:r w:rsidR="00CD3186">
        <w:rPr>
          <w:rFonts w:ascii="Helvetica" w:hAnsi="Helvetica"/>
          <w:sz w:val="20"/>
          <w:szCs w:val="20"/>
        </w:rPr>
        <w:t>,</w:t>
      </w:r>
      <w:r w:rsidRPr="009E6B5C">
        <w:rPr>
          <w:rFonts w:ascii="Helvetica" w:hAnsi="Helvetica"/>
          <w:sz w:val="20"/>
          <w:szCs w:val="20"/>
        </w:rPr>
        <w:t xml:space="preserve"> followed</w:t>
      </w:r>
      <w:r w:rsidR="001F34A7">
        <w:rPr>
          <w:rFonts w:ascii="Helvetica" w:hAnsi="Helvetica"/>
          <w:sz w:val="20"/>
          <w:szCs w:val="20"/>
        </w:rPr>
        <w:t xml:space="preserve"> by a melting curve 95ºC for 15’’; 60ºC for 1’</w:t>
      </w:r>
      <w:r w:rsidRPr="009E6B5C">
        <w:rPr>
          <w:rFonts w:ascii="Helvetica" w:hAnsi="Helvetica"/>
          <w:sz w:val="20"/>
          <w:szCs w:val="20"/>
        </w:rPr>
        <w:t xml:space="preserve"> </w:t>
      </w:r>
      <w:r w:rsidR="001F34A7">
        <w:rPr>
          <w:rFonts w:ascii="Helvetica" w:hAnsi="Helvetica"/>
          <w:sz w:val="20"/>
          <w:szCs w:val="20"/>
        </w:rPr>
        <w:t xml:space="preserve">ramping up to 95ºC in steps of 0.3ºC for 15’’ </w:t>
      </w:r>
      <w:r w:rsidRPr="009E6B5C">
        <w:rPr>
          <w:rFonts w:ascii="Helvetica" w:hAnsi="Helvetica"/>
          <w:sz w:val="20"/>
          <w:szCs w:val="20"/>
        </w:rPr>
        <w:t>each. The melting curve analysis and the confirmation of the negative c</w:t>
      </w:r>
      <w:r w:rsidR="00B235AE">
        <w:rPr>
          <w:rFonts w:ascii="Helvetica" w:hAnsi="Helvetica"/>
          <w:sz w:val="20"/>
          <w:szCs w:val="20"/>
        </w:rPr>
        <w:t xml:space="preserve">ontrols was done using </w:t>
      </w:r>
      <w:proofErr w:type="spellStart"/>
      <w:r w:rsidR="00B235AE">
        <w:rPr>
          <w:rFonts w:ascii="Helvetica" w:hAnsi="Helvetica"/>
          <w:sz w:val="20"/>
          <w:szCs w:val="20"/>
        </w:rPr>
        <w:t>Stepone</w:t>
      </w:r>
      <w:proofErr w:type="spellEnd"/>
      <w:r w:rsidR="00B235AE">
        <w:rPr>
          <w:rFonts w:ascii="Helvetica" w:hAnsi="Helvetica"/>
          <w:sz w:val="20"/>
          <w:szCs w:val="20"/>
        </w:rPr>
        <w:t xml:space="preserve"> Software v.</w:t>
      </w:r>
      <w:r w:rsidRPr="009E6B5C">
        <w:rPr>
          <w:rFonts w:ascii="Helvetica" w:hAnsi="Helvetica"/>
          <w:sz w:val="20"/>
          <w:szCs w:val="20"/>
        </w:rPr>
        <w:t xml:space="preserve">2.3 </w:t>
      </w:r>
      <w:r w:rsidR="001F34A7">
        <w:rPr>
          <w:rFonts w:ascii="Helvetica" w:hAnsi="Helvetica"/>
          <w:sz w:val="20"/>
          <w:szCs w:val="20"/>
        </w:rPr>
        <w:t>(</w:t>
      </w:r>
      <w:r w:rsidRPr="009E6B5C">
        <w:rPr>
          <w:rFonts w:ascii="Helvetica" w:hAnsi="Helvetica"/>
          <w:sz w:val="20"/>
          <w:szCs w:val="20"/>
        </w:rPr>
        <w:t>life technologies</w:t>
      </w:r>
      <w:r w:rsidR="001F34A7">
        <w:rPr>
          <w:rFonts w:ascii="Helvetica" w:hAnsi="Helvetica"/>
          <w:sz w:val="20"/>
          <w:szCs w:val="20"/>
        </w:rPr>
        <w:t>)</w:t>
      </w:r>
      <w:r w:rsidRPr="009E6B5C">
        <w:rPr>
          <w:rFonts w:ascii="Helvetica" w:hAnsi="Helvetica"/>
          <w:sz w:val="20"/>
          <w:szCs w:val="20"/>
        </w:rPr>
        <w:t xml:space="preserve">. The </w:t>
      </w:r>
      <w:proofErr w:type="spellStart"/>
      <w:r w:rsidRPr="009E6B5C">
        <w:rPr>
          <w:rFonts w:ascii="Helvetica" w:hAnsi="Helvetica"/>
          <w:sz w:val="20"/>
          <w:szCs w:val="20"/>
        </w:rPr>
        <w:t>Cq</w:t>
      </w:r>
      <w:proofErr w:type="spellEnd"/>
      <w:r w:rsidRPr="009E6B5C">
        <w:rPr>
          <w:rFonts w:ascii="Helvetica" w:hAnsi="Helvetica"/>
          <w:sz w:val="20"/>
          <w:szCs w:val="20"/>
        </w:rPr>
        <w:t xml:space="preserve"> values and the efficiencies of the samples and standards was determined </w:t>
      </w:r>
      <w:r w:rsidR="001F34A7">
        <w:rPr>
          <w:rFonts w:ascii="Helvetica" w:hAnsi="Helvetica"/>
          <w:sz w:val="20"/>
          <w:szCs w:val="20"/>
        </w:rPr>
        <w:t xml:space="preserve">as previously </w:t>
      </w:r>
      <w:r w:rsidRPr="009E6B5C">
        <w:rPr>
          <w:rFonts w:ascii="Helvetica" w:hAnsi="Helvetica"/>
          <w:sz w:val="20"/>
          <w:szCs w:val="20"/>
        </w:rPr>
        <w:t xml:space="preserve">using </w:t>
      </w:r>
      <w:proofErr w:type="spellStart"/>
      <w:r w:rsidRPr="009E6B5C">
        <w:rPr>
          <w:rFonts w:ascii="Helvetica" w:hAnsi="Helvetica"/>
          <w:sz w:val="20"/>
          <w:szCs w:val="20"/>
        </w:rPr>
        <w:t>LinRegPCR</w:t>
      </w:r>
      <w:proofErr w:type="spellEnd"/>
      <w:r w:rsidRPr="009E6B5C">
        <w:rPr>
          <w:rFonts w:ascii="Helvetica" w:hAnsi="Helvetica"/>
          <w:sz w:val="20"/>
          <w:szCs w:val="20"/>
        </w:rPr>
        <w:t xml:space="preserve"> version 2016.0</w:t>
      </w:r>
      <w:r w:rsidR="00B235AE">
        <w:rPr>
          <w:rFonts w:ascii="Helvetica" w:hAnsi="Helvetica"/>
          <w:sz w:val="20"/>
          <w:szCs w:val="20"/>
        </w:rPr>
        <w:fldChar w:fldCharType="begin" w:fldLock="1"/>
      </w:r>
      <w:r w:rsidR="00B235AE">
        <w:rPr>
          <w:rFonts w:ascii="Helvetica" w:hAnsi="Helvetica"/>
          <w:sz w:val="20"/>
          <w:szCs w:val="20"/>
        </w:rPr>
        <w:instrText>ADDIN CSL_CITATION { "citationItems" : [ { "id" : "ITEM-1", "itemData" : { "DOI" : "10.1093/nar/gkp045", "ISSN" : "0305-1048", "PMID" : "19237396", "abstract" : "Despite the central role of quantitative PCR (qPCR) in the quantification of mRNA transcripts, most analyses of qPCR data are still delegated to the software that comes with the qPCR apparatus. This is especially true for the handling of the fluorescence baseline. This article shows that baseline estimation errors are directly reflected in the observed PCR efficiency values and are thus propagated exponentially in the estimated starting concentrations as well as 'fold-difference' results. Because of the unknown origin and kinetics of the baseline fluorescence, the fluorescence values monitored in the initial cycles of the PCR reaction cannot be used to estimate a useful baseline value. An algorithm that estimates the baseline by reconstructing the log-linear phase downward from the early plateau phase of the PCR reaction was developed and shown to lead to very reproducible PCR efficiency values. PCR efficiency values were determined per sample by fitting a regression line to a subset of data points in the log-linear phase. The variability, as well as the bias, in qPCR results was significantly reduced when the mean of these PCR efficiencies per amplicon was used in the calculation of an estimate of the starting concentration per sample.", "author" : [ { "dropping-particle" : "", "family" : "Ruijter", "given" : "J. M.", "non-dropping-particle" : "", "parse-names" : false, "suffix" : "" }, { "dropping-particle" : "", "family" : "Ramakers", "given" : "C.", "non-dropping-particle" : "", "parse-names" : false, "suffix" : "" }, { "dropping-particle" : "", "family" : "Hoogaars", "given" : "W. M. H.", "non-dropping-particle" : "", "parse-names" : false, "suffix" : "" }, { "dropping-particle" : "", "family" : "Karlen", "given" : "Y.", "non-dropping-particle" : "", "parse-names" : false, "suffix" : "" }, { "dropping-particle" : "", "family" : "Bakker", "given" : "O.", "non-dropping-particle" : "", "parse-names" : false, "suffix" : "" }, { "dropping-particle" : "", "family" : "Hoff", "given" : "M. J. B.", "non-dropping-particle" : "van den", "parse-names" : false, "suffix" : "" }, { "dropping-particle" : "", "family" : "Moorman", "given" : "A. F. M.", "non-dropping-particle" : "", "parse-names" : false, "suffix" : "" } ], "container-title" : "Nucleic Acids Research", "id" : "ITEM-1", "issue" : "6", "issued" : { "date-parts" : [ [ "2009", "1", "21" ] ] }, "page" : "e45", "title" : "Amplification efficiency: linking baseline and bias in the analysis of quantitative PCR data", "type" : "article-journal", "volume" : "37" }, "uris" : [ "http://www.mendeley.com/documents/?uuid=d5c963ad-e9a2-3975-a68d-5fdeca3f822f" ] } ], "mendeley" : { "formattedCitation" : "&lt;sup&gt;2&lt;/sup&gt;", "plainTextFormattedCitation" : "2", "previouslyFormattedCitation" : "&lt;sup&gt;2&lt;/sup&gt;" }, "properties" : { "noteIndex" : 0 }, "schema" : "https://github.com/citation-style-language/schema/raw/master/csl-citation.json" }</w:instrText>
      </w:r>
      <w:r w:rsidR="00B235AE">
        <w:rPr>
          <w:rFonts w:ascii="Helvetica" w:hAnsi="Helvetica"/>
          <w:sz w:val="20"/>
          <w:szCs w:val="20"/>
        </w:rPr>
        <w:fldChar w:fldCharType="separate"/>
      </w:r>
      <w:r w:rsidR="00B235AE" w:rsidRPr="00B235AE">
        <w:rPr>
          <w:rFonts w:ascii="Helvetica" w:hAnsi="Helvetica"/>
          <w:noProof/>
          <w:sz w:val="20"/>
          <w:szCs w:val="20"/>
          <w:vertAlign w:val="superscript"/>
        </w:rPr>
        <w:t>2</w:t>
      </w:r>
      <w:r w:rsidR="00B235AE">
        <w:rPr>
          <w:rFonts w:ascii="Helvetica" w:hAnsi="Helvetica"/>
          <w:sz w:val="20"/>
          <w:szCs w:val="20"/>
        </w:rPr>
        <w:fldChar w:fldCharType="end"/>
      </w:r>
      <w:r w:rsidR="00B235AE">
        <w:rPr>
          <w:rFonts w:ascii="Helvetica" w:hAnsi="Helvetica"/>
          <w:sz w:val="20"/>
          <w:szCs w:val="20"/>
        </w:rPr>
        <w:t>.</w:t>
      </w:r>
      <w:r w:rsidR="001F34A7">
        <w:rPr>
          <w:rFonts w:ascii="Helvetica" w:hAnsi="Helvetica"/>
          <w:sz w:val="20"/>
          <w:szCs w:val="20"/>
        </w:rPr>
        <w:t xml:space="preserve"> The quantities were calculated</w:t>
      </w:r>
      <w:r w:rsidRPr="009E6B5C">
        <w:rPr>
          <w:rFonts w:ascii="Helvetica" w:hAnsi="Helvetica"/>
          <w:sz w:val="20"/>
          <w:szCs w:val="20"/>
        </w:rPr>
        <w:t xml:space="preserve"> using the one point ca</w:t>
      </w:r>
      <w:r w:rsidR="00B235AE">
        <w:rPr>
          <w:rFonts w:ascii="Helvetica" w:hAnsi="Helvetica"/>
          <w:sz w:val="20"/>
          <w:szCs w:val="20"/>
        </w:rPr>
        <w:t>libration method as described earlier</w:t>
      </w:r>
      <w:r w:rsidR="00B235AE">
        <w:rPr>
          <w:rFonts w:ascii="Helvetica" w:hAnsi="Helvetica"/>
          <w:sz w:val="20"/>
          <w:szCs w:val="20"/>
        </w:rPr>
        <w:fldChar w:fldCharType="begin" w:fldLock="1"/>
      </w:r>
      <w:r w:rsidR="00B235AE">
        <w:rPr>
          <w:rFonts w:ascii="Helvetica" w:hAnsi="Helvetica"/>
          <w:sz w:val="20"/>
          <w:szCs w:val="20"/>
        </w:rPr>
        <w:instrText>ADDIN CSL_CITATION { "citationItems" : [ { "id" : "ITEM-1", "itemData" : { "DOI" : "10.1111/j.1574-6941.2012.01459.x", "ISSN" : "01686496", "PMID" : "22816620", "abstract" : "Biological soil crusts (BSCs) are microbial assemblages that occur worldwide and facilitate ecosystem development by nitrogen (N) and carbon accumulation. N turnover within BSC ecosystems has been intensively studied in the past; however, shifts in the N cycle during BSC development have not been previously investigated. Our aim was to characterise N cycle development first by the abundance of the corresponding functional genes (in brackets) and second by potential enzyme activities; we focussed on the four processes: N fixation (nifH), mineralisation as proteolysis and chitinolysis (chiA), nitrification (amoA) and denitrification (nosZ). We sampled from four phases of BSC development and from a reference located in the rooting zone of Corynephorus canescens, on an inland dune in Germany. BSC development was associated with increasing amounts of chlorophyll, organic carbon and N. Potential activities increased and were highest in developed BSCs. Similarly, the abundance of functional genes increased. We propose and discuss three stages of N process succession. First, the heterotrophic stage (mobile sand without BSCs) is dominated by mineralisation activity. Second, during the transition stage (initial BSCs), N accumulates, and potential nitrification and denitrification activity increases. Third, the developed stage (established BSCs and reference) is characterised by the dominance of nitrification.", "author" : [ { "dropping-particle" : "", "family" : "Brankatschk", "given" : "Robert", "non-dropping-particle" : "", "parse-names" : false, "suffix" : "" }, { "dropping-particle" : "", "family" : "Fischer", "given" : "Thomas", "non-dropping-particle" : "", "parse-names" : false, "suffix" : "" }, { "dropping-particle" : "", "family" : "Veste", "given" : "Maik", "non-dropping-particle" : "", "parse-names" : false, "suffix" : "" }, { "dropping-particle" : "", "family" : "Zeyer", "given" : "Josef", "non-dropping-particle" : "", "parse-names" : false, "suffix" : "" } ], "container-title" : "FEMS Microbiology Ecology", "id" : "ITEM-1", "issue" : "1", "issued" : { "date-parts" : [ [ "2013", "1" ] ] }, "page" : "149-160", "title" : "Succession of N cycling processes in biological soil crusts on a Central European inland dune", "type" : "article-journal", "volume" : "83" }, "uris" : [ "http://www.mendeley.com/documents/?uuid=88a72d19-7da4-3d7e-9ba3-95571051b83c" ] } ], "mendeley" : { "formattedCitation" : "&lt;sup&gt;3&lt;/sup&gt;", "plainTextFormattedCitation" : "3", "previouslyFormattedCitation" : "&lt;sup&gt;3&lt;/sup&gt;" }, "properties" : { "noteIndex" : 0 }, "schema" : "https://github.com/citation-style-language/schema/raw/master/csl-citation.json" }</w:instrText>
      </w:r>
      <w:r w:rsidR="00B235AE">
        <w:rPr>
          <w:rFonts w:ascii="Helvetica" w:hAnsi="Helvetica"/>
          <w:sz w:val="20"/>
          <w:szCs w:val="20"/>
        </w:rPr>
        <w:fldChar w:fldCharType="separate"/>
      </w:r>
      <w:r w:rsidR="00B235AE" w:rsidRPr="00B235AE">
        <w:rPr>
          <w:rFonts w:ascii="Helvetica" w:hAnsi="Helvetica"/>
          <w:noProof/>
          <w:sz w:val="20"/>
          <w:szCs w:val="20"/>
          <w:vertAlign w:val="superscript"/>
        </w:rPr>
        <w:t>3</w:t>
      </w:r>
      <w:r w:rsidR="00B235AE">
        <w:rPr>
          <w:rFonts w:ascii="Helvetica" w:hAnsi="Helvetica"/>
          <w:sz w:val="20"/>
          <w:szCs w:val="20"/>
        </w:rPr>
        <w:fldChar w:fldCharType="end"/>
      </w:r>
      <w:r w:rsidRPr="009E6B5C">
        <w:rPr>
          <w:rFonts w:ascii="Helvetica" w:hAnsi="Helvetica"/>
          <w:sz w:val="20"/>
          <w:szCs w:val="20"/>
        </w:rPr>
        <w:t>.</w:t>
      </w:r>
    </w:p>
    <w:p w:rsidR="00C253C9" w:rsidRPr="009E6B5C" w:rsidRDefault="00C253C9" w:rsidP="009E6B5C">
      <w:pPr>
        <w:pStyle w:val="Heading1"/>
        <w:spacing w:before="0" w:beforeAutospacing="0" w:after="0" w:afterAutospacing="0" w:line="480" w:lineRule="auto"/>
        <w:jc w:val="both"/>
        <w:rPr>
          <w:rFonts w:ascii="Helvetica" w:eastAsia="Times New Roman" w:hAnsi="Helvetica" w:cs="Arial"/>
          <w:b w:val="0"/>
          <w:bCs w:val="0"/>
          <w:sz w:val="20"/>
          <w:szCs w:val="20"/>
        </w:rPr>
      </w:pPr>
    </w:p>
    <w:p w:rsidR="00C253C9" w:rsidRPr="009E6B5C" w:rsidRDefault="00C253C9" w:rsidP="009E6B5C">
      <w:pPr>
        <w:pStyle w:val="Heading1"/>
        <w:spacing w:before="0" w:beforeAutospacing="0" w:after="0" w:afterAutospacing="0" w:line="480" w:lineRule="auto"/>
        <w:jc w:val="both"/>
        <w:rPr>
          <w:rFonts w:ascii="Helvetica" w:eastAsia="Times New Roman" w:hAnsi="Helvetica" w:cs="Arial"/>
          <w:bCs w:val="0"/>
          <w:sz w:val="20"/>
          <w:szCs w:val="20"/>
        </w:rPr>
      </w:pPr>
      <w:r w:rsidRPr="009E6B5C">
        <w:rPr>
          <w:rFonts w:ascii="Helvetica" w:eastAsia="Times New Roman" w:hAnsi="Helvetica" w:cs="Arial"/>
          <w:bCs w:val="0"/>
          <w:sz w:val="20"/>
          <w:szCs w:val="20"/>
        </w:rPr>
        <w:t>Analyses of sequenced samples</w:t>
      </w: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lang w:val="en-US"/>
        </w:rPr>
      </w:pPr>
      <w:r w:rsidRPr="00D610C5">
        <w:rPr>
          <w:rFonts w:ascii="Helvetica" w:hAnsi="Helvetica" w:cs="Arial"/>
          <w:sz w:val="20"/>
          <w:szCs w:val="20"/>
          <w:lang w:val="en-US"/>
        </w:rPr>
        <w:t>MiSeq amplicon reads were merged using Illumina-</w:t>
      </w:r>
      <w:proofErr w:type="spellStart"/>
      <w:r w:rsidRPr="00D610C5">
        <w:rPr>
          <w:rFonts w:ascii="Helvetica" w:hAnsi="Helvetica" w:cs="Arial"/>
          <w:sz w:val="20"/>
          <w:szCs w:val="20"/>
          <w:lang w:val="en-US"/>
        </w:rPr>
        <w:t>utils</w:t>
      </w:r>
      <w:proofErr w:type="spellEnd"/>
      <w:r w:rsidRPr="00D610C5">
        <w:rPr>
          <w:rFonts w:ascii="Helvetica" w:hAnsi="Helvetica" w:cs="Arial"/>
          <w:sz w:val="20"/>
          <w:szCs w:val="20"/>
          <w:lang w:val="en-US"/>
        </w:rPr>
        <w:t xml:space="preserve"> software</w:t>
      </w:r>
      <w:r w:rsidRPr="00D610C5">
        <w:rPr>
          <w:rFonts w:ascii="Helvetica" w:hAnsi="Helvetica" w:cs="Arial"/>
          <w:sz w:val="20"/>
          <w:szCs w:val="20"/>
          <w:lang w:val="en-US"/>
        </w:rPr>
        <w:fldChar w:fldCharType="begin" w:fldLock="1"/>
      </w:r>
      <w:r w:rsidR="00B235AE">
        <w:rPr>
          <w:rFonts w:ascii="Helvetica" w:hAnsi="Helvetica" w:cs="Arial"/>
          <w:sz w:val="20"/>
          <w:szCs w:val="20"/>
          <w:lang w:val="en-US"/>
        </w:rPr>
        <w:instrText>ADDIN CSL_CITATION { "citationItems" : [ { "id" : "ITEM-1", "itemData" : { "DOI" : "10.1111/2041-210X.12114", "ISSN" : "2041210X", "PMID" : "24358444", "abstract" : "Bacteria comprise the most diverse domain of life on Earth, where they occupy nearly every possible ecological niche and play key roles in biological and chemical processes. Studying the composition and ecology of bacterial ecosystems and understanding their function is of prime importance. High-throughput sequencing technologies enable nearly comprehensive descriptions of bacterial diversity through 16S ribosomal RNA gene amplicons. Analyses of these communities generally rely upon taxonomic assignments through reference databases, or clustering approaches using de facto sequence similarity thresholds to identify operational taxonomic units. However, these methods often fail to resolve ecologically meaningful differences between closely related organisms in complex microbial datasets.In this paper we describe oligotyping, a novel supervised computational method that allows researchers to investigate the diversity of closely related but distinct bacterial organisms in final operational taxonomic units identified in environmental datasets through 16S ribosomal RNA gene data by the canonical approaches.Our analysis of two datasets from two distinct environments demonstrates the capacity of oligotyping at discriminating distinct microbial populations of ecological importance.Oligotyping can resolve the distribution of closely related organisms across environments and unveil previously overlooked ecological patterns for microbial communities. The URL http://oligotyping.org offers an open-source software pipeline for oligotyping.", "author" : [ { "dropping-particle" : "", "family" : "Eren", "given" : "A. Murat", "non-dropping-particle" : "", "parse-names" : false, "suffix" : "" }, { "dropping-particle" : "", "family" : "Maignien", "given" : "Lo\u00efs", "non-dropping-particle" : "", "parse-names" : false, "suffix" : "" }, { "dropping-particle" : "", "family" : "Sul", "given" : "Woo Jun", "non-dropping-particle" : "", "parse-names" : false, "suffix" : "" }, { "dropping-particle" : "", "family" : "Murphy", "given" : "Leslie G.", "non-dropping-particle" : "", "parse-names" : false, "suffix" : "" }, { "dropping-particle" : "", "family" : "Grim", "given" : "Sharon L.", "non-dropping-particle" : "", "parse-names" : false, "suffix" : "" }, { "dropping-particle" : "", "family" : "Morrison", "given" : "Hilary G.", "non-dropping-particle" : "", "parse-names" : false, "suffix" : "" }, { "dropping-particle" : "", "family" : "Sogin", "given" : "Mitchell L.", "non-dropping-particle" : "", "parse-names" : false, "suffix" : "" } ], "container-title" : "Methods in Ecology and Evolution", "id" : "ITEM-1", "issue" : "12", "issued" : { "date-parts" : [ [ "2013" ] ] }, "page" : "1111-1119", "title" : "Oligotyping: differentiating between closely related microbial taxa using 16S rRNA gene data", "type" : "article-journal", "volume" : "4" }, "uris" : [ "http://www.mendeley.com/documents/?uuid=5b254efd-f303-4015-8b00-262f5b9820e3" ] } ], "mendeley" : { "formattedCitation" : "&lt;sup&gt;4&lt;/sup&gt;", "plainTextFormattedCitation" : "4", "previouslyFormattedCitation" : "&lt;sup&gt;4&lt;/sup&gt;" }, "properties" : { "noteIndex" : 0 }, "schema" : "https://github.com/citation-style-language/schema/raw/master/csl-citation.json" }</w:instrText>
      </w:r>
      <w:r w:rsidRPr="00D610C5">
        <w:rPr>
          <w:rFonts w:ascii="Helvetica" w:hAnsi="Helvetica" w:cs="Arial"/>
          <w:sz w:val="20"/>
          <w:szCs w:val="20"/>
          <w:lang w:val="en-US"/>
        </w:rPr>
        <w:fldChar w:fldCharType="separate"/>
      </w:r>
      <w:r w:rsidR="00B235AE" w:rsidRPr="00B235AE">
        <w:rPr>
          <w:rFonts w:ascii="Helvetica" w:hAnsi="Helvetica" w:cs="Arial"/>
          <w:noProof/>
          <w:sz w:val="20"/>
          <w:szCs w:val="20"/>
          <w:vertAlign w:val="superscript"/>
          <w:lang w:val="en-US"/>
        </w:rPr>
        <w:t>4</w:t>
      </w:r>
      <w:r w:rsidRPr="00D610C5">
        <w:rPr>
          <w:rFonts w:ascii="Helvetica" w:hAnsi="Helvetica" w:cs="Arial"/>
          <w:sz w:val="20"/>
          <w:szCs w:val="20"/>
          <w:lang w:val="en-US"/>
        </w:rPr>
        <w:fldChar w:fldCharType="end"/>
      </w:r>
      <w:r w:rsidRPr="00D610C5">
        <w:rPr>
          <w:rFonts w:ascii="Helvetica" w:hAnsi="Helvetica" w:cs="Arial"/>
          <w:sz w:val="20"/>
          <w:szCs w:val="20"/>
          <w:lang w:val="en-US"/>
        </w:rPr>
        <w:t xml:space="preserve">. </w:t>
      </w:r>
      <w:r w:rsidR="00CD3186">
        <w:rPr>
          <w:rFonts w:ascii="Helvetica" w:hAnsi="Helvetica" w:cs="Arial"/>
          <w:sz w:val="20"/>
          <w:szCs w:val="20"/>
          <w:lang w:val="en-US"/>
        </w:rPr>
        <w:t>W</w:t>
      </w:r>
      <w:r w:rsidRPr="00D610C5">
        <w:rPr>
          <w:rFonts w:ascii="Helvetica" w:hAnsi="Helvetica" w:cs="Arial"/>
          <w:sz w:val="20"/>
          <w:szCs w:val="20"/>
          <w:lang w:val="en-US"/>
        </w:rPr>
        <w:t xml:space="preserve">e quality-filtered only the mismatches in the overlapping region between read pairs using a minimum overlap (--min-overlap-size) of 200 </w:t>
      </w:r>
      <w:proofErr w:type="spellStart"/>
      <w:r w:rsidRPr="00D610C5">
        <w:rPr>
          <w:rFonts w:ascii="Helvetica" w:hAnsi="Helvetica" w:cs="Arial"/>
          <w:sz w:val="20"/>
          <w:szCs w:val="20"/>
          <w:lang w:val="en-US"/>
        </w:rPr>
        <w:t>nt</w:t>
      </w:r>
      <w:proofErr w:type="spellEnd"/>
      <w:r w:rsidRPr="00D610C5">
        <w:rPr>
          <w:rFonts w:ascii="Helvetica" w:hAnsi="Helvetica" w:cs="Arial"/>
          <w:sz w:val="20"/>
          <w:szCs w:val="20"/>
          <w:lang w:val="en-US"/>
        </w:rPr>
        <w:t xml:space="preserve"> and a minimum quality Phred score (--min-</w:t>
      </w:r>
      <w:proofErr w:type="spellStart"/>
      <w:r w:rsidRPr="00D610C5">
        <w:rPr>
          <w:rFonts w:ascii="Helvetica" w:hAnsi="Helvetica" w:cs="Arial"/>
          <w:sz w:val="20"/>
          <w:szCs w:val="20"/>
          <w:lang w:val="en-US"/>
        </w:rPr>
        <w:t>qual</w:t>
      </w:r>
      <w:proofErr w:type="spellEnd"/>
      <w:r w:rsidRPr="00D610C5">
        <w:rPr>
          <w:rFonts w:ascii="Helvetica" w:hAnsi="Helvetica" w:cs="Arial"/>
          <w:sz w:val="20"/>
          <w:szCs w:val="20"/>
          <w:lang w:val="en-US"/>
        </w:rPr>
        <w:t xml:space="preserve">-score) of Q20. We allowed no more than five mismatches per 100 </w:t>
      </w:r>
      <w:proofErr w:type="spellStart"/>
      <w:r w:rsidRPr="00D610C5">
        <w:rPr>
          <w:rFonts w:ascii="Helvetica" w:hAnsi="Helvetica" w:cs="Arial"/>
          <w:sz w:val="20"/>
          <w:szCs w:val="20"/>
          <w:lang w:val="en-US"/>
        </w:rPr>
        <w:t>nt</w:t>
      </w:r>
      <w:proofErr w:type="spellEnd"/>
      <w:r w:rsidRPr="00D610C5">
        <w:rPr>
          <w:rFonts w:ascii="Helvetica" w:hAnsi="Helvetica" w:cs="Arial"/>
          <w:sz w:val="20"/>
          <w:szCs w:val="20"/>
          <w:lang w:val="en-US"/>
        </w:rPr>
        <w:t xml:space="preserve"> (-P 0.05) over the 200 </w:t>
      </w:r>
      <w:proofErr w:type="spellStart"/>
      <w:proofErr w:type="gramStart"/>
      <w:r w:rsidRPr="00D610C5">
        <w:rPr>
          <w:rFonts w:ascii="Helvetica" w:hAnsi="Helvetica" w:cs="Arial"/>
          <w:sz w:val="20"/>
          <w:szCs w:val="20"/>
          <w:lang w:val="en-US"/>
        </w:rPr>
        <w:t>nt</w:t>
      </w:r>
      <w:proofErr w:type="spellEnd"/>
      <w:proofErr w:type="gramEnd"/>
      <w:r w:rsidRPr="00D610C5">
        <w:rPr>
          <w:rFonts w:ascii="Helvetica" w:hAnsi="Helvetica" w:cs="Arial"/>
          <w:sz w:val="20"/>
          <w:szCs w:val="20"/>
          <w:lang w:val="en-US"/>
        </w:rPr>
        <w:t xml:space="preserve"> overlapping region.</w:t>
      </w: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lang w:val="en-US"/>
        </w:rPr>
      </w:pPr>
      <w:r w:rsidRPr="00D610C5">
        <w:rPr>
          <w:rFonts w:ascii="Helvetica" w:hAnsi="Helvetica" w:cs="Arial"/>
          <w:sz w:val="20"/>
          <w:szCs w:val="20"/>
          <w:lang w:val="en-US"/>
        </w:rPr>
        <w:t> </w:t>
      </w: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lang w:val="en-US"/>
        </w:rPr>
      </w:pPr>
      <w:r w:rsidRPr="00D610C5">
        <w:rPr>
          <w:rFonts w:ascii="Helvetica" w:hAnsi="Helvetica" w:cs="Arial"/>
          <w:sz w:val="20"/>
          <w:szCs w:val="20"/>
          <w:lang w:val="en-US"/>
        </w:rPr>
        <w:lastRenderedPageBreak/>
        <w:t>Reads that fulfilled the quality criteria were analysed using Quantitative Insights Into Microbial Ecology (QIIME v.1.7)</w:t>
      </w:r>
      <w:r w:rsidRPr="00D610C5">
        <w:rPr>
          <w:rFonts w:ascii="Helvetica" w:hAnsi="Helvetica" w:cs="Arial"/>
          <w:sz w:val="20"/>
          <w:szCs w:val="20"/>
          <w:lang w:val="en-US"/>
        </w:rPr>
        <w:fldChar w:fldCharType="begin" w:fldLock="1"/>
      </w:r>
      <w:r w:rsidR="00B235AE">
        <w:rPr>
          <w:rFonts w:ascii="Helvetica" w:hAnsi="Helvetica" w:cs="Arial"/>
          <w:sz w:val="20"/>
          <w:szCs w:val="20"/>
          <w:lang w:val="en-US"/>
        </w:rPr>
        <w:instrText>ADDIN CSL_CITATION { "citationItems" : [ { "id" : "ITEM-1", "itemData" : { "DOI" : "10.1038/nmeth.f.303", "ISSN" : "1548-7105", "PMID" : "20383131", "author" : [ { "dropping-particle" : "", "family" : "Caporaso", "given" : "J Gregory", "non-dropping-particle" : "", "parse-names" : false, "suffix" : "" }, { "dropping-particle" : "", "family" : "Kuczynski", "given" : "Justin", "non-dropping-particle" : "", "parse-names" : false, "suffix" : "" }, { "dropping-particle" : "", "family" : "Stombaugh", "given" : "Jesse", "non-dropping-particle" : "", "parse-names" : false, "suffix" : "" }, { "dropping-particle" : "", "family" : "Bittinger", "given" : "Kyle", "non-dropping-particle" : "", "parse-names" : false, "suffix" : "" }, { "dropping-particle" : "", "family" : "Bushman", "given" : "Frederic D", "non-dropping-particle" : "", "parse-names" : false, "suffix" : "" }, { "dropping-particle" : "", "family" : "Costello", "given" : "Elizabeth K", "non-dropping-particle" : "", "parse-names" : false, "suffix" : "" }, { "dropping-particle" : "", "family" : "Fierer", "given" : "Noah", "non-dropping-particle" : "", "parse-names" : false, "suffix" : "" }, { "dropping-particle" : "", "family" : "Pe\u00f1a", "given" : "Antonio Gonzalez", "non-dropping-particle" : "", "parse-names" : false, "suffix" : "" }, { "dropping-particle" : "", "family" : "Goodrich", "given" : "Julia K", "non-dropping-particle" : "", "parse-names" : false, "suffix" : "" }, { "dropping-particle" : "", "family" : "Gordon", "given" : "Jeffrey I", "non-dropping-particle" : "", "parse-names" : false, "suffix" : "" }, { "dropping-particle" : "", "family" : "Huttley", "given" : "Gavin A", "non-dropping-particle" : "", "parse-names" : false, "suffix" : "" }, { "dropping-particle" : "", "family" : "Kelley", "given" : "Scott T", "non-dropping-particle" : "", "parse-names" : false, "suffix" : "" }, { "dropping-particle" : "", "family" : "Knights", "given" : "Dan", "non-dropping-particle" : "", "parse-names" : false, "suffix" : "" }, { "dropping-particle" : "", "family" : "Koenig", "given" : "Jeremy E", "non-dropping-particle" : "", "parse-names" : false, "suffix" : "" }, { "dropping-particle" : "", "family" : "Ley", "given" : "Ruth E", "non-dropping-particle" : "", "parse-names" : false, "suffix" : "" }, { "dropping-particle" : "", "family" : "Lozupone", "given" : "Catherine A", "non-dropping-particle" : "", "parse-names" : false, "suffix" : "" }, { "dropping-particle" : "", "family" : "McDonald", "given" : "Daniel", "non-dropping-particle" : "", "parse-names" : false, "suffix" : "" }, { "dropping-particle" : "", "family" : "Muegge", "given" : "Brian D", "non-dropping-particle" : "", "parse-names" : false, "suffix" : "" }, { "dropping-particle" : "", "family" : "Pirrung", "given" : "Meg", "non-dropping-particle" : "", "parse-names" : false, "suffix" : "" }, { "dropping-particle" : "", "family" : "Reeder", "given" : "Jens", "non-dropping-particle" : "", "parse-names" : false, "suffix" : "" }, { "dropping-particle" : "", "family" : "Sevinsky", "given" : "Joel R", "non-dropping-particle" : "", "parse-names" : false, "suffix" : "" }, { "dropping-particle" : "", "family" : "Turnbaugh", "given" : "Peter J", "non-dropping-particle" : "", "parse-names" : false, "suffix" : "" }, { "dropping-particle" : "", "family" : "Walters", "given" : "William A", "non-dropping-particle" : "", "parse-names" : false, "suffix" : "" }, { "dropping-particle" : "", "family" : "Widmann", "given" : "Jeremy", "non-dropping-particle" : "", "parse-names" : false, "suffix" : "" }, { "dropping-particle" : "", "family" : "Yatsunenko", "given" : "Tanya", "non-dropping-particle" : "", "parse-names" : false, "suffix" : "" }, { "dropping-particle" : "", "family" : "Zaneveld", "given" : "Jesse", "non-dropping-particle" : "", "parse-names" : false, "suffix" : "" }, { "dropping-particle" : "", "family" : "Knight", "given" : "Rob", "non-dropping-particle" : "", "parse-names" : false, "suffix" : "" } ], "container-title" : "Nature Methods", "id" : "ITEM-1", "issue" : "5", "issued" : { "date-parts" : [ [ "2010", "5" ] ] }, "page" : "335-336", "title" : "QIIME allows analysis of high-throughput community sequencing data.", "type" : "article-journal", "volume" : "7" }, "uris" : [ "http://www.mendeley.com/documents/?uuid=079c6d77-9546-407f-a152-6b8abb6abd00" ] } ], "mendeley" : { "formattedCitation" : "&lt;sup&gt;5&lt;/sup&gt;", "plainTextFormattedCitation" : "5", "previouslyFormattedCitation" : "&lt;sup&gt;5&lt;/sup&gt;" }, "properties" : { "noteIndex" : 0 }, "schema" : "https://github.com/citation-style-language/schema/raw/master/csl-citation.json" }</w:instrText>
      </w:r>
      <w:r w:rsidRPr="00D610C5">
        <w:rPr>
          <w:rFonts w:ascii="Helvetica" w:hAnsi="Helvetica" w:cs="Arial"/>
          <w:sz w:val="20"/>
          <w:szCs w:val="20"/>
          <w:lang w:val="en-US"/>
        </w:rPr>
        <w:fldChar w:fldCharType="separate"/>
      </w:r>
      <w:r w:rsidR="00B235AE" w:rsidRPr="00B235AE">
        <w:rPr>
          <w:rFonts w:ascii="Helvetica" w:hAnsi="Helvetica" w:cs="Arial"/>
          <w:noProof/>
          <w:sz w:val="20"/>
          <w:szCs w:val="20"/>
          <w:vertAlign w:val="superscript"/>
          <w:lang w:val="en-US"/>
        </w:rPr>
        <w:t>5</w:t>
      </w:r>
      <w:r w:rsidRPr="00D610C5">
        <w:rPr>
          <w:rFonts w:ascii="Helvetica" w:hAnsi="Helvetica" w:cs="Arial"/>
          <w:sz w:val="20"/>
          <w:szCs w:val="20"/>
          <w:lang w:val="en-US"/>
        </w:rPr>
        <w:fldChar w:fldCharType="end"/>
      </w:r>
      <w:r w:rsidRPr="00D610C5">
        <w:rPr>
          <w:rFonts w:ascii="Helvetica" w:hAnsi="Helvetica" w:cs="Arial"/>
          <w:sz w:val="20"/>
          <w:szCs w:val="20"/>
          <w:lang w:val="en-US"/>
        </w:rPr>
        <w:t xml:space="preserve">. We removed chimera using the </w:t>
      </w:r>
      <w:r w:rsidRPr="00D610C5">
        <w:rPr>
          <w:rFonts w:ascii="Helvetica" w:hAnsi="Helvetica" w:cs="Arial"/>
          <w:i/>
          <w:iCs/>
          <w:sz w:val="20"/>
          <w:szCs w:val="20"/>
          <w:lang w:val="en-US"/>
        </w:rPr>
        <w:t>identify_chimeric_seqs.py</w:t>
      </w:r>
      <w:r w:rsidRPr="00D610C5">
        <w:rPr>
          <w:rFonts w:ascii="Helvetica" w:hAnsi="Helvetica" w:cs="Arial"/>
          <w:sz w:val="20"/>
          <w:szCs w:val="20"/>
          <w:lang w:val="en-US"/>
        </w:rPr>
        <w:t xml:space="preserve"> script, UCHIME reference 'Gold' database and</w:t>
      </w:r>
      <w:r>
        <w:rPr>
          <w:rFonts w:ascii="Helvetica" w:hAnsi="Helvetica" w:cs="Arial"/>
          <w:sz w:val="20"/>
          <w:szCs w:val="20"/>
          <w:lang w:val="en-US"/>
        </w:rPr>
        <w:t xml:space="preserve"> </w:t>
      </w:r>
      <w:r w:rsidRPr="00D610C5">
        <w:rPr>
          <w:rFonts w:ascii="Helvetica" w:hAnsi="Helvetica" w:cs="Arial"/>
          <w:sz w:val="20"/>
          <w:szCs w:val="20"/>
          <w:lang w:val="en-US"/>
        </w:rPr>
        <w:t>USEARCH</w:t>
      </w:r>
      <w:r w:rsidRPr="00D610C5">
        <w:rPr>
          <w:rFonts w:ascii="Helvetica" w:hAnsi="Helvetica" w:cs="Arial"/>
          <w:sz w:val="20"/>
          <w:szCs w:val="20"/>
          <w:lang w:val="en-US"/>
        </w:rPr>
        <w:fldChar w:fldCharType="begin" w:fldLock="1"/>
      </w:r>
      <w:r w:rsidR="00B235AE">
        <w:rPr>
          <w:rFonts w:ascii="Helvetica" w:hAnsi="Helvetica" w:cs="Arial"/>
          <w:sz w:val="20"/>
          <w:szCs w:val="20"/>
          <w:lang w:val="en-US"/>
        </w:rPr>
        <w:instrText>ADDIN CSL_CITATION { "citationItems" : [ { "id" : "ITEM-1", "itemData" : { "DOI" : "10.1093/bioinformatics/btq461", "ISSN" : "1367-4811", "PMID" : "20709691", "abstract" : "MOTIVATION: Biological sequence data is accumulating rapidly, motivating the development of improved high-throughput methods for sequence classification. RESULTS: UBLAST and USEARCH are new algorithms enabling sensitive local and global search of large sequence databases at exceptionally high speeds. They are often orders of magnitude faster than BLAST in practical applications, though sensitivity to distant protein relationships is lower. UCLUST is a new clustering method that exploits USEARCH to assign sequences to clusters. UCLUST offers several advantages over the widely used program CD-HIT, including higher speed, lower memory use, improved sensitivity, clustering at lower identities and classification of much larger datasets. AVAILABILITY: Binaries are available at no charge for non-commercial use at http://www.drive5.com/usearch.", "author" : [ { "dropping-particle" : "", "family" : "Edgar", "given" : "RC Robert C", "non-dropping-particle" : "", "parse-names" : false, "suffix" : "" } ], "container-title" : "Bioinformatics", "id" : "ITEM-1", "issue" : "19", "issued" : { "date-parts" : [ [ "2010", "10", "1" ] ] }, "page" : "2460-2461", "title" : "Search and clustering orders of magnitude faster than BLAST.", "type" : "article-journal", "volume" : "26" }, "uris" : [ "http://www.mendeley.com/documents/?uuid=4d71e394-4769-417e-bcb0-f2d596fa9cf4" ] }, { "id" : "ITEM-2", "itemData" : { "DOI" : "10.1093/bioinformatics/btr381", "ISSN" : "1367-4811", "PMID" : "21700674", "abstract" : "MOTIVATION: Chimeric DNA sequences often form during polymerase chain reaction amplification, especially when sequencing single regions (e.g. 16S rRNA or fungal Internal Transcribed Spacer) to assess diversity or compare populations. Undetected chimeras may be misinterpreted as novel species, causing inflated estimates of diversity and spurious inferences of differences between populations. Detection and removal of chimeras is therefore of critical importance in such experiments. RESULTS: We describe UCHIME, a new program that detects chimeric sequences with two or more segments. UCHIME either uses a database of chimera-free sequences or detects chimeras de novo by exploiting abundance data. UCHIME has better sensitivity than ChimeraSlayer (previously the most sensitive database method), especially with short, noisy sequences. In testing on artificial bacterial communities with known composition, UCHIME de novo sensitivity is shown to be comparable to Perseus. UCHIME is &gt;100\u00d7 faster than Perseus and &gt;1000\u00d7 faster than ChimeraSlayer. CONTACT: robert@drive5.com AVAILABILITY: Source, binaries and data: http://drive5.com/uchime. SUPPLEMENTARY INFORMATION: Supplementary data are available at Bioinformatics online.", "author" : [ { "dropping-particle" : "", "family" : "Edgar", "given" : "Robert C", "non-dropping-particle" : "", "parse-names" : false, "suffix" : "" }, { "dropping-particle" : "", "family" : "Haas", "given" : "Brian J", "non-dropping-particle" : "", "parse-names" : false, "suffix" : "" }, { "dropping-particle" : "", "family" : "Clemente", "given" : "Jose C", "non-dropping-particle" : "", "parse-names" : false, "suffix" : "" }, { "dropping-particle" : "", "family" : "Quince", "given" : "Christopher", "non-dropping-particle" : "", "parse-names" : false, "suffix" : "" }, { "dropping-particle" : "", "family" : "Knight", "given" : "Rob", "non-dropping-particle" : "", "parse-names" : false, "suffix" : "" } ], "container-title" : "Bioinformatics", "id" : "ITEM-2", "issue" : "16", "issued" : { "date-parts" : [ [ "2011", "8", "15" ] ] }, "page" : "2194-2200", "title" : "UCHIME improves sensitivity and speed of chimera detection.", "type" : "article-journal", "volume" : "27" }, "uris" : [ "http://www.mendeley.com/documents/?uuid=74c53e92-bab9-4baa-8bba-ec675528b94f" ] } ], "mendeley" : { "formattedCitation" : "&lt;sup&gt;6,7&lt;/sup&gt;", "plainTextFormattedCitation" : "6,7", "previouslyFormattedCitation" : "&lt;sup&gt;6,7&lt;/sup&gt;" }, "properties" : { "noteIndex" : 0 }, "schema" : "https://github.com/citation-style-language/schema/raw/master/csl-citation.json" }</w:instrText>
      </w:r>
      <w:r w:rsidRPr="00D610C5">
        <w:rPr>
          <w:rFonts w:ascii="Helvetica" w:hAnsi="Helvetica" w:cs="Arial"/>
          <w:sz w:val="20"/>
          <w:szCs w:val="20"/>
          <w:lang w:val="en-US"/>
        </w:rPr>
        <w:fldChar w:fldCharType="separate"/>
      </w:r>
      <w:r w:rsidR="00B235AE" w:rsidRPr="00B235AE">
        <w:rPr>
          <w:rFonts w:ascii="Helvetica" w:hAnsi="Helvetica" w:cs="Arial"/>
          <w:noProof/>
          <w:sz w:val="20"/>
          <w:szCs w:val="20"/>
          <w:vertAlign w:val="superscript"/>
          <w:lang w:val="en-US"/>
        </w:rPr>
        <w:t>6,7</w:t>
      </w:r>
      <w:r w:rsidRPr="00D610C5">
        <w:rPr>
          <w:rFonts w:ascii="Helvetica" w:hAnsi="Helvetica" w:cs="Arial"/>
          <w:sz w:val="20"/>
          <w:szCs w:val="20"/>
          <w:lang w:val="en-US"/>
        </w:rPr>
        <w:fldChar w:fldCharType="end"/>
      </w:r>
      <w:r w:rsidRPr="00D610C5">
        <w:rPr>
          <w:rFonts w:ascii="Helvetica" w:hAnsi="Helvetica" w:cs="Arial"/>
          <w:sz w:val="20"/>
          <w:szCs w:val="20"/>
          <w:lang w:val="en-US"/>
        </w:rPr>
        <w:t>, which we also used to select O</w:t>
      </w:r>
      <w:r w:rsidR="00CD3186">
        <w:rPr>
          <w:rFonts w:ascii="Helvetica" w:hAnsi="Helvetica" w:cs="Arial"/>
          <w:sz w:val="20"/>
          <w:szCs w:val="20"/>
          <w:lang w:val="en-US"/>
        </w:rPr>
        <w:t>TUs</w:t>
      </w:r>
      <w:r w:rsidR="00FF04CA">
        <w:rPr>
          <w:rFonts w:ascii="Helvetica" w:hAnsi="Helvetica" w:cs="Arial"/>
          <w:sz w:val="20"/>
          <w:szCs w:val="20"/>
          <w:lang w:val="en-US"/>
        </w:rPr>
        <w:t>.</w:t>
      </w:r>
      <w:r w:rsidRPr="00D610C5">
        <w:rPr>
          <w:rFonts w:ascii="Helvetica" w:hAnsi="Helvetica" w:cs="Arial"/>
          <w:sz w:val="20"/>
          <w:szCs w:val="20"/>
          <w:lang w:val="en-US"/>
        </w:rPr>
        <w:t xml:space="preserve"> We assigned the taxonomy of our reads with QIIME </w:t>
      </w:r>
      <w:r w:rsidRPr="00D610C5">
        <w:rPr>
          <w:rFonts w:ascii="Helvetica" w:hAnsi="Helvetica" w:cs="Arial"/>
          <w:i/>
          <w:iCs/>
          <w:sz w:val="20"/>
          <w:szCs w:val="20"/>
          <w:lang w:val="en-US"/>
        </w:rPr>
        <w:t>pick_open_reference_otus.py</w:t>
      </w:r>
      <w:r w:rsidRPr="00D610C5">
        <w:rPr>
          <w:rFonts w:ascii="Helvetica" w:hAnsi="Helvetica" w:cs="Arial"/>
          <w:sz w:val="20"/>
          <w:szCs w:val="20"/>
          <w:lang w:val="en-US"/>
        </w:rPr>
        <w:t xml:space="preserve"> function,</w:t>
      </w:r>
      <w:r w:rsidR="001B0724">
        <w:rPr>
          <w:rFonts w:ascii="Helvetica" w:hAnsi="Helvetica" w:cs="Arial"/>
          <w:sz w:val="20"/>
          <w:szCs w:val="20"/>
          <w:lang w:val="en-US"/>
        </w:rPr>
        <w:t xml:space="preserve"> </w:t>
      </w:r>
      <w:r w:rsidRPr="00D610C5">
        <w:rPr>
          <w:rFonts w:ascii="Helvetica" w:hAnsi="Helvetica" w:cs="Arial"/>
          <w:sz w:val="20"/>
          <w:szCs w:val="20"/>
          <w:lang w:val="en-US"/>
        </w:rPr>
        <w:t>using the Greengenes database</w:t>
      </w:r>
      <w:r w:rsidR="001B0724">
        <w:rPr>
          <w:rFonts w:ascii="Helvetica" w:hAnsi="Helvetica" w:cs="Arial"/>
          <w:sz w:val="20"/>
          <w:szCs w:val="20"/>
          <w:lang w:val="en-US"/>
        </w:rPr>
        <w:t xml:space="preserve"> version </w:t>
      </w:r>
      <w:r w:rsidR="001B0724" w:rsidRPr="00D610C5">
        <w:rPr>
          <w:rFonts w:ascii="Helvetica" w:hAnsi="Helvetica" w:cs="Arial"/>
          <w:sz w:val="20"/>
          <w:szCs w:val="20"/>
          <w:lang w:val="en-US"/>
        </w:rPr>
        <w:t>v13_8</w:t>
      </w:r>
      <w:r w:rsidRPr="00D610C5">
        <w:rPr>
          <w:rFonts w:ascii="Helvetica" w:hAnsi="Helvetica" w:cs="Arial"/>
          <w:sz w:val="20"/>
          <w:szCs w:val="20"/>
          <w:lang w:val="en-US"/>
        </w:rPr>
        <w:fldChar w:fldCharType="begin" w:fldLock="1"/>
      </w:r>
      <w:r w:rsidR="00B235AE">
        <w:rPr>
          <w:rFonts w:ascii="Helvetica" w:hAnsi="Helvetica" w:cs="Arial"/>
          <w:sz w:val="20"/>
          <w:szCs w:val="20"/>
          <w:lang w:val="en-US"/>
        </w:rPr>
        <w:instrText>ADDIN CSL_CITATION { "citationItems" : [ { "id" : "ITEM-1", "itemData" : { "DOI" : "10.1038/ismej.2011.139", "ISSN" : "1751-7370", "PMID" : "22134646", "abstract" : "Reference phylogenies are crucial for providing a taxonomic framework for interpretation of marker gene and metagenomic surveys, which continue to reveal novel species at a remarkable rate. Greengenes is a dedicated full-length 16S rRNA gene database that provides users with a curated taxonomy based on de novo tree inference. We developed a 'taxonomy to tree' approach for transferring group names from an existing taxonomy to a tree topology, and used it to apply the Greengenes, National Center for Biotechnology Information (NCBI) and cyanoDB (Cyanobacteria only) taxonomies to a de novo tree comprising 408,315 sequences. We also incorporated explicit rank information provided by the NCBI taxonomy to group names (by prefixing rank designations) for better user orientation and classification consistency. The resulting merged taxonomy improved the classification of 75% of the sequences by one or more ranks relative to the original NCBI taxonomy with the most pronounced improvements occurring in under-classified environmental sequences. We also assessed candidate phyla (divisions) currently defined by NCBI and present recommendations for consolidation of 34 redundantly named groups. All intermediate results from the pipeline, which includes tree inference, jackknifing and transfer of a donor taxonomy to a recipient tree (tax2tree) are available for download. The improved Greengenes taxonomy should provide important infrastructure for a wide range of megasequencing projects studying ecosystems on scales ranging from our own bodies (the Human Microbiome Project) to the entire planet (the Earth Microbiome Project). The implementation of the software can be obtained from http://sourceforge.net/projects/tax2tree/.", "author" : [ { "dropping-particle" : "", "family" : "McDonald", "given" : "Daniel", "non-dropping-particle" : "", "parse-names" : false, "suffix" : "" }, { "dropping-particle" : "", "family" : "Price", "given" : "Morgan N", "non-dropping-particle" : "", "parse-names" : false, "suffix" : "" }, { "dropping-particle" : "", "family" : "Goodrich", "given" : "Julia", "non-dropping-particle" : "", "parse-names" : false, "suffix" : "" }, { "dropping-particle" : "", "family" : "Nawrocki", "given" : "Eric P", "non-dropping-particle" : "", "parse-names" : false, "suffix" : "" }, { "dropping-particle" : "", "family" : "DeSantis", "given" : "Todd Z", "non-dropping-particle" : "", "parse-names" : false, "suffix" : "" }, { "dropping-particle" : "", "family" : "Probst", "given" : "Alexander", "non-dropping-particle" : "", "parse-names" : false, "suffix" : "" }, { "dropping-particle" : "", "family" : "Andersen", "given" : "Gary L", "non-dropping-particle" : "", "parse-names" : false, "suffix" : "" }, { "dropping-particle" : "", "family" : "Knight", "given" : "Rob", "non-dropping-particle" : "", "parse-names" : false, "suffix" : "" }, { "dropping-particle" : "", "family" : "Hugenholtz", "given" : "Philip", "non-dropping-particle" : "", "parse-names" : false, "suffix" : "" } ], "container-title" : "The ISME journal", "id" : "ITEM-1", "issue" : "3", "issued" : { "date-parts" : [ [ "2012" ] ] }, "page" : "610-8", "title" : "An improved Greengenes taxonomy with explicit ranks for ecological and evolutionary analyses of bacteria and archaea.", "type" : "article-journal", "volume" : "6" }, "uris" : [ "http://www.mendeley.com/documents/?uuid=b23c9363-f70b-4955-bff7-4be506a9ee4f" ] } ], "mendeley" : { "formattedCitation" : "&lt;sup&gt;8&lt;/sup&gt;", "plainTextFormattedCitation" : "8", "previouslyFormattedCitation" : "&lt;sup&gt;8&lt;/sup&gt;" }, "properties" : { "noteIndex" : 0 }, "schema" : "https://github.com/citation-style-language/schema/raw/master/csl-citation.json" }</w:instrText>
      </w:r>
      <w:r w:rsidRPr="00D610C5">
        <w:rPr>
          <w:rFonts w:ascii="Helvetica" w:hAnsi="Helvetica" w:cs="Arial"/>
          <w:sz w:val="20"/>
          <w:szCs w:val="20"/>
          <w:lang w:val="en-US"/>
        </w:rPr>
        <w:fldChar w:fldCharType="separate"/>
      </w:r>
      <w:r w:rsidR="00B235AE" w:rsidRPr="00B235AE">
        <w:rPr>
          <w:rFonts w:ascii="Helvetica" w:hAnsi="Helvetica" w:cs="Arial"/>
          <w:noProof/>
          <w:sz w:val="20"/>
          <w:szCs w:val="20"/>
          <w:vertAlign w:val="superscript"/>
          <w:lang w:val="en-US"/>
        </w:rPr>
        <w:t>8</w:t>
      </w:r>
      <w:r w:rsidRPr="00D610C5">
        <w:rPr>
          <w:rFonts w:ascii="Helvetica" w:hAnsi="Helvetica" w:cs="Arial"/>
          <w:sz w:val="20"/>
          <w:szCs w:val="20"/>
          <w:lang w:val="en-US"/>
        </w:rPr>
        <w:fldChar w:fldCharType="end"/>
      </w:r>
      <w:r w:rsidRPr="00D610C5">
        <w:rPr>
          <w:rFonts w:ascii="Helvetica" w:hAnsi="Helvetica" w:cs="Arial"/>
          <w:sz w:val="20"/>
          <w:szCs w:val="20"/>
          <w:lang w:val="en-US"/>
        </w:rPr>
        <w:t xml:space="preserve"> as a reference with a minimum cluster size of 2 (i.e.</w:t>
      </w:r>
      <w:r w:rsidR="001760AF">
        <w:rPr>
          <w:rFonts w:ascii="Helvetica" w:hAnsi="Helvetica" w:cs="Arial"/>
          <w:sz w:val="20"/>
          <w:szCs w:val="20"/>
          <w:lang w:val="en-US"/>
        </w:rPr>
        <w:t>,</w:t>
      </w:r>
      <w:r w:rsidRPr="00D610C5">
        <w:rPr>
          <w:rFonts w:ascii="Helvetica" w:hAnsi="Helvetica" w:cs="Arial"/>
          <w:sz w:val="20"/>
          <w:szCs w:val="20"/>
          <w:lang w:val="en-US"/>
        </w:rPr>
        <w:t xml:space="preserve"> each OTU must contain at least two sequences). We collapsed the technical replicates and filtered out the low abundance OTUs (&lt;0.01% total, </w:t>
      </w:r>
      <w:r w:rsidRPr="00D610C5">
        <w:rPr>
          <w:rFonts w:ascii="Helvetica" w:hAnsi="Helvetica" w:cs="Arial"/>
          <w:i/>
          <w:iCs/>
          <w:sz w:val="20"/>
          <w:szCs w:val="20"/>
          <w:lang w:val="en-US"/>
        </w:rPr>
        <w:t>filter_otus_from_otu_table.py</w:t>
      </w:r>
      <w:r w:rsidRPr="00D610C5">
        <w:rPr>
          <w:rFonts w:ascii="Helvetica" w:hAnsi="Helvetica" w:cs="Arial"/>
          <w:sz w:val="20"/>
          <w:szCs w:val="20"/>
          <w:lang w:val="en-US"/>
        </w:rPr>
        <w:t xml:space="preserve">) and samples rarefied to an even depth </w:t>
      </w:r>
      <w:r w:rsidR="001760AF">
        <w:rPr>
          <w:rFonts w:ascii="Helvetica" w:hAnsi="Helvetica" w:cs="Arial"/>
          <w:sz w:val="20"/>
          <w:szCs w:val="20"/>
          <w:lang w:val="en-US"/>
        </w:rPr>
        <w:t xml:space="preserve">of </w:t>
      </w:r>
      <w:r w:rsidRPr="00D610C5">
        <w:rPr>
          <w:rFonts w:ascii="Helvetica" w:hAnsi="Helvetica" w:cs="Arial"/>
          <w:sz w:val="20"/>
          <w:szCs w:val="20"/>
          <w:lang w:val="en-US"/>
        </w:rPr>
        <w:t xml:space="preserve">26702 for both experiments where sequencing data is available. </w:t>
      </w:r>
      <w:r w:rsidR="00FF04CA">
        <w:rPr>
          <w:rFonts w:ascii="Helvetica" w:hAnsi="Helvetica" w:cs="Arial"/>
          <w:sz w:val="20"/>
          <w:szCs w:val="20"/>
          <w:lang w:val="en-US"/>
        </w:rPr>
        <w:t>QIIME was used to calculate a</w:t>
      </w:r>
      <w:r w:rsidRPr="00D610C5">
        <w:rPr>
          <w:rFonts w:ascii="Helvetica" w:hAnsi="Helvetica" w:cs="Arial"/>
          <w:sz w:val="20"/>
          <w:szCs w:val="20"/>
          <w:lang w:val="en-US"/>
        </w:rPr>
        <w:t>lpha</w:t>
      </w:r>
      <w:r w:rsidR="00FF04CA">
        <w:rPr>
          <w:rFonts w:ascii="Helvetica" w:hAnsi="Helvetica" w:cs="Arial"/>
          <w:sz w:val="20"/>
          <w:szCs w:val="20"/>
          <w:lang w:val="en-US"/>
        </w:rPr>
        <w:t xml:space="preserve"> and</w:t>
      </w:r>
      <w:r w:rsidRPr="00D610C5">
        <w:rPr>
          <w:rFonts w:ascii="Helvetica" w:hAnsi="Helvetica" w:cs="Arial"/>
          <w:sz w:val="20"/>
          <w:szCs w:val="20"/>
          <w:lang w:val="en-US"/>
        </w:rPr>
        <w:t xml:space="preserve"> beta diversity data</w:t>
      </w:r>
      <w:r w:rsidR="00FF04CA">
        <w:rPr>
          <w:rFonts w:ascii="Helvetica" w:hAnsi="Helvetica" w:cs="Arial"/>
          <w:sz w:val="20"/>
          <w:szCs w:val="20"/>
          <w:lang w:val="en-US"/>
        </w:rPr>
        <w:t xml:space="preserve"> and produce</w:t>
      </w:r>
      <w:r w:rsidRPr="00D610C5">
        <w:rPr>
          <w:rFonts w:ascii="Helvetica" w:hAnsi="Helvetica" w:cs="Arial"/>
          <w:sz w:val="20"/>
          <w:szCs w:val="20"/>
          <w:lang w:val="en-US"/>
        </w:rPr>
        <w:t xml:space="preserve"> NMDS plots</w:t>
      </w:r>
      <w:r w:rsidR="00FF04CA">
        <w:rPr>
          <w:rFonts w:ascii="Helvetica" w:hAnsi="Helvetica" w:cs="Arial"/>
          <w:sz w:val="20"/>
          <w:szCs w:val="20"/>
          <w:lang w:val="en-US"/>
        </w:rPr>
        <w:t>.</w:t>
      </w: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lang w:val="en-US"/>
        </w:rPr>
      </w:pPr>
    </w:p>
    <w:p w:rsidR="00C253C9" w:rsidRPr="00D610C5" w:rsidRDefault="00C253C9" w:rsidP="00C253C9">
      <w:pPr>
        <w:spacing w:line="480" w:lineRule="auto"/>
        <w:jc w:val="both"/>
        <w:rPr>
          <w:rFonts w:ascii="Helvetica" w:hAnsi="Helvetica" w:cs="Arial"/>
          <w:sz w:val="20"/>
          <w:szCs w:val="20"/>
        </w:rPr>
      </w:pPr>
      <w:r w:rsidRPr="00D610C5">
        <w:rPr>
          <w:rFonts w:ascii="Helvetica" w:hAnsi="Helvetica" w:cs="Arial"/>
          <w:sz w:val="20"/>
          <w:szCs w:val="20"/>
        </w:rPr>
        <w:t xml:space="preserve">For the NNLS analysis, following removal of low abundance OTUs and cumulative sum scaling transformation, the resulting </w:t>
      </w:r>
      <w:proofErr w:type="spellStart"/>
      <w:r w:rsidRPr="00D610C5">
        <w:rPr>
          <w:rFonts w:ascii="Helvetica" w:hAnsi="Helvetica" w:cs="Arial"/>
          <w:sz w:val="20"/>
          <w:szCs w:val="20"/>
        </w:rPr>
        <w:t>biom</w:t>
      </w:r>
      <w:proofErr w:type="spellEnd"/>
      <w:r w:rsidRPr="00D610C5">
        <w:rPr>
          <w:rFonts w:ascii="Helvetica" w:hAnsi="Helvetica" w:cs="Arial"/>
          <w:sz w:val="20"/>
          <w:szCs w:val="20"/>
        </w:rPr>
        <w:t xml:space="preserve"> file was used to create a matrix </w:t>
      </w:r>
      <m:oMath>
        <m:sSubSup>
          <m:sSubSupPr>
            <m:ctrlPr>
              <w:rPr>
                <w:rFonts w:ascii="Cambria Math" w:hAnsi="Cambria Math" w:cs="Arial"/>
                <w:i/>
                <w:sz w:val="20"/>
                <w:szCs w:val="20"/>
              </w:rPr>
            </m:ctrlPr>
          </m:sSubSupPr>
          <m:e>
            <m:r>
              <w:rPr>
                <w:rFonts w:ascii="Cambria Math" w:hAnsi="Cambria Math" w:cs="Arial"/>
                <w:sz w:val="20"/>
                <w:szCs w:val="20"/>
              </w:rPr>
              <m:t>A</m:t>
            </m:r>
            <m:r>
              <m:rPr>
                <m:scr m:val="double-struck"/>
              </m:rPr>
              <w:rPr>
                <w:rFonts w:ascii="Cambria Math" w:hAnsi="Cambria Math" w:cs="Arial"/>
                <w:sz w:val="20"/>
                <w:szCs w:val="20"/>
              </w:rPr>
              <m:t>∈Z</m:t>
            </m:r>
          </m:e>
          <m:sub>
            <m:r>
              <w:rPr>
                <w:rFonts w:ascii="Cambria Math" w:hAnsi="Cambria Math" w:cs="Arial"/>
                <w:sz w:val="20"/>
                <w:szCs w:val="20"/>
              </w:rPr>
              <m:t xml:space="preserve"> ≥0</m:t>
            </m:r>
          </m:sub>
          <m:sup>
            <m:r>
              <w:rPr>
                <w:rFonts w:ascii="Cambria Math" w:hAnsi="Cambria Math" w:cs="Arial"/>
                <w:sz w:val="20"/>
                <w:szCs w:val="20"/>
              </w:rPr>
              <m:t xml:space="preserve"> m </m:t>
            </m:r>
            <m:r>
              <m:rPr>
                <m:sty m:val="p"/>
              </m:rPr>
              <w:rPr>
                <w:rFonts w:ascii="Cambria Math" w:hAnsi="Cambria Math" w:cs="Arial"/>
                <w:sz w:val="20"/>
                <w:szCs w:val="20"/>
              </w:rPr>
              <m:t>×</m:t>
            </m:r>
            <m:r>
              <w:rPr>
                <w:rFonts w:ascii="Cambria Math" w:hAnsi="Cambria Math" w:cs="Arial"/>
                <w:sz w:val="20"/>
                <w:szCs w:val="20"/>
              </w:rPr>
              <m:t xml:space="preserve"> n</m:t>
            </m:r>
          </m:sup>
        </m:sSubSup>
      </m:oMath>
      <w:r w:rsidRPr="00D610C5">
        <w:rPr>
          <w:rFonts w:ascii="Helvetica" w:hAnsi="Helvetica" w:cs="Arial"/>
          <w:sz w:val="20"/>
          <w:szCs w:val="20"/>
        </w:rPr>
        <w:t xml:space="preserve"> (</w:t>
      </w:r>
      <w:r w:rsidRPr="00D610C5">
        <w:rPr>
          <w:rFonts w:ascii="Helvetica" w:hAnsi="Helvetica" w:cs="Arial"/>
          <w:i/>
          <w:sz w:val="20"/>
          <w:szCs w:val="20"/>
        </w:rPr>
        <w:t>m</w:t>
      </w:r>
      <w:r w:rsidRPr="00D610C5">
        <w:rPr>
          <w:rFonts w:ascii="Helvetica" w:hAnsi="Helvetica" w:cs="Arial"/>
          <w:sz w:val="20"/>
          <w:szCs w:val="20"/>
        </w:rPr>
        <w:t xml:space="preserve"> rows of OTUs by </w:t>
      </w:r>
      <w:r w:rsidRPr="00D610C5">
        <w:rPr>
          <w:rFonts w:ascii="Helvetica" w:hAnsi="Helvetica" w:cs="Arial"/>
          <w:i/>
          <w:sz w:val="20"/>
          <w:szCs w:val="20"/>
        </w:rPr>
        <w:t>n</w:t>
      </w:r>
      <w:r w:rsidRPr="00D610C5">
        <w:rPr>
          <w:rFonts w:ascii="Helvetica" w:hAnsi="Helvetica" w:cs="Arial"/>
          <w:sz w:val="20"/>
          <w:szCs w:val="20"/>
        </w:rPr>
        <w:t xml:space="preserve"> sample columns) for the seed bioreactors, and a column vector</w:t>
      </w:r>
      <m:oMath>
        <m:sSubSup>
          <m:sSubSupPr>
            <m:ctrlPr>
              <w:rPr>
                <w:rFonts w:ascii="Cambria Math" w:hAnsi="Cambria Math" w:cs="Arial"/>
                <w:i/>
                <w:sz w:val="20"/>
                <w:szCs w:val="20"/>
              </w:rPr>
            </m:ctrlPr>
          </m:sSubSupPr>
          <m:e>
            <m:r>
              <w:rPr>
                <w:rFonts w:ascii="Cambria Math" w:hAnsi="Cambria Math" w:cs="Arial"/>
                <w:sz w:val="20"/>
                <w:szCs w:val="20"/>
              </w:rPr>
              <m:t xml:space="preserve"> b</m:t>
            </m:r>
            <m:r>
              <m:rPr>
                <m:scr m:val="double-struck"/>
              </m:rPr>
              <w:rPr>
                <w:rFonts w:ascii="Cambria Math" w:hAnsi="Cambria Math" w:cs="Arial"/>
                <w:sz w:val="20"/>
                <w:szCs w:val="20"/>
              </w:rPr>
              <m:t>∈ Z</m:t>
            </m:r>
          </m:e>
          <m:sub>
            <m:r>
              <w:rPr>
                <w:rFonts w:ascii="Cambria Math" w:hAnsi="Cambria Math" w:cs="Arial"/>
                <w:sz w:val="20"/>
                <w:szCs w:val="20"/>
              </w:rPr>
              <m:t xml:space="preserve"> ≥0</m:t>
            </m:r>
          </m:sub>
          <m:sup>
            <m:r>
              <w:rPr>
                <w:rFonts w:ascii="Cambria Math" w:hAnsi="Cambria Math" w:cs="Arial"/>
                <w:sz w:val="20"/>
                <w:szCs w:val="20"/>
              </w:rPr>
              <m:t xml:space="preserve"> m</m:t>
            </m:r>
          </m:sup>
        </m:sSubSup>
      </m:oMath>
      <w:r w:rsidRPr="00D610C5">
        <w:rPr>
          <w:rFonts w:ascii="Helvetica" w:hAnsi="Helvetica" w:cs="Arial"/>
          <w:sz w:val="20"/>
          <w:szCs w:val="20"/>
        </w:rPr>
        <w:t xml:space="preserve"> for each mixed bioreactor; both</w:t>
      </w:r>
      <m:oMath>
        <m:r>
          <w:rPr>
            <w:rFonts w:ascii="Cambria Math" w:hAnsi="Cambria Math" w:cs="Arial"/>
            <w:sz w:val="20"/>
            <w:szCs w:val="20"/>
          </w:rPr>
          <m:t xml:space="preserve"> A</m:t>
        </m:r>
      </m:oMath>
      <w:r w:rsidRPr="00D610C5">
        <w:rPr>
          <w:rFonts w:ascii="Helvetica" w:hAnsi="Helvetica" w:cs="Arial"/>
          <w:sz w:val="20"/>
          <w:szCs w:val="20"/>
        </w:rPr>
        <w:t xml:space="preserve"> and </w:t>
      </w:r>
      <m:oMath>
        <m:r>
          <w:rPr>
            <w:rFonts w:ascii="Cambria Math" w:hAnsi="Cambria Math" w:cs="Arial"/>
            <w:sz w:val="20"/>
            <w:szCs w:val="20"/>
          </w:rPr>
          <m:t>b</m:t>
        </m:r>
      </m:oMath>
      <w:r w:rsidRPr="00D610C5">
        <w:rPr>
          <w:rFonts w:ascii="Helvetica" w:hAnsi="Helvetica" w:cs="Arial"/>
          <w:sz w:val="20"/>
          <w:szCs w:val="20"/>
        </w:rPr>
        <w:t xml:space="preserve"> hold non-negative integers of OTU abundances. One of the </w:t>
      </w:r>
      <w:r w:rsidR="00CD3186">
        <w:rPr>
          <w:rFonts w:ascii="Helvetica" w:hAnsi="Helvetica" w:cs="Arial"/>
          <w:sz w:val="20"/>
          <w:szCs w:val="20"/>
        </w:rPr>
        <w:t>individual</w:t>
      </w:r>
      <w:r w:rsidRPr="00D610C5">
        <w:rPr>
          <w:rFonts w:ascii="Helvetica" w:hAnsi="Helvetica" w:cs="Arial"/>
          <w:sz w:val="20"/>
          <w:szCs w:val="20"/>
        </w:rPr>
        <w:t xml:space="preserve"> samples contained a negligible number of reads and was discarded from the analysis. The contribution, or weight, of each seed sample to the pattern of OTUs observed in a mixed sample is given by the column vector</w:t>
      </w:r>
      <m:oMath>
        <m:sSup>
          <m:sSupPr>
            <m:ctrlPr>
              <w:rPr>
                <w:rFonts w:ascii="Cambria Math" w:hAnsi="Cambria Math" w:cs="Arial"/>
                <w:i/>
                <w:sz w:val="20"/>
                <w:szCs w:val="20"/>
              </w:rPr>
            </m:ctrlPr>
          </m:sSupPr>
          <m:e>
            <m:r>
              <w:rPr>
                <w:rFonts w:ascii="Cambria Math" w:hAnsi="Cambria Math" w:cs="Arial"/>
                <w:sz w:val="20"/>
                <w:szCs w:val="20"/>
              </w:rPr>
              <m:t xml:space="preserve"> x</m:t>
            </m:r>
            <m:r>
              <m:rPr>
                <m:scr m:val="double-struck"/>
              </m:rPr>
              <w:rPr>
                <w:rFonts w:ascii="Cambria Math" w:hAnsi="Cambria Math" w:cs="Arial"/>
                <w:sz w:val="20"/>
                <w:szCs w:val="20"/>
              </w:rPr>
              <m:t xml:space="preserve">∈R </m:t>
            </m:r>
          </m:e>
          <m:sup>
            <m:r>
              <w:rPr>
                <w:rFonts w:ascii="Cambria Math" w:hAnsi="Cambria Math" w:cs="Arial"/>
                <w:sz w:val="20"/>
                <w:szCs w:val="20"/>
              </w:rPr>
              <m:t>n</m:t>
            </m:r>
          </m:sup>
        </m:sSup>
      </m:oMath>
      <w:r w:rsidRPr="00D610C5">
        <w:rPr>
          <w:rFonts w:ascii="Helvetica" w:hAnsi="Helvetica" w:cs="Arial"/>
          <w:sz w:val="20"/>
          <w:szCs w:val="20"/>
        </w:rPr>
        <w:t xml:space="preserve"> when solving for a system of linear equations</w:t>
      </w:r>
      <m:oMath>
        <m:r>
          <w:rPr>
            <w:rFonts w:ascii="Cambria Math" w:hAnsi="Cambria Math" w:cs="Arial"/>
            <w:sz w:val="20"/>
            <w:szCs w:val="20"/>
          </w:rPr>
          <m:t xml:space="preserve"> Ax=b</m:t>
        </m:r>
      </m:oMath>
      <w:r w:rsidRPr="00D610C5">
        <w:rPr>
          <w:rFonts w:ascii="Helvetica" w:hAnsi="Helvetica" w:cs="Arial"/>
          <w:sz w:val="20"/>
          <w:szCs w:val="20"/>
        </w:rPr>
        <w:t xml:space="preserve">. </w:t>
      </w:r>
    </w:p>
    <w:p w:rsidR="00C253C9" w:rsidRPr="00D610C5" w:rsidRDefault="00C253C9" w:rsidP="00C253C9">
      <w:pPr>
        <w:spacing w:line="480" w:lineRule="auto"/>
        <w:jc w:val="both"/>
        <w:rPr>
          <w:rFonts w:ascii="Helvetica" w:hAnsi="Helvetica" w:cs="Arial"/>
          <w:sz w:val="20"/>
          <w:szCs w:val="20"/>
        </w:rPr>
      </w:pP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rPr>
      </w:pPr>
      <w:r w:rsidRPr="00D610C5">
        <w:rPr>
          <w:rFonts w:ascii="Helvetica" w:hAnsi="Helvetica" w:cs="Arial"/>
          <w:sz w:val="20"/>
          <w:szCs w:val="20"/>
        </w:rPr>
        <w:t xml:space="preserve">When modelling count data for environmental samples the fitted parameters of </w:t>
      </w:r>
      <m:oMath>
        <m:r>
          <w:rPr>
            <w:rFonts w:ascii="Cambria Math" w:hAnsi="Cambria Math" w:cs="Arial"/>
            <w:sz w:val="20"/>
            <w:szCs w:val="20"/>
          </w:rPr>
          <m:t>x</m:t>
        </m:r>
      </m:oMath>
      <w:r w:rsidRPr="00D610C5">
        <w:rPr>
          <w:rFonts w:ascii="Helvetica" w:hAnsi="Helvetica" w:cs="Arial"/>
          <w:sz w:val="20"/>
          <w:szCs w:val="20"/>
        </w:rPr>
        <w:t xml:space="preserve"> will also be non-negative and the number of OTUs will usually exceed the number of samples (</w:t>
      </w:r>
      <w:r w:rsidRPr="00D610C5">
        <w:rPr>
          <w:rFonts w:ascii="Helvetica" w:hAnsi="Helvetica" w:cs="Arial"/>
          <w:i/>
          <w:sz w:val="20"/>
          <w:szCs w:val="20"/>
        </w:rPr>
        <w:t>m</w:t>
      </w:r>
      <w:r w:rsidRPr="00D610C5">
        <w:rPr>
          <w:rFonts w:ascii="Helvetica" w:hAnsi="Helvetica" w:cs="Arial"/>
          <w:sz w:val="20"/>
          <w:szCs w:val="20"/>
        </w:rPr>
        <w:t xml:space="preserve"> &gt; </w:t>
      </w:r>
      <w:r w:rsidRPr="00D610C5">
        <w:rPr>
          <w:rFonts w:ascii="Helvetica" w:hAnsi="Helvetica" w:cs="Arial"/>
          <w:i/>
          <w:sz w:val="20"/>
          <w:szCs w:val="20"/>
        </w:rPr>
        <w:t>n</w:t>
      </w:r>
      <w:r w:rsidRPr="00D610C5">
        <w:rPr>
          <w:rFonts w:ascii="Helvetica" w:hAnsi="Helvetica" w:cs="Arial"/>
          <w:sz w:val="20"/>
          <w:szCs w:val="20"/>
        </w:rPr>
        <w:t xml:space="preserve">). The task is to solve an over-determined system of linear equations where there are more equations than unknowns. It is likely that some of the linear equations will ‘disagree’ and there will be no exact solution. Geometrically, this may be interpreted as </w:t>
      </w:r>
      <m:oMath>
        <m:r>
          <w:rPr>
            <w:rFonts w:ascii="Cambria Math" w:hAnsi="Cambria Math" w:cs="Arial"/>
            <w:sz w:val="20"/>
            <w:szCs w:val="20"/>
          </w:rPr>
          <m:t>b</m:t>
        </m:r>
      </m:oMath>
      <w:r w:rsidRPr="00D610C5">
        <w:rPr>
          <w:rFonts w:ascii="Helvetica" w:hAnsi="Helvetica" w:cs="Arial"/>
          <w:sz w:val="20"/>
          <w:szCs w:val="20"/>
        </w:rPr>
        <w:t xml:space="preserve"> not lying in the column space of</w:t>
      </w:r>
      <m:oMath>
        <m:r>
          <w:rPr>
            <w:rFonts w:ascii="Cambria Math" w:hAnsi="Cambria Math" w:cs="Arial"/>
            <w:sz w:val="20"/>
            <w:szCs w:val="20"/>
          </w:rPr>
          <m:t xml:space="preserve"> A</m:t>
        </m:r>
      </m:oMath>
      <w:r w:rsidRPr="00D610C5">
        <w:rPr>
          <w:rFonts w:ascii="Helvetica" w:hAnsi="Helvetica" w:cs="Arial"/>
          <w:sz w:val="20"/>
          <w:szCs w:val="20"/>
        </w:rPr>
        <w:t xml:space="preserve">, a (hyper)plane holding the column vectors of </w:t>
      </w:r>
      <m:oMath>
        <m:r>
          <w:rPr>
            <w:rFonts w:ascii="Cambria Math" w:hAnsi="Cambria Math" w:cs="Arial"/>
            <w:sz w:val="20"/>
            <w:szCs w:val="20"/>
          </w:rPr>
          <m:t>A</m:t>
        </m:r>
      </m:oMath>
      <w:r w:rsidRPr="00D610C5">
        <w:rPr>
          <w:rFonts w:ascii="Helvetica" w:hAnsi="Helvetica" w:cs="Arial"/>
          <w:sz w:val="20"/>
          <w:szCs w:val="20"/>
        </w:rPr>
        <w:t xml:space="preserve">, or </w:t>
      </w:r>
      <m:oMath>
        <m:r>
          <w:rPr>
            <w:rFonts w:ascii="Cambria Math" w:hAnsi="Cambria Math" w:cs="Arial"/>
            <w:sz w:val="20"/>
            <w:szCs w:val="20"/>
          </w:rPr>
          <m:t>Ax-b≠0</m:t>
        </m:r>
      </m:oMath>
      <w:r w:rsidRPr="00D610C5">
        <w:rPr>
          <w:rFonts w:ascii="Helvetica" w:hAnsi="Helvetica" w:cs="Arial"/>
          <w:sz w:val="20"/>
          <w:szCs w:val="20"/>
        </w:rPr>
        <w:t>. A least-squares approach may find the non-negative vector</w:t>
      </w:r>
      <m:oMath>
        <m:r>
          <w:rPr>
            <w:rFonts w:ascii="Cambria Math" w:hAnsi="Cambria Math" w:cs="Arial"/>
            <w:sz w:val="20"/>
            <w:szCs w:val="20"/>
          </w:rPr>
          <m:t xml:space="preserve"> </m:t>
        </m:r>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m:t>
        </m:r>
        <m:sSup>
          <m:sSupPr>
            <m:ctrlPr>
              <w:rPr>
                <w:rFonts w:ascii="Cambria Math" w:hAnsi="Cambria Math" w:cs="Arial"/>
                <w:i/>
                <w:sz w:val="20"/>
                <w:szCs w:val="20"/>
              </w:rPr>
            </m:ctrlPr>
          </m:sSupPr>
          <m:e>
            <m:sSup>
              <m:sSupPr>
                <m:ctrlPr>
                  <w:rPr>
                    <w:rFonts w:ascii="Cambria Math" w:hAnsi="Cambria Math" w:cs="Arial"/>
                    <w:i/>
                    <w:sz w:val="20"/>
                    <w:szCs w:val="20"/>
                  </w:rPr>
                </m:ctrlPr>
              </m:sSupPr>
              <m:e>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T</m:t>
                    </m:r>
                  </m:sup>
                </m:sSup>
                <m:r>
                  <w:rPr>
                    <w:rFonts w:ascii="Cambria Math" w:hAnsi="Cambria Math" w:cs="Arial"/>
                    <w:sz w:val="20"/>
                    <w:szCs w:val="20"/>
                  </w:rPr>
                  <m:t>A)</m:t>
                </m:r>
              </m:e>
              <m:sup>
                <m:r>
                  <w:rPr>
                    <w:rFonts w:ascii="Cambria Math" w:hAnsi="Cambria Math" w:cs="Arial"/>
                    <w:sz w:val="20"/>
                    <w:szCs w:val="20"/>
                  </w:rPr>
                  <m:t>-1</m:t>
                </m:r>
              </m:sup>
            </m:sSup>
            <m:r>
              <w:rPr>
                <w:rFonts w:ascii="Cambria Math" w:hAnsi="Cambria Math" w:cs="Arial"/>
                <w:sz w:val="20"/>
                <w:szCs w:val="20"/>
              </w:rPr>
              <m:t>A</m:t>
            </m:r>
          </m:e>
          <m:sup>
            <m:r>
              <w:rPr>
                <w:rFonts w:ascii="Cambria Math" w:hAnsi="Cambria Math" w:cs="Arial"/>
                <w:sz w:val="20"/>
                <w:szCs w:val="20"/>
              </w:rPr>
              <m:t>T</m:t>
            </m:r>
          </m:sup>
        </m:sSup>
        <m:r>
          <w:rPr>
            <w:rFonts w:ascii="Cambria Math" w:hAnsi="Cambria Math" w:cs="Arial"/>
            <w:sz w:val="20"/>
            <w:szCs w:val="20"/>
          </w:rPr>
          <m:t>b</m:t>
        </m:r>
      </m:oMath>
      <w:r w:rsidRPr="00D610C5">
        <w:rPr>
          <w:rFonts w:ascii="Helvetica" w:hAnsi="Helvetica" w:cs="Arial"/>
          <w:sz w:val="20"/>
          <w:szCs w:val="20"/>
        </w:rPr>
        <w:t xml:space="preserve"> which is the projection of </w:t>
      </w:r>
      <m:oMath>
        <m:r>
          <w:rPr>
            <w:rFonts w:ascii="Cambria Math" w:hAnsi="Cambria Math" w:cs="Arial"/>
            <w:sz w:val="20"/>
            <w:szCs w:val="20"/>
          </w:rPr>
          <m:t>b</m:t>
        </m:r>
      </m:oMath>
      <w:r w:rsidRPr="00D610C5">
        <w:rPr>
          <w:rFonts w:ascii="Helvetica" w:hAnsi="Helvetica" w:cs="Arial"/>
          <w:sz w:val="20"/>
          <w:szCs w:val="20"/>
        </w:rPr>
        <w:t xml:space="preserve"> back onto the column space of</w:t>
      </w:r>
      <m:oMath>
        <m:r>
          <w:rPr>
            <w:rFonts w:ascii="Cambria Math" w:hAnsi="Cambria Math" w:cs="Arial"/>
            <w:sz w:val="20"/>
            <w:szCs w:val="20"/>
          </w:rPr>
          <m:t xml:space="preserve"> A</m:t>
        </m:r>
      </m:oMath>
      <w:r w:rsidRPr="00D610C5">
        <w:rPr>
          <w:rFonts w:ascii="Helvetica" w:hAnsi="Helvetica" w:cs="Arial"/>
          <w:sz w:val="20"/>
          <w:szCs w:val="20"/>
        </w:rPr>
        <w:t xml:space="preserve"> that minimises the least-squares error ‘distance’</w:t>
      </w:r>
      <m:oMath>
        <m:r>
          <w:rPr>
            <w:rFonts w:ascii="Cambria Math" w:hAnsi="Cambria Math" w:cs="Arial"/>
            <w:sz w:val="20"/>
            <w:szCs w:val="20"/>
          </w:rPr>
          <m:t xml:space="preserve"> </m:t>
        </m:r>
        <m:d>
          <m:dPr>
            <m:begChr m:val="‖"/>
            <m:endChr m:val="‖"/>
            <m:ctrlPr>
              <w:rPr>
                <w:rFonts w:ascii="Cambria Math" w:hAnsi="Cambria Math" w:cs="Arial"/>
                <w:i/>
                <w:sz w:val="20"/>
                <w:szCs w:val="20"/>
              </w:rPr>
            </m:ctrlPr>
          </m:dPr>
          <m:e>
            <m:r>
              <w:rPr>
                <w:rFonts w:ascii="Cambria Math" w:hAnsi="Cambria Math" w:cs="Arial"/>
                <w:sz w:val="20"/>
                <w:szCs w:val="20"/>
              </w:rPr>
              <m:t>A</m:t>
            </m:r>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-b</m:t>
            </m:r>
          </m:e>
        </m:d>
      </m:oMath>
      <w:r w:rsidRPr="00D610C5">
        <w:rPr>
          <w:rFonts w:ascii="Helvetica" w:hAnsi="Helvetica" w:cs="Arial"/>
          <w:sz w:val="20"/>
          <w:szCs w:val="20"/>
        </w:rPr>
        <w:t>. For our study the non-negative least-squares (NNLS) solution,</w:t>
      </w:r>
      <m:oMath>
        <m:r>
          <w:rPr>
            <w:rFonts w:ascii="Cambria Math" w:hAnsi="Cambria Math" w:cs="Arial"/>
            <w:sz w:val="20"/>
            <w:szCs w:val="20"/>
          </w:rPr>
          <m:t xml:space="preserve"> </m:t>
        </m:r>
        <w:bookmarkStart w:id="0" w:name="_GoBack"/>
        <m:acc>
          <m:accPr>
            <m:chr m:val="̅"/>
            <m:ctrlPr>
              <w:rPr>
                <w:rFonts w:ascii="Cambria Math" w:hAnsi="Cambria Math" w:cs="Arial"/>
                <w:i/>
                <w:sz w:val="20"/>
                <w:szCs w:val="20"/>
              </w:rPr>
            </m:ctrlPr>
          </m:accPr>
          <m:e>
            <m:r>
              <w:rPr>
                <w:rFonts w:ascii="Cambria Math" w:hAnsi="Cambria Math" w:cs="Arial"/>
                <w:sz w:val="20"/>
                <w:szCs w:val="20"/>
              </w:rPr>
              <m:t>x</m:t>
            </m:r>
          </m:e>
        </m:acc>
      </m:oMath>
      <w:bookmarkEnd w:id="0"/>
      <w:r w:rsidRPr="00D610C5">
        <w:rPr>
          <w:rFonts w:ascii="Helvetica" w:hAnsi="Helvetica" w:cs="Arial"/>
          <w:sz w:val="20"/>
          <w:szCs w:val="20"/>
        </w:rPr>
        <w:t xml:space="preserve">, and least-squares errors were </w:t>
      </w:r>
      <w:r w:rsidRPr="00D610C5">
        <w:rPr>
          <w:rFonts w:ascii="Helvetica" w:hAnsi="Helvetica" w:cs="Arial"/>
          <w:sz w:val="20"/>
          <w:szCs w:val="20"/>
        </w:rPr>
        <w:lastRenderedPageBreak/>
        <w:t>computed via the R packages ‘nnls’</w:t>
      </w:r>
      <w:r w:rsidR="00B235AE">
        <w:rPr>
          <w:rFonts w:ascii="Helvetica" w:hAnsi="Helvetica" w:cs="Arial"/>
          <w:sz w:val="20"/>
          <w:szCs w:val="20"/>
        </w:rPr>
        <w:fldChar w:fldCharType="begin" w:fldLock="1"/>
      </w:r>
      <w:r w:rsidR="00C74ECC">
        <w:rPr>
          <w:rFonts w:ascii="Helvetica" w:hAnsi="Helvetica" w:cs="Arial"/>
          <w:sz w:val="20"/>
          <w:szCs w:val="20"/>
        </w:rPr>
        <w:instrText>ADDIN CSL_CITATION { "citationItems" : [ { "id" : "ITEM-1", "itemData" : { "author" : [ { "dropping-particle" : "", "family" : "Mullen", "given" : "KM", "non-dropping-particle" : "", "parse-names" : false, "suffix" : "" }, { "dropping-particle" : "", "family" : "Stokkum", "given" : "IHM", "non-dropping-particle" : "Van", "parse-names" : false, "suffix" : "" } ], "id" : "ITEM-1", "issued" : { "date-parts" : [ [ "2007" ] ] }, "number" : "R package", "title" : "The Lawson-Hanson algorithm for non-negative least squares (NNLS)", "type" : "article" }, "uris" : [ "http://www.mendeley.com/documents/?uuid=f5d54e2a-126e-3a42-b35f-3c5314fb8257" ] } ], "mendeley" : { "formattedCitation" : "&lt;sup&gt;9&lt;/sup&gt;", "plainTextFormattedCitation" : "9", "previouslyFormattedCitation" : "&lt;sup&gt;9&lt;/sup&gt;" }, "properties" : { "noteIndex" : 0 }, "schema" : "https://github.com/citation-style-language/schema/raw/master/csl-citation.json" }</w:instrText>
      </w:r>
      <w:r w:rsidR="00B235AE">
        <w:rPr>
          <w:rFonts w:ascii="Helvetica" w:hAnsi="Helvetica" w:cs="Arial"/>
          <w:sz w:val="20"/>
          <w:szCs w:val="20"/>
        </w:rPr>
        <w:fldChar w:fldCharType="separate"/>
      </w:r>
      <w:r w:rsidR="00B235AE" w:rsidRPr="00B235AE">
        <w:rPr>
          <w:rFonts w:ascii="Helvetica" w:hAnsi="Helvetica" w:cs="Arial"/>
          <w:noProof/>
          <w:sz w:val="20"/>
          <w:szCs w:val="20"/>
          <w:vertAlign w:val="superscript"/>
        </w:rPr>
        <w:t>9</w:t>
      </w:r>
      <w:r w:rsidR="00B235AE">
        <w:rPr>
          <w:rFonts w:ascii="Helvetica" w:hAnsi="Helvetica" w:cs="Arial"/>
          <w:sz w:val="20"/>
          <w:szCs w:val="20"/>
        </w:rPr>
        <w:fldChar w:fldCharType="end"/>
      </w:r>
      <w:r w:rsidRPr="00D610C5">
        <w:rPr>
          <w:rFonts w:ascii="Helvetica" w:hAnsi="Helvetica" w:cs="Arial"/>
          <w:sz w:val="20"/>
          <w:szCs w:val="20"/>
        </w:rPr>
        <w:t xml:space="preserve"> and ‘limSolve’</w:t>
      </w:r>
      <w:r w:rsidR="00C74ECC">
        <w:rPr>
          <w:rFonts w:ascii="Helvetica" w:hAnsi="Helvetica" w:cs="Arial"/>
          <w:sz w:val="20"/>
          <w:szCs w:val="20"/>
        </w:rPr>
        <w:fldChar w:fldCharType="begin" w:fldLock="1"/>
      </w:r>
      <w:r w:rsidR="00C74ECC">
        <w:rPr>
          <w:rFonts w:ascii="Helvetica" w:hAnsi="Helvetica" w:cs="Arial"/>
          <w:sz w:val="20"/>
          <w:szCs w:val="20"/>
        </w:rPr>
        <w:instrText>ADDIN CSL_CITATION { "citationItems" : [ { "id" : "ITEM-1", "itemData" : { "author" : [ { "dropping-particle" : "", "family" : "Soetaert", "given" : "K", "non-dropping-particle" : "", "parse-names" : false, "suffix" : "" }, { "dropping-particle" : "", "family" : "Meersche", "given" : "K V D", "non-dropping-particle" : "", "parse-names" : false, "suffix" : "" }, { "dropping-particle" : "V", "family" : "Oevelen", "given" : "D", "non-dropping-particle" : "", "parse-names" : false, "suffix" : "" } ], "id" : "ITEM-1", "issued" : { "date-parts" : [ [ "2009" ] ] }, "title" : "Package limSolve, solving linear inverse models in R.", "type" : "article" }, "uris" : [ "http://www.mendeley.com/documents/?uuid=321d9f6c-7851-458c-b9d1-37cbfbe25c32" ] } ], "mendeley" : { "formattedCitation" : "&lt;sup&gt;10&lt;/sup&gt;", "plainTextFormattedCitation" : "10" }, "properties" : { "noteIndex" : 0 }, "schema" : "https://github.com/citation-style-language/schema/raw/master/csl-citation.json" }</w:instrText>
      </w:r>
      <w:r w:rsidR="00C74ECC">
        <w:rPr>
          <w:rFonts w:ascii="Helvetica" w:hAnsi="Helvetica" w:cs="Arial"/>
          <w:sz w:val="20"/>
          <w:szCs w:val="20"/>
        </w:rPr>
        <w:fldChar w:fldCharType="separate"/>
      </w:r>
      <w:r w:rsidR="00C74ECC" w:rsidRPr="00C74ECC">
        <w:rPr>
          <w:rFonts w:ascii="Helvetica" w:hAnsi="Helvetica" w:cs="Arial"/>
          <w:noProof/>
          <w:sz w:val="20"/>
          <w:szCs w:val="20"/>
          <w:vertAlign w:val="superscript"/>
        </w:rPr>
        <w:t>10</w:t>
      </w:r>
      <w:r w:rsidR="00C74ECC">
        <w:rPr>
          <w:rFonts w:ascii="Helvetica" w:hAnsi="Helvetica" w:cs="Arial"/>
          <w:sz w:val="20"/>
          <w:szCs w:val="20"/>
        </w:rPr>
        <w:fldChar w:fldCharType="end"/>
      </w:r>
      <w:r w:rsidRPr="00D610C5">
        <w:rPr>
          <w:rFonts w:ascii="Helvetica" w:hAnsi="Helvetica" w:cs="Arial"/>
          <w:sz w:val="20"/>
          <w:szCs w:val="20"/>
        </w:rPr>
        <w:t xml:space="preserve"> for each of the mixed samples. </w:t>
      </w: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lang w:val="en-US"/>
        </w:rPr>
      </w:pPr>
    </w:p>
    <w:p w:rsidR="00C74ECC" w:rsidRPr="00C74ECC" w:rsidRDefault="001F34A7" w:rsidP="00C74ECC">
      <w:pPr>
        <w:widowControl w:val="0"/>
        <w:autoSpaceDE w:val="0"/>
        <w:autoSpaceDN w:val="0"/>
        <w:adjustRightInd w:val="0"/>
        <w:spacing w:line="480" w:lineRule="auto"/>
        <w:ind w:left="640" w:hanging="640"/>
        <w:rPr>
          <w:rFonts w:ascii="Helvetica" w:hAnsi="Helvetica"/>
          <w:noProof/>
          <w:sz w:val="20"/>
          <w:lang w:val="en-US"/>
        </w:rPr>
      </w:pPr>
      <w:r>
        <w:rPr>
          <w:rFonts w:ascii="Helvetica" w:hAnsi="Helvetica" w:cs="Arial"/>
          <w:b/>
          <w:sz w:val="20"/>
          <w:szCs w:val="20"/>
          <w:lang w:val="en-US"/>
        </w:rPr>
        <w:fldChar w:fldCharType="begin" w:fldLock="1"/>
      </w:r>
      <w:r>
        <w:rPr>
          <w:rFonts w:ascii="Helvetica" w:hAnsi="Helvetica" w:cs="Arial"/>
          <w:b/>
          <w:sz w:val="20"/>
          <w:szCs w:val="20"/>
          <w:lang w:val="en-US"/>
        </w:rPr>
        <w:instrText xml:space="preserve">ADDIN Mendeley Bibliography CSL_BIBLIOGRAPHY </w:instrText>
      </w:r>
      <w:r>
        <w:rPr>
          <w:rFonts w:ascii="Helvetica" w:hAnsi="Helvetica" w:cs="Arial"/>
          <w:b/>
          <w:sz w:val="20"/>
          <w:szCs w:val="20"/>
          <w:lang w:val="en-US"/>
        </w:rPr>
        <w:fldChar w:fldCharType="separate"/>
      </w:r>
      <w:r w:rsidR="00C74ECC" w:rsidRPr="00C74ECC">
        <w:rPr>
          <w:rFonts w:ascii="Helvetica" w:hAnsi="Helvetica"/>
          <w:noProof/>
          <w:sz w:val="20"/>
          <w:lang w:val="en-US"/>
        </w:rPr>
        <w:t>1.</w:t>
      </w:r>
      <w:r w:rsidR="00C74ECC" w:rsidRPr="00C74ECC">
        <w:rPr>
          <w:rFonts w:ascii="Helvetica" w:hAnsi="Helvetica"/>
          <w:noProof/>
          <w:sz w:val="20"/>
          <w:lang w:val="en-US"/>
        </w:rPr>
        <w:tab/>
        <w:t xml:space="preserve">Øvreås, L. &amp; Torsvik, V. Microbial Diversity and Community Structure in Two Different Agricultural Soil Communities. </w:t>
      </w:r>
      <w:r w:rsidR="00C74ECC" w:rsidRPr="00C74ECC">
        <w:rPr>
          <w:rFonts w:ascii="Helvetica" w:hAnsi="Helvetica"/>
          <w:i/>
          <w:iCs/>
          <w:noProof/>
          <w:sz w:val="20"/>
          <w:lang w:val="en-US"/>
        </w:rPr>
        <w:t>Microb. Ecol.</w:t>
      </w:r>
      <w:r w:rsidR="00C74ECC" w:rsidRPr="00C74ECC">
        <w:rPr>
          <w:rFonts w:ascii="Helvetica" w:hAnsi="Helvetica"/>
          <w:noProof/>
          <w:sz w:val="20"/>
          <w:lang w:val="en-US"/>
        </w:rPr>
        <w:t xml:space="preserve"> </w:t>
      </w:r>
      <w:r w:rsidR="00C74ECC" w:rsidRPr="00C74ECC">
        <w:rPr>
          <w:rFonts w:ascii="Helvetica" w:hAnsi="Helvetica"/>
          <w:b/>
          <w:bCs/>
          <w:noProof/>
          <w:sz w:val="20"/>
          <w:lang w:val="en-US"/>
        </w:rPr>
        <w:t>36,</w:t>
      </w:r>
      <w:r w:rsidR="00C74ECC" w:rsidRPr="00C74ECC">
        <w:rPr>
          <w:rFonts w:ascii="Helvetica" w:hAnsi="Helvetica"/>
          <w:noProof/>
          <w:sz w:val="20"/>
          <w:lang w:val="en-US"/>
        </w:rPr>
        <w:t xml:space="preserve"> 303–315 (1998).</w:t>
      </w:r>
    </w:p>
    <w:p w:rsidR="00C74ECC" w:rsidRPr="00C74ECC" w:rsidRDefault="00C74ECC" w:rsidP="00C74ECC">
      <w:pPr>
        <w:widowControl w:val="0"/>
        <w:autoSpaceDE w:val="0"/>
        <w:autoSpaceDN w:val="0"/>
        <w:adjustRightInd w:val="0"/>
        <w:spacing w:line="480" w:lineRule="auto"/>
        <w:ind w:left="640" w:hanging="640"/>
        <w:rPr>
          <w:rFonts w:ascii="Helvetica" w:hAnsi="Helvetica"/>
          <w:noProof/>
          <w:sz w:val="20"/>
          <w:lang w:val="en-US"/>
        </w:rPr>
      </w:pPr>
      <w:r w:rsidRPr="00C74ECC">
        <w:rPr>
          <w:rFonts w:ascii="Helvetica" w:hAnsi="Helvetica"/>
          <w:noProof/>
          <w:sz w:val="20"/>
          <w:lang w:val="en-US"/>
        </w:rPr>
        <w:t>2.</w:t>
      </w:r>
      <w:r w:rsidRPr="00C74ECC">
        <w:rPr>
          <w:rFonts w:ascii="Helvetica" w:hAnsi="Helvetica"/>
          <w:noProof/>
          <w:sz w:val="20"/>
          <w:lang w:val="en-US"/>
        </w:rPr>
        <w:tab/>
        <w:t xml:space="preserve">Ruijter, J. M. </w:t>
      </w:r>
      <w:r w:rsidRPr="00C74ECC">
        <w:rPr>
          <w:rFonts w:ascii="Helvetica" w:hAnsi="Helvetica"/>
          <w:i/>
          <w:iCs/>
          <w:noProof/>
          <w:sz w:val="20"/>
          <w:lang w:val="en-US"/>
        </w:rPr>
        <w:t>et al.</w:t>
      </w:r>
      <w:r w:rsidRPr="00C74ECC">
        <w:rPr>
          <w:rFonts w:ascii="Helvetica" w:hAnsi="Helvetica"/>
          <w:noProof/>
          <w:sz w:val="20"/>
          <w:lang w:val="en-US"/>
        </w:rPr>
        <w:t xml:space="preserve"> Amplification efficiency: linking baseline and bias in the analysis of quantitative PCR data. </w:t>
      </w:r>
      <w:r w:rsidRPr="00C74ECC">
        <w:rPr>
          <w:rFonts w:ascii="Helvetica" w:hAnsi="Helvetica"/>
          <w:i/>
          <w:iCs/>
          <w:noProof/>
          <w:sz w:val="20"/>
          <w:lang w:val="en-US"/>
        </w:rPr>
        <w:t>Nucleic Acids Res.</w:t>
      </w:r>
      <w:r w:rsidRPr="00C74ECC">
        <w:rPr>
          <w:rFonts w:ascii="Helvetica" w:hAnsi="Helvetica"/>
          <w:noProof/>
          <w:sz w:val="20"/>
          <w:lang w:val="en-US"/>
        </w:rPr>
        <w:t xml:space="preserve"> </w:t>
      </w:r>
      <w:r w:rsidRPr="00C74ECC">
        <w:rPr>
          <w:rFonts w:ascii="Helvetica" w:hAnsi="Helvetica"/>
          <w:b/>
          <w:bCs/>
          <w:noProof/>
          <w:sz w:val="20"/>
          <w:lang w:val="en-US"/>
        </w:rPr>
        <w:t>37,</w:t>
      </w:r>
      <w:r w:rsidRPr="00C74ECC">
        <w:rPr>
          <w:rFonts w:ascii="Helvetica" w:hAnsi="Helvetica"/>
          <w:noProof/>
          <w:sz w:val="20"/>
          <w:lang w:val="en-US"/>
        </w:rPr>
        <w:t xml:space="preserve"> e45 (2009).</w:t>
      </w:r>
    </w:p>
    <w:p w:rsidR="00C74ECC" w:rsidRPr="00C74ECC" w:rsidRDefault="00C74ECC" w:rsidP="00C74ECC">
      <w:pPr>
        <w:widowControl w:val="0"/>
        <w:autoSpaceDE w:val="0"/>
        <w:autoSpaceDN w:val="0"/>
        <w:adjustRightInd w:val="0"/>
        <w:spacing w:line="480" w:lineRule="auto"/>
        <w:ind w:left="640" w:hanging="640"/>
        <w:rPr>
          <w:rFonts w:ascii="Helvetica" w:hAnsi="Helvetica"/>
          <w:noProof/>
          <w:sz w:val="20"/>
          <w:lang w:val="en-US"/>
        </w:rPr>
      </w:pPr>
      <w:r w:rsidRPr="00C74ECC">
        <w:rPr>
          <w:rFonts w:ascii="Helvetica" w:hAnsi="Helvetica"/>
          <w:noProof/>
          <w:sz w:val="20"/>
          <w:lang w:val="en-US"/>
        </w:rPr>
        <w:t>3.</w:t>
      </w:r>
      <w:r w:rsidRPr="00C74ECC">
        <w:rPr>
          <w:rFonts w:ascii="Helvetica" w:hAnsi="Helvetica"/>
          <w:noProof/>
          <w:sz w:val="20"/>
          <w:lang w:val="en-US"/>
        </w:rPr>
        <w:tab/>
        <w:t xml:space="preserve">Brankatschk, R., Fischer, T., Veste, M. &amp; Zeyer, J. Succession of N cycling processes in biological soil crusts on a Central European inland dune. </w:t>
      </w:r>
      <w:r w:rsidRPr="00C74ECC">
        <w:rPr>
          <w:rFonts w:ascii="Helvetica" w:hAnsi="Helvetica"/>
          <w:i/>
          <w:iCs/>
          <w:noProof/>
          <w:sz w:val="20"/>
          <w:lang w:val="en-US"/>
        </w:rPr>
        <w:t>FEMS Microbiol. Ecol.</w:t>
      </w:r>
      <w:r w:rsidRPr="00C74ECC">
        <w:rPr>
          <w:rFonts w:ascii="Helvetica" w:hAnsi="Helvetica"/>
          <w:noProof/>
          <w:sz w:val="20"/>
          <w:lang w:val="en-US"/>
        </w:rPr>
        <w:t xml:space="preserve"> </w:t>
      </w:r>
      <w:r w:rsidRPr="00C74ECC">
        <w:rPr>
          <w:rFonts w:ascii="Helvetica" w:hAnsi="Helvetica"/>
          <w:b/>
          <w:bCs/>
          <w:noProof/>
          <w:sz w:val="20"/>
          <w:lang w:val="en-US"/>
        </w:rPr>
        <w:t>83,</w:t>
      </w:r>
      <w:r w:rsidRPr="00C74ECC">
        <w:rPr>
          <w:rFonts w:ascii="Helvetica" w:hAnsi="Helvetica"/>
          <w:noProof/>
          <w:sz w:val="20"/>
          <w:lang w:val="en-US"/>
        </w:rPr>
        <w:t xml:space="preserve"> 149–160 (2013).</w:t>
      </w:r>
    </w:p>
    <w:p w:rsidR="00C74ECC" w:rsidRPr="00C74ECC" w:rsidRDefault="00C74ECC" w:rsidP="00C74ECC">
      <w:pPr>
        <w:widowControl w:val="0"/>
        <w:autoSpaceDE w:val="0"/>
        <w:autoSpaceDN w:val="0"/>
        <w:adjustRightInd w:val="0"/>
        <w:spacing w:line="480" w:lineRule="auto"/>
        <w:ind w:left="640" w:hanging="640"/>
        <w:rPr>
          <w:rFonts w:ascii="Helvetica" w:hAnsi="Helvetica"/>
          <w:noProof/>
          <w:sz w:val="20"/>
          <w:lang w:val="en-US"/>
        </w:rPr>
      </w:pPr>
      <w:r w:rsidRPr="00C74ECC">
        <w:rPr>
          <w:rFonts w:ascii="Helvetica" w:hAnsi="Helvetica"/>
          <w:noProof/>
          <w:sz w:val="20"/>
          <w:lang w:val="en-US"/>
        </w:rPr>
        <w:t>4.</w:t>
      </w:r>
      <w:r w:rsidRPr="00C74ECC">
        <w:rPr>
          <w:rFonts w:ascii="Helvetica" w:hAnsi="Helvetica"/>
          <w:noProof/>
          <w:sz w:val="20"/>
          <w:lang w:val="en-US"/>
        </w:rPr>
        <w:tab/>
        <w:t xml:space="preserve">Eren, A. M. </w:t>
      </w:r>
      <w:r w:rsidRPr="00C74ECC">
        <w:rPr>
          <w:rFonts w:ascii="Helvetica" w:hAnsi="Helvetica"/>
          <w:i/>
          <w:iCs/>
          <w:noProof/>
          <w:sz w:val="20"/>
          <w:lang w:val="en-US"/>
        </w:rPr>
        <w:t>et al.</w:t>
      </w:r>
      <w:r w:rsidRPr="00C74ECC">
        <w:rPr>
          <w:rFonts w:ascii="Helvetica" w:hAnsi="Helvetica"/>
          <w:noProof/>
          <w:sz w:val="20"/>
          <w:lang w:val="en-US"/>
        </w:rPr>
        <w:t xml:space="preserve"> Oligotyping: differentiating between closely related microbial taxa using 16S rRNA gene data. </w:t>
      </w:r>
      <w:r w:rsidRPr="00C74ECC">
        <w:rPr>
          <w:rFonts w:ascii="Helvetica" w:hAnsi="Helvetica"/>
          <w:i/>
          <w:iCs/>
          <w:noProof/>
          <w:sz w:val="20"/>
          <w:lang w:val="en-US"/>
        </w:rPr>
        <w:t>Methods Ecol. Evol.</w:t>
      </w:r>
      <w:r w:rsidRPr="00C74ECC">
        <w:rPr>
          <w:rFonts w:ascii="Helvetica" w:hAnsi="Helvetica"/>
          <w:noProof/>
          <w:sz w:val="20"/>
          <w:lang w:val="en-US"/>
        </w:rPr>
        <w:t xml:space="preserve"> </w:t>
      </w:r>
      <w:r w:rsidRPr="00C74ECC">
        <w:rPr>
          <w:rFonts w:ascii="Helvetica" w:hAnsi="Helvetica"/>
          <w:b/>
          <w:bCs/>
          <w:noProof/>
          <w:sz w:val="20"/>
          <w:lang w:val="en-US"/>
        </w:rPr>
        <w:t>4,</w:t>
      </w:r>
      <w:r w:rsidRPr="00C74ECC">
        <w:rPr>
          <w:rFonts w:ascii="Helvetica" w:hAnsi="Helvetica"/>
          <w:noProof/>
          <w:sz w:val="20"/>
          <w:lang w:val="en-US"/>
        </w:rPr>
        <w:t xml:space="preserve"> 1111–1119 (2013).</w:t>
      </w:r>
    </w:p>
    <w:p w:rsidR="00C74ECC" w:rsidRPr="00C74ECC" w:rsidRDefault="00C74ECC" w:rsidP="00C74ECC">
      <w:pPr>
        <w:widowControl w:val="0"/>
        <w:autoSpaceDE w:val="0"/>
        <w:autoSpaceDN w:val="0"/>
        <w:adjustRightInd w:val="0"/>
        <w:spacing w:line="480" w:lineRule="auto"/>
        <w:ind w:left="640" w:hanging="640"/>
        <w:rPr>
          <w:rFonts w:ascii="Helvetica" w:hAnsi="Helvetica"/>
          <w:noProof/>
          <w:sz w:val="20"/>
          <w:lang w:val="en-US"/>
        </w:rPr>
      </w:pPr>
      <w:r w:rsidRPr="00C74ECC">
        <w:rPr>
          <w:rFonts w:ascii="Helvetica" w:hAnsi="Helvetica"/>
          <w:noProof/>
          <w:sz w:val="20"/>
          <w:lang w:val="en-US"/>
        </w:rPr>
        <w:t>5.</w:t>
      </w:r>
      <w:r w:rsidRPr="00C74ECC">
        <w:rPr>
          <w:rFonts w:ascii="Helvetica" w:hAnsi="Helvetica"/>
          <w:noProof/>
          <w:sz w:val="20"/>
          <w:lang w:val="en-US"/>
        </w:rPr>
        <w:tab/>
        <w:t xml:space="preserve">Caporaso, J. G. </w:t>
      </w:r>
      <w:r w:rsidRPr="00C74ECC">
        <w:rPr>
          <w:rFonts w:ascii="Helvetica" w:hAnsi="Helvetica"/>
          <w:i/>
          <w:iCs/>
          <w:noProof/>
          <w:sz w:val="20"/>
          <w:lang w:val="en-US"/>
        </w:rPr>
        <w:t>et al.</w:t>
      </w:r>
      <w:r w:rsidRPr="00C74ECC">
        <w:rPr>
          <w:rFonts w:ascii="Helvetica" w:hAnsi="Helvetica"/>
          <w:noProof/>
          <w:sz w:val="20"/>
          <w:lang w:val="en-US"/>
        </w:rPr>
        <w:t xml:space="preserve"> QIIME allows analysis of high-throughput community sequencing data. </w:t>
      </w:r>
      <w:r w:rsidRPr="00C74ECC">
        <w:rPr>
          <w:rFonts w:ascii="Helvetica" w:hAnsi="Helvetica"/>
          <w:i/>
          <w:iCs/>
          <w:noProof/>
          <w:sz w:val="20"/>
          <w:lang w:val="en-US"/>
        </w:rPr>
        <w:t>Nat. Methods</w:t>
      </w:r>
      <w:r w:rsidRPr="00C74ECC">
        <w:rPr>
          <w:rFonts w:ascii="Helvetica" w:hAnsi="Helvetica"/>
          <w:noProof/>
          <w:sz w:val="20"/>
          <w:lang w:val="en-US"/>
        </w:rPr>
        <w:t xml:space="preserve"> </w:t>
      </w:r>
      <w:r w:rsidRPr="00C74ECC">
        <w:rPr>
          <w:rFonts w:ascii="Helvetica" w:hAnsi="Helvetica"/>
          <w:b/>
          <w:bCs/>
          <w:noProof/>
          <w:sz w:val="20"/>
          <w:lang w:val="en-US"/>
        </w:rPr>
        <w:t>7,</w:t>
      </w:r>
      <w:r w:rsidRPr="00C74ECC">
        <w:rPr>
          <w:rFonts w:ascii="Helvetica" w:hAnsi="Helvetica"/>
          <w:noProof/>
          <w:sz w:val="20"/>
          <w:lang w:val="en-US"/>
        </w:rPr>
        <w:t xml:space="preserve"> 335–336 (2010).</w:t>
      </w:r>
    </w:p>
    <w:p w:rsidR="00C74ECC" w:rsidRPr="00C74ECC" w:rsidRDefault="00C74ECC" w:rsidP="00C74ECC">
      <w:pPr>
        <w:widowControl w:val="0"/>
        <w:autoSpaceDE w:val="0"/>
        <w:autoSpaceDN w:val="0"/>
        <w:adjustRightInd w:val="0"/>
        <w:spacing w:line="480" w:lineRule="auto"/>
        <w:ind w:left="640" w:hanging="640"/>
        <w:rPr>
          <w:rFonts w:ascii="Helvetica" w:hAnsi="Helvetica"/>
          <w:noProof/>
          <w:sz w:val="20"/>
          <w:lang w:val="en-US"/>
        </w:rPr>
      </w:pPr>
      <w:r w:rsidRPr="00C74ECC">
        <w:rPr>
          <w:rFonts w:ascii="Helvetica" w:hAnsi="Helvetica"/>
          <w:noProof/>
          <w:sz w:val="20"/>
          <w:lang w:val="en-US"/>
        </w:rPr>
        <w:t>6.</w:t>
      </w:r>
      <w:r w:rsidRPr="00C74ECC">
        <w:rPr>
          <w:rFonts w:ascii="Helvetica" w:hAnsi="Helvetica"/>
          <w:noProof/>
          <w:sz w:val="20"/>
          <w:lang w:val="en-US"/>
        </w:rPr>
        <w:tab/>
        <w:t xml:space="preserve">Edgar, R. R. C. Search and clustering orders of magnitude faster than BLAST. </w:t>
      </w:r>
      <w:r w:rsidRPr="00C74ECC">
        <w:rPr>
          <w:rFonts w:ascii="Helvetica" w:hAnsi="Helvetica"/>
          <w:i/>
          <w:iCs/>
          <w:noProof/>
          <w:sz w:val="20"/>
          <w:lang w:val="en-US"/>
        </w:rPr>
        <w:t>Bioinformatics</w:t>
      </w:r>
      <w:r w:rsidRPr="00C74ECC">
        <w:rPr>
          <w:rFonts w:ascii="Helvetica" w:hAnsi="Helvetica"/>
          <w:noProof/>
          <w:sz w:val="20"/>
          <w:lang w:val="en-US"/>
        </w:rPr>
        <w:t xml:space="preserve"> </w:t>
      </w:r>
      <w:r w:rsidRPr="00C74ECC">
        <w:rPr>
          <w:rFonts w:ascii="Helvetica" w:hAnsi="Helvetica"/>
          <w:b/>
          <w:bCs/>
          <w:noProof/>
          <w:sz w:val="20"/>
          <w:lang w:val="en-US"/>
        </w:rPr>
        <w:t>26,</w:t>
      </w:r>
      <w:r w:rsidRPr="00C74ECC">
        <w:rPr>
          <w:rFonts w:ascii="Helvetica" w:hAnsi="Helvetica"/>
          <w:noProof/>
          <w:sz w:val="20"/>
          <w:lang w:val="en-US"/>
        </w:rPr>
        <w:t xml:space="preserve"> 2460–2461 (2010).</w:t>
      </w:r>
    </w:p>
    <w:p w:rsidR="00C74ECC" w:rsidRPr="00C74ECC" w:rsidRDefault="00C74ECC" w:rsidP="00C74ECC">
      <w:pPr>
        <w:widowControl w:val="0"/>
        <w:autoSpaceDE w:val="0"/>
        <w:autoSpaceDN w:val="0"/>
        <w:adjustRightInd w:val="0"/>
        <w:spacing w:line="480" w:lineRule="auto"/>
        <w:ind w:left="640" w:hanging="640"/>
        <w:rPr>
          <w:rFonts w:ascii="Helvetica" w:hAnsi="Helvetica"/>
          <w:noProof/>
          <w:sz w:val="20"/>
          <w:lang w:val="en-US"/>
        </w:rPr>
      </w:pPr>
      <w:r w:rsidRPr="00C74ECC">
        <w:rPr>
          <w:rFonts w:ascii="Helvetica" w:hAnsi="Helvetica"/>
          <w:noProof/>
          <w:sz w:val="20"/>
          <w:lang w:val="en-US"/>
        </w:rPr>
        <w:t>7.</w:t>
      </w:r>
      <w:r w:rsidRPr="00C74ECC">
        <w:rPr>
          <w:rFonts w:ascii="Helvetica" w:hAnsi="Helvetica"/>
          <w:noProof/>
          <w:sz w:val="20"/>
          <w:lang w:val="en-US"/>
        </w:rPr>
        <w:tab/>
        <w:t xml:space="preserve">Edgar, R. C., Haas, B. J., Clemente, J. C., Quince, C. &amp; Knight, R. UCHIME improves sensitivity and speed of chimera detection. </w:t>
      </w:r>
      <w:r w:rsidRPr="00C74ECC">
        <w:rPr>
          <w:rFonts w:ascii="Helvetica" w:hAnsi="Helvetica"/>
          <w:i/>
          <w:iCs/>
          <w:noProof/>
          <w:sz w:val="20"/>
          <w:lang w:val="en-US"/>
        </w:rPr>
        <w:t>Bioinformatics</w:t>
      </w:r>
      <w:r w:rsidRPr="00C74ECC">
        <w:rPr>
          <w:rFonts w:ascii="Helvetica" w:hAnsi="Helvetica"/>
          <w:noProof/>
          <w:sz w:val="20"/>
          <w:lang w:val="en-US"/>
        </w:rPr>
        <w:t xml:space="preserve"> </w:t>
      </w:r>
      <w:r w:rsidRPr="00C74ECC">
        <w:rPr>
          <w:rFonts w:ascii="Helvetica" w:hAnsi="Helvetica"/>
          <w:b/>
          <w:bCs/>
          <w:noProof/>
          <w:sz w:val="20"/>
          <w:lang w:val="en-US"/>
        </w:rPr>
        <w:t>27,</w:t>
      </w:r>
      <w:r w:rsidRPr="00C74ECC">
        <w:rPr>
          <w:rFonts w:ascii="Helvetica" w:hAnsi="Helvetica"/>
          <w:noProof/>
          <w:sz w:val="20"/>
          <w:lang w:val="en-US"/>
        </w:rPr>
        <w:t xml:space="preserve"> 2194–2200 (2011).</w:t>
      </w:r>
    </w:p>
    <w:p w:rsidR="00C74ECC" w:rsidRPr="00C74ECC" w:rsidRDefault="00C74ECC" w:rsidP="00C74ECC">
      <w:pPr>
        <w:widowControl w:val="0"/>
        <w:autoSpaceDE w:val="0"/>
        <w:autoSpaceDN w:val="0"/>
        <w:adjustRightInd w:val="0"/>
        <w:spacing w:line="480" w:lineRule="auto"/>
        <w:ind w:left="640" w:hanging="640"/>
        <w:rPr>
          <w:rFonts w:ascii="Helvetica" w:hAnsi="Helvetica"/>
          <w:noProof/>
          <w:sz w:val="20"/>
          <w:lang w:val="en-US"/>
        </w:rPr>
      </w:pPr>
      <w:r w:rsidRPr="00C74ECC">
        <w:rPr>
          <w:rFonts w:ascii="Helvetica" w:hAnsi="Helvetica"/>
          <w:noProof/>
          <w:sz w:val="20"/>
          <w:lang w:val="en-US"/>
        </w:rPr>
        <w:t>8.</w:t>
      </w:r>
      <w:r w:rsidRPr="00C74ECC">
        <w:rPr>
          <w:rFonts w:ascii="Helvetica" w:hAnsi="Helvetica"/>
          <w:noProof/>
          <w:sz w:val="20"/>
          <w:lang w:val="en-US"/>
        </w:rPr>
        <w:tab/>
        <w:t xml:space="preserve">McDonald, D. </w:t>
      </w:r>
      <w:r w:rsidRPr="00C74ECC">
        <w:rPr>
          <w:rFonts w:ascii="Helvetica" w:hAnsi="Helvetica"/>
          <w:i/>
          <w:iCs/>
          <w:noProof/>
          <w:sz w:val="20"/>
          <w:lang w:val="en-US"/>
        </w:rPr>
        <w:t>et al.</w:t>
      </w:r>
      <w:r w:rsidRPr="00C74ECC">
        <w:rPr>
          <w:rFonts w:ascii="Helvetica" w:hAnsi="Helvetica"/>
          <w:noProof/>
          <w:sz w:val="20"/>
          <w:lang w:val="en-US"/>
        </w:rPr>
        <w:t xml:space="preserve"> An improved Greengenes taxonomy with explicit ranks for ecological and evolutionary analyses of bacteria and archaea. </w:t>
      </w:r>
      <w:r w:rsidRPr="00C74ECC">
        <w:rPr>
          <w:rFonts w:ascii="Helvetica" w:hAnsi="Helvetica"/>
          <w:i/>
          <w:iCs/>
          <w:noProof/>
          <w:sz w:val="20"/>
          <w:lang w:val="en-US"/>
        </w:rPr>
        <w:t>ISME J.</w:t>
      </w:r>
      <w:r w:rsidRPr="00C74ECC">
        <w:rPr>
          <w:rFonts w:ascii="Helvetica" w:hAnsi="Helvetica"/>
          <w:noProof/>
          <w:sz w:val="20"/>
          <w:lang w:val="en-US"/>
        </w:rPr>
        <w:t xml:space="preserve"> </w:t>
      </w:r>
      <w:r w:rsidRPr="00C74ECC">
        <w:rPr>
          <w:rFonts w:ascii="Helvetica" w:hAnsi="Helvetica"/>
          <w:b/>
          <w:bCs/>
          <w:noProof/>
          <w:sz w:val="20"/>
          <w:lang w:val="en-US"/>
        </w:rPr>
        <w:t>6,</w:t>
      </w:r>
      <w:r w:rsidRPr="00C74ECC">
        <w:rPr>
          <w:rFonts w:ascii="Helvetica" w:hAnsi="Helvetica"/>
          <w:noProof/>
          <w:sz w:val="20"/>
          <w:lang w:val="en-US"/>
        </w:rPr>
        <w:t xml:space="preserve"> 610–8 (2012).</w:t>
      </w:r>
    </w:p>
    <w:p w:rsidR="00C74ECC" w:rsidRPr="00C74ECC" w:rsidRDefault="00C74ECC" w:rsidP="00C74ECC">
      <w:pPr>
        <w:widowControl w:val="0"/>
        <w:autoSpaceDE w:val="0"/>
        <w:autoSpaceDN w:val="0"/>
        <w:adjustRightInd w:val="0"/>
        <w:spacing w:line="480" w:lineRule="auto"/>
        <w:ind w:left="640" w:hanging="640"/>
        <w:rPr>
          <w:rFonts w:ascii="Helvetica" w:hAnsi="Helvetica"/>
          <w:noProof/>
          <w:sz w:val="20"/>
          <w:lang w:val="en-US"/>
        </w:rPr>
      </w:pPr>
      <w:r w:rsidRPr="00C74ECC">
        <w:rPr>
          <w:rFonts w:ascii="Helvetica" w:hAnsi="Helvetica"/>
          <w:noProof/>
          <w:sz w:val="20"/>
          <w:lang w:val="en-US"/>
        </w:rPr>
        <w:t>9.</w:t>
      </w:r>
      <w:r w:rsidRPr="00C74ECC">
        <w:rPr>
          <w:rFonts w:ascii="Helvetica" w:hAnsi="Helvetica"/>
          <w:noProof/>
          <w:sz w:val="20"/>
          <w:lang w:val="en-US"/>
        </w:rPr>
        <w:tab/>
        <w:t>Mullen, K. &amp; Van Stokkum, I. The Lawson-Hanson algorithm for non-negative least squares (NNLS). (2007).</w:t>
      </w:r>
    </w:p>
    <w:p w:rsidR="00C74ECC" w:rsidRPr="00C74ECC" w:rsidRDefault="00C74ECC" w:rsidP="00C74ECC">
      <w:pPr>
        <w:widowControl w:val="0"/>
        <w:autoSpaceDE w:val="0"/>
        <w:autoSpaceDN w:val="0"/>
        <w:adjustRightInd w:val="0"/>
        <w:spacing w:line="480" w:lineRule="auto"/>
        <w:ind w:left="640" w:hanging="640"/>
        <w:rPr>
          <w:rFonts w:ascii="Helvetica" w:hAnsi="Helvetica"/>
          <w:noProof/>
          <w:sz w:val="20"/>
        </w:rPr>
      </w:pPr>
      <w:r w:rsidRPr="00C74ECC">
        <w:rPr>
          <w:rFonts w:ascii="Helvetica" w:hAnsi="Helvetica"/>
          <w:noProof/>
          <w:sz w:val="20"/>
          <w:lang w:val="en-US"/>
        </w:rPr>
        <w:t>10.</w:t>
      </w:r>
      <w:r w:rsidRPr="00C74ECC">
        <w:rPr>
          <w:rFonts w:ascii="Helvetica" w:hAnsi="Helvetica"/>
          <w:noProof/>
          <w:sz w:val="20"/>
          <w:lang w:val="en-US"/>
        </w:rPr>
        <w:tab/>
        <w:t>Soetaert, K., Meersche, K. V. D. &amp; Oevelen, D. V. Package limSolve, solving linear inverse models in R. (2009).</w:t>
      </w:r>
    </w:p>
    <w:p w:rsidR="00C253C9" w:rsidRPr="00D610C5" w:rsidRDefault="001F34A7" w:rsidP="00C74ECC">
      <w:pPr>
        <w:widowControl w:val="0"/>
        <w:autoSpaceDE w:val="0"/>
        <w:autoSpaceDN w:val="0"/>
        <w:adjustRightInd w:val="0"/>
        <w:spacing w:line="480" w:lineRule="auto"/>
        <w:ind w:left="640" w:hanging="640"/>
        <w:rPr>
          <w:rFonts w:ascii="Helvetica" w:hAnsi="Helvetica" w:cs="Arial"/>
          <w:b/>
          <w:sz w:val="20"/>
          <w:szCs w:val="20"/>
          <w:lang w:val="en-US"/>
        </w:rPr>
      </w:pPr>
      <w:r>
        <w:rPr>
          <w:rFonts w:ascii="Helvetica" w:hAnsi="Helvetica" w:cs="Arial"/>
          <w:b/>
          <w:sz w:val="20"/>
          <w:szCs w:val="20"/>
          <w:lang w:val="en-US"/>
        </w:rPr>
        <w:fldChar w:fldCharType="end"/>
      </w:r>
    </w:p>
    <w:p w:rsidR="00C253C9" w:rsidRPr="00D610C5" w:rsidRDefault="00C253C9" w:rsidP="00C253C9">
      <w:pPr>
        <w:widowControl w:val="0"/>
        <w:autoSpaceDE w:val="0"/>
        <w:autoSpaceDN w:val="0"/>
        <w:adjustRightInd w:val="0"/>
        <w:spacing w:line="480" w:lineRule="auto"/>
        <w:jc w:val="both"/>
        <w:rPr>
          <w:rFonts w:ascii="Helvetica" w:hAnsi="Helvetica" w:cs="Arial"/>
          <w:sz w:val="20"/>
          <w:szCs w:val="20"/>
          <w:lang w:val="en-US"/>
        </w:rPr>
      </w:pPr>
    </w:p>
    <w:p w:rsidR="00C253C9" w:rsidRPr="00D610C5" w:rsidRDefault="00C253C9" w:rsidP="00C253C9">
      <w:pPr>
        <w:spacing w:line="480" w:lineRule="auto"/>
        <w:jc w:val="both"/>
        <w:rPr>
          <w:rFonts w:ascii="Helvetica" w:hAnsi="Helvetica" w:cs="Arial"/>
          <w:sz w:val="20"/>
          <w:szCs w:val="20"/>
        </w:rPr>
      </w:pPr>
    </w:p>
    <w:p w:rsidR="00B2373E" w:rsidRDefault="00B2373E"/>
    <w:sectPr w:rsidR="00B2373E" w:rsidSect="009E6B5C">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C9"/>
    <w:rsid w:val="000E4E03"/>
    <w:rsid w:val="001760AF"/>
    <w:rsid w:val="001B0724"/>
    <w:rsid w:val="001F34A7"/>
    <w:rsid w:val="003C7D8B"/>
    <w:rsid w:val="004E1DA4"/>
    <w:rsid w:val="00527F95"/>
    <w:rsid w:val="0062561B"/>
    <w:rsid w:val="008339EE"/>
    <w:rsid w:val="009E6B5C"/>
    <w:rsid w:val="00A514BA"/>
    <w:rsid w:val="00A67D88"/>
    <w:rsid w:val="00AA0A83"/>
    <w:rsid w:val="00B235AE"/>
    <w:rsid w:val="00B2373E"/>
    <w:rsid w:val="00B36765"/>
    <w:rsid w:val="00B37BB4"/>
    <w:rsid w:val="00BE045D"/>
    <w:rsid w:val="00C253C9"/>
    <w:rsid w:val="00C74ECC"/>
    <w:rsid w:val="00CD3186"/>
    <w:rsid w:val="00D160F4"/>
    <w:rsid w:val="00E92C12"/>
    <w:rsid w:val="00EE08EA"/>
    <w:rsid w:val="00F168F7"/>
    <w:rsid w:val="00F37440"/>
    <w:rsid w:val="00FF0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C9"/>
  </w:style>
  <w:style w:type="paragraph" w:styleId="Heading1">
    <w:name w:val="heading 1"/>
    <w:basedOn w:val="Normal"/>
    <w:link w:val="Heading1Char"/>
    <w:uiPriority w:val="9"/>
    <w:qFormat/>
    <w:rsid w:val="00C253C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3C9"/>
    <w:rPr>
      <w:rFonts w:ascii="Times" w:hAnsi="Times"/>
      <w:b/>
      <w:bCs/>
      <w:kern w:val="36"/>
      <w:sz w:val="48"/>
      <w:szCs w:val="48"/>
    </w:rPr>
  </w:style>
  <w:style w:type="character" w:styleId="CommentReference">
    <w:name w:val="annotation reference"/>
    <w:basedOn w:val="DefaultParagraphFont"/>
    <w:uiPriority w:val="99"/>
    <w:semiHidden/>
    <w:unhideWhenUsed/>
    <w:rsid w:val="00C253C9"/>
    <w:rPr>
      <w:sz w:val="18"/>
      <w:szCs w:val="18"/>
    </w:rPr>
  </w:style>
  <w:style w:type="paragraph" w:styleId="CommentText">
    <w:name w:val="annotation text"/>
    <w:basedOn w:val="Normal"/>
    <w:link w:val="CommentTextChar"/>
    <w:uiPriority w:val="99"/>
    <w:semiHidden/>
    <w:unhideWhenUsed/>
    <w:rsid w:val="00C253C9"/>
  </w:style>
  <w:style w:type="character" w:customStyle="1" w:styleId="CommentTextChar">
    <w:name w:val="Comment Text Char"/>
    <w:basedOn w:val="DefaultParagraphFont"/>
    <w:link w:val="CommentText"/>
    <w:uiPriority w:val="99"/>
    <w:semiHidden/>
    <w:rsid w:val="00C253C9"/>
  </w:style>
  <w:style w:type="paragraph" w:styleId="BalloonText">
    <w:name w:val="Balloon Text"/>
    <w:basedOn w:val="Normal"/>
    <w:link w:val="BalloonTextChar"/>
    <w:uiPriority w:val="99"/>
    <w:semiHidden/>
    <w:unhideWhenUsed/>
    <w:rsid w:val="00C25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3C9"/>
    <w:rPr>
      <w:rFonts w:ascii="Lucida Grande" w:hAnsi="Lucida Grande" w:cs="Lucida Grande"/>
      <w:sz w:val="18"/>
      <w:szCs w:val="18"/>
    </w:rPr>
  </w:style>
  <w:style w:type="character" w:styleId="LineNumber">
    <w:name w:val="line number"/>
    <w:basedOn w:val="DefaultParagraphFont"/>
    <w:uiPriority w:val="99"/>
    <w:semiHidden/>
    <w:unhideWhenUsed/>
    <w:rsid w:val="00C253C9"/>
  </w:style>
  <w:style w:type="paragraph" w:styleId="CommentSubject">
    <w:name w:val="annotation subject"/>
    <w:basedOn w:val="CommentText"/>
    <w:next w:val="CommentText"/>
    <w:link w:val="CommentSubjectChar"/>
    <w:uiPriority w:val="99"/>
    <w:semiHidden/>
    <w:unhideWhenUsed/>
    <w:rsid w:val="00BE045D"/>
    <w:rPr>
      <w:b/>
      <w:bCs/>
      <w:sz w:val="20"/>
      <w:szCs w:val="20"/>
    </w:rPr>
  </w:style>
  <w:style w:type="character" w:customStyle="1" w:styleId="CommentSubjectChar">
    <w:name w:val="Comment Subject Char"/>
    <w:basedOn w:val="CommentTextChar"/>
    <w:link w:val="CommentSubject"/>
    <w:uiPriority w:val="99"/>
    <w:semiHidden/>
    <w:rsid w:val="00BE045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C9"/>
  </w:style>
  <w:style w:type="paragraph" w:styleId="Heading1">
    <w:name w:val="heading 1"/>
    <w:basedOn w:val="Normal"/>
    <w:link w:val="Heading1Char"/>
    <w:uiPriority w:val="9"/>
    <w:qFormat/>
    <w:rsid w:val="00C253C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3C9"/>
    <w:rPr>
      <w:rFonts w:ascii="Times" w:hAnsi="Times"/>
      <w:b/>
      <w:bCs/>
      <w:kern w:val="36"/>
      <w:sz w:val="48"/>
      <w:szCs w:val="48"/>
    </w:rPr>
  </w:style>
  <w:style w:type="character" w:styleId="CommentReference">
    <w:name w:val="annotation reference"/>
    <w:basedOn w:val="DefaultParagraphFont"/>
    <w:uiPriority w:val="99"/>
    <w:semiHidden/>
    <w:unhideWhenUsed/>
    <w:rsid w:val="00C253C9"/>
    <w:rPr>
      <w:sz w:val="18"/>
      <w:szCs w:val="18"/>
    </w:rPr>
  </w:style>
  <w:style w:type="paragraph" w:styleId="CommentText">
    <w:name w:val="annotation text"/>
    <w:basedOn w:val="Normal"/>
    <w:link w:val="CommentTextChar"/>
    <w:uiPriority w:val="99"/>
    <w:semiHidden/>
    <w:unhideWhenUsed/>
    <w:rsid w:val="00C253C9"/>
  </w:style>
  <w:style w:type="character" w:customStyle="1" w:styleId="CommentTextChar">
    <w:name w:val="Comment Text Char"/>
    <w:basedOn w:val="DefaultParagraphFont"/>
    <w:link w:val="CommentText"/>
    <w:uiPriority w:val="99"/>
    <w:semiHidden/>
    <w:rsid w:val="00C253C9"/>
  </w:style>
  <w:style w:type="paragraph" w:styleId="BalloonText">
    <w:name w:val="Balloon Text"/>
    <w:basedOn w:val="Normal"/>
    <w:link w:val="BalloonTextChar"/>
    <w:uiPriority w:val="99"/>
    <w:semiHidden/>
    <w:unhideWhenUsed/>
    <w:rsid w:val="00C25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3C9"/>
    <w:rPr>
      <w:rFonts w:ascii="Lucida Grande" w:hAnsi="Lucida Grande" w:cs="Lucida Grande"/>
      <w:sz w:val="18"/>
      <w:szCs w:val="18"/>
    </w:rPr>
  </w:style>
  <w:style w:type="character" w:styleId="LineNumber">
    <w:name w:val="line number"/>
    <w:basedOn w:val="DefaultParagraphFont"/>
    <w:uiPriority w:val="99"/>
    <w:semiHidden/>
    <w:unhideWhenUsed/>
    <w:rsid w:val="00C253C9"/>
  </w:style>
  <w:style w:type="paragraph" w:styleId="CommentSubject">
    <w:name w:val="annotation subject"/>
    <w:basedOn w:val="CommentText"/>
    <w:next w:val="CommentText"/>
    <w:link w:val="CommentSubjectChar"/>
    <w:uiPriority w:val="99"/>
    <w:semiHidden/>
    <w:unhideWhenUsed/>
    <w:rsid w:val="00BE045D"/>
    <w:rPr>
      <w:b/>
      <w:bCs/>
      <w:sz w:val="20"/>
      <w:szCs w:val="20"/>
    </w:rPr>
  </w:style>
  <w:style w:type="character" w:customStyle="1" w:styleId="CommentSubjectChar">
    <w:name w:val="Comment Subject Char"/>
    <w:basedOn w:val="CommentTextChar"/>
    <w:link w:val="CommentSubject"/>
    <w:uiPriority w:val="99"/>
    <w:semiHidden/>
    <w:rsid w:val="00BE0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5196</Words>
  <Characters>29622</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Exeter Uni</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Sierocinski</dc:creator>
  <cp:keywords/>
  <dc:description/>
  <cp:lastModifiedBy>Pawel Sierocinski</cp:lastModifiedBy>
  <cp:revision>2</cp:revision>
  <dcterms:created xsi:type="dcterms:W3CDTF">2016-12-16T17:17:00Z</dcterms:created>
  <dcterms:modified xsi:type="dcterms:W3CDTF">2016-12-16T17:17:00Z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e531299e-26e8-3ea3-b18a-08b3cd2128f0</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http://www.zotero.org/styles/american-society-for-microbiology</vt:lpwstr>
  </property>
  <property fmtid="{D5CDD505-2E9C-101B-9397-08002B2CF9AE}" pid="12" name="Mendeley Recent Style Name 3_1">
    <vt:lpwstr>American Society for Microbiology</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http://csl.mendeley.com/styles/452324571/ecology-letters</vt:lpwstr>
  </property>
  <property fmtid="{D5CDD505-2E9C-101B-9397-08002B2CF9AE}" pid="18" name="Mendeley Recent Style Name 6_1">
    <vt:lpwstr>Ecology Letters - Pawel Sierocinski</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http://csl.mendeley.com/styles/452324571/the-isme-journal-2</vt:lpwstr>
  </property>
  <property fmtid="{D5CDD505-2E9C-101B-9397-08002B2CF9AE}" pid="24" name="Mendeley Recent Style Name 9_1">
    <vt:lpwstr>The ISME Journal - Pawel Sierocinski</vt:lpwstr>
  </property>
</Properties>
</file>