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70" w:rsidRDefault="00264070" w:rsidP="00264070">
      <w:pPr>
        <w:spacing w:after="0" w:line="480" w:lineRule="auto"/>
        <w:rPr>
          <w:b/>
        </w:rPr>
      </w:pPr>
      <w:r>
        <w:rPr>
          <w:b/>
        </w:rPr>
        <w:t>Supplementary Information</w:t>
      </w:r>
    </w:p>
    <w:p w:rsidR="00264070" w:rsidRDefault="00264070" w:rsidP="00264070">
      <w:pPr>
        <w:spacing w:after="0" w:line="480" w:lineRule="auto"/>
      </w:pPr>
      <w:r>
        <w:rPr>
          <w:b/>
        </w:rPr>
        <w:t xml:space="preserve">Table S1. </w:t>
      </w:r>
      <w:r>
        <w:t>Species relative abundances in four community-types estimated by LDA model</w:t>
      </w:r>
    </w:p>
    <w:p w:rsidR="00264070" w:rsidRDefault="00264070" w:rsidP="00264070">
      <w:pPr>
        <w:spacing w:after="0" w:line="480" w:lineRule="auto"/>
      </w:pPr>
      <w:r>
        <w:rPr>
          <w:b/>
        </w:rPr>
        <w:t xml:space="preserve">Figure S1. </w:t>
      </w:r>
      <w:r>
        <w:t>Histogram of “best” number of community-types as estimated using 200 random seeds</w:t>
      </w:r>
    </w:p>
    <w:p w:rsidR="00264070" w:rsidRPr="00EB66E8" w:rsidRDefault="00264070" w:rsidP="00264070">
      <w:pPr>
        <w:spacing w:after="0" w:line="480" w:lineRule="auto"/>
      </w:pPr>
      <w:r>
        <w:rPr>
          <w:b/>
        </w:rPr>
        <w:t xml:space="preserve">Figure S2. </w:t>
      </w:r>
      <w:r>
        <w:t>Comparison of community composition of the “best” LDA model to “worst” model</w:t>
      </w:r>
    </w:p>
    <w:p w:rsidR="00264070" w:rsidRDefault="00264070" w:rsidP="00264070">
      <w:pPr>
        <w:spacing w:after="0" w:line="480" w:lineRule="auto"/>
      </w:pPr>
      <w:r>
        <w:rPr>
          <w:b/>
        </w:rPr>
        <w:t xml:space="preserve">Figure S3. </w:t>
      </w:r>
      <w:r>
        <w:t>Results of LDA model fit with three community-types</w:t>
      </w:r>
    </w:p>
    <w:p w:rsidR="00264070" w:rsidRDefault="00264070" w:rsidP="00264070">
      <w:pPr>
        <w:spacing w:after="0" w:line="480" w:lineRule="auto"/>
      </w:pPr>
      <w:r>
        <w:rPr>
          <w:b/>
        </w:rPr>
        <w:t xml:space="preserve">Figure S4. </w:t>
      </w:r>
      <w:r>
        <w:t>Results of LDA model fit with four community-types</w:t>
      </w:r>
    </w:p>
    <w:p w:rsidR="00264070" w:rsidRPr="00604B04" w:rsidRDefault="00264070" w:rsidP="00264070">
      <w:pPr>
        <w:spacing w:after="0" w:line="480" w:lineRule="auto"/>
      </w:pPr>
      <w:r>
        <w:rPr>
          <w:b/>
        </w:rPr>
        <w:t xml:space="preserve">Figure S5. </w:t>
      </w:r>
      <w:r>
        <w:t>Results of LDA model fit with five community-types</w:t>
      </w:r>
    </w:p>
    <w:p w:rsidR="00264070" w:rsidRPr="009237E2" w:rsidRDefault="00264070" w:rsidP="00264070">
      <w:pPr>
        <w:spacing w:after="0" w:line="480" w:lineRule="auto"/>
      </w:pPr>
      <w:r>
        <w:rPr>
          <w:b/>
        </w:rPr>
        <w:t xml:space="preserve">Figure S6.  </w:t>
      </w:r>
      <w:r>
        <w:t>Comparison of change-point models fit with 2, 3, 4, or 5 change-points.  The model containing 4 change-points was best supported.</w:t>
      </w:r>
    </w:p>
    <w:p w:rsidR="00264070" w:rsidRPr="00EB66E8" w:rsidRDefault="00264070" w:rsidP="00264070">
      <w:pPr>
        <w:spacing w:after="0" w:line="480" w:lineRule="auto"/>
      </w:pPr>
    </w:p>
    <w:p w:rsidR="00264070" w:rsidRDefault="00264070" w:rsidP="00264070">
      <w:pPr>
        <w:spacing w:after="0" w:line="480" w:lineRule="auto"/>
        <w:rPr>
          <w:b/>
        </w:rPr>
      </w:pPr>
    </w:p>
    <w:p w:rsidR="00264070" w:rsidRPr="00BE10A0" w:rsidRDefault="00264070" w:rsidP="00264070">
      <w:pPr>
        <w:spacing w:after="0" w:line="480" w:lineRule="auto"/>
        <w:rPr>
          <w:i/>
          <w:color w:val="auto"/>
        </w:rPr>
      </w:pPr>
      <w:r w:rsidRPr="007023B0">
        <w:rPr>
          <w:b/>
        </w:rPr>
        <w:t>Table S1</w:t>
      </w:r>
      <w:r>
        <w:t xml:space="preserve">: species relative abundances in the four community-types estimated by the LDA model.  </w:t>
      </w:r>
      <w:r>
        <w:rPr>
          <w:color w:val="auto"/>
        </w:rPr>
        <w:t>Species codes</w:t>
      </w:r>
      <w:r w:rsidRPr="00600C56">
        <w:rPr>
          <w:color w:val="auto"/>
        </w:rPr>
        <w:t xml:space="preserve">: NA = </w:t>
      </w:r>
      <w:r w:rsidRPr="00BE10A0">
        <w:rPr>
          <w:i/>
          <w:color w:val="auto"/>
        </w:rPr>
        <w:t>Neotoma albigula</w:t>
      </w:r>
      <w:r w:rsidRPr="00600C56">
        <w:rPr>
          <w:color w:val="auto"/>
        </w:rPr>
        <w:t xml:space="preserve">, DS </w:t>
      </w:r>
      <w:r w:rsidRPr="00BE10A0">
        <w:rPr>
          <w:i/>
          <w:color w:val="auto"/>
        </w:rPr>
        <w:t>= Dipodomys spectabilis</w:t>
      </w:r>
      <w:r w:rsidRPr="00600C56">
        <w:rPr>
          <w:color w:val="auto"/>
        </w:rPr>
        <w:t xml:space="preserve">, SH = </w:t>
      </w:r>
      <w:r w:rsidRPr="00BE10A0">
        <w:rPr>
          <w:i/>
          <w:color w:val="auto"/>
        </w:rPr>
        <w:t>Sigmodon hispidus</w:t>
      </w:r>
      <w:r w:rsidRPr="00600C56">
        <w:rPr>
          <w:color w:val="auto"/>
        </w:rPr>
        <w:t xml:space="preserve">, SF = </w:t>
      </w:r>
      <w:r w:rsidRPr="00BE10A0">
        <w:rPr>
          <w:i/>
          <w:color w:val="auto"/>
        </w:rPr>
        <w:t>Sigmodon fulviventer</w:t>
      </w:r>
      <w:r w:rsidRPr="00600C56">
        <w:rPr>
          <w:color w:val="auto"/>
        </w:rPr>
        <w:t xml:space="preserve">, SO = </w:t>
      </w:r>
      <w:r w:rsidRPr="00BE10A0">
        <w:rPr>
          <w:i/>
          <w:color w:val="auto"/>
        </w:rPr>
        <w:t>Sigmodon ochrognathus</w:t>
      </w:r>
      <w:r w:rsidRPr="00600C56">
        <w:rPr>
          <w:color w:val="auto"/>
        </w:rPr>
        <w:t xml:space="preserve">, DO = </w:t>
      </w:r>
      <w:r w:rsidRPr="00BE10A0">
        <w:rPr>
          <w:i/>
          <w:color w:val="auto"/>
        </w:rPr>
        <w:t>Dipodomys ordii</w:t>
      </w:r>
      <w:r w:rsidRPr="00600C56">
        <w:rPr>
          <w:color w:val="auto"/>
        </w:rPr>
        <w:t xml:space="preserve">, DM = </w:t>
      </w:r>
      <w:r w:rsidRPr="00BE10A0">
        <w:rPr>
          <w:i/>
          <w:color w:val="auto"/>
        </w:rPr>
        <w:t>Dipodomys merriami,</w:t>
      </w:r>
      <w:r w:rsidRPr="00600C56">
        <w:rPr>
          <w:color w:val="auto"/>
        </w:rPr>
        <w:t xml:space="preserve"> PB = </w:t>
      </w:r>
      <w:r w:rsidRPr="00BE10A0">
        <w:rPr>
          <w:i/>
          <w:color w:val="auto"/>
        </w:rPr>
        <w:t>Chaetodipus baileyi</w:t>
      </w:r>
      <w:r w:rsidRPr="00600C56">
        <w:rPr>
          <w:color w:val="auto"/>
        </w:rPr>
        <w:t xml:space="preserve">, PH = </w:t>
      </w:r>
      <w:r w:rsidRPr="00BE10A0">
        <w:rPr>
          <w:i/>
          <w:color w:val="auto"/>
        </w:rPr>
        <w:t>Chaetodipus hispidus</w:t>
      </w:r>
      <w:r w:rsidRPr="00600C56">
        <w:rPr>
          <w:color w:val="auto"/>
        </w:rPr>
        <w:t xml:space="preserve">, OL </w:t>
      </w:r>
      <w:r w:rsidRPr="00BE10A0">
        <w:rPr>
          <w:i/>
          <w:color w:val="auto"/>
        </w:rPr>
        <w:t>= Onychomys leucogaster</w:t>
      </w:r>
      <w:r w:rsidRPr="00600C56">
        <w:rPr>
          <w:color w:val="auto"/>
        </w:rPr>
        <w:t xml:space="preserve">, OT = </w:t>
      </w:r>
      <w:r w:rsidRPr="00BE10A0">
        <w:rPr>
          <w:i/>
          <w:color w:val="auto"/>
        </w:rPr>
        <w:t>Onychomys torridus,</w:t>
      </w:r>
      <w:r w:rsidRPr="00600C56">
        <w:rPr>
          <w:color w:val="auto"/>
        </w:rPr>
        <w:t xml:space="preserve"> PL = </w:t>
      </w:r>
      <w:r w:rsidRPr="00BE10A0">
        <w:rPr>
          <w:i/>
          <w:color w:val="auto"/>
        </w:rPr>
        <w:t>Peromyscus leucopus</w:t>
      </w:r>
      <w:r w:rsidRPr="00600C56">
        <w:rPr>
          <w:color w:val="auto"/>
        </w:rPr>
        <w:t xml:space="preserve">, PM = </w:t>
      </w:r>
      <w:r w:rsidRPr="00BE10A0">
        <w:rPr>
          <w:i/>
          <w:color w:val="auto"/>
        </w:rPr>
        <w:t>Peromyscus maniculatus</w:t>
      </w:r>
      <w:r w:rsidRPr="00600C56">
        <w:rPr>
          <w:color w:val="auto"/>
        </w:rPr>
        <w:t xml:space="preserve">, PE = </w:t>
      </w:r>
      <w:r w:rsidRPr="00BE10A0">
        <w:rPr>
          <w:i/>
          <w:color w:val="auto"/>
        </w:rPr>
        <w:t>Peromyscus eremicus</w:t>
      </w:r>
      <w:r w:rsidRPr="00600C56">
        <w:rPr>
          <w:color w:val="auto"/>
        </w:rPr>
        <w:t xml:space="preserve">, PP = </w:t>
      </w:r>
      <w:r w:rsidRPr="00BE10A0">
        <w:rPr>
          <w:i/>
          <w:color w:val="auto"/>
        </w:rPr>
        <w:t>Chaetodipus penicillatus</w:t>
      </w:r>
      <w:r w:rsidRPr="00600C56">
        <w:rPr>
          <w:color w:val="auto"/>
        </w:rPr>
        <w:t xml:space="preserve">, PI = </w:t>
      </w:r>
      <w:r w:rsidRPr="00BE10A0">
        <w:rPr>
          <w:i/>
          <w:color w:val="auto"/>
        </w:rPr>
        <w:t>Chaetodipus intermedius,</w:t>
      </w:r>
      <w:r w:rsidRPr="00600C56">
        <w:rPr>
          <w:color w:val="auto"/>
        </w:rPr>
        <w:t xml:space="preserve"> RF = </w:t>
      </w:r>
      <w:r w:rsidRPr="00BE10A0">
        <w:rPr>
          <w:i/>
          <w:color w:val="auto"/>
        </w:rPr>
        <w:t>Reithrodontomys fulvescens</w:t>
      </w:r>
      <w:r w:rsidRPr="00600C56">
        <w:rPr>
          <w:color w:val="auto"/>
        </w:rPr>
        <w:t xml:space="preserve">, RM = </w:t>
      </w:r>
      <w:r w:rsidRPr="00BE10A0">
        <w:rPr>
          <w:i/>
          <w:color w:val="auto"/>
        </w:rPr>
        <w:t>Reithrodontomys megalotis</w:t>
      </w:r>
      <w:r w:rsidRPr="00600C56">
        <w:rPr>
          <w:color w:val="auto"/>
        </w:rPr>
        <w:t xml:space="preserve">, RO = </w:t>
      </w:r>
      <w:r w:rsidRPr="00BE10A0">
        <w:rPr>
          <w:i/>
          <w:color w:val="auto"/>
        </w:rPr>
        <w:t>Reithrodontomys montanus</w:t>
      </w:r>
      <w:r w:rsidRPr="00600C56">
        <w:rPr>
          <w:color w:val="auto"/>
        </w:rPr>
        <w:t xml:space="preserve">, BA = </w:t>
      </w:r>
      <w:r w:rsidRPr="00BE10A0">
        <w:rPr>
          <w:i/>
          <w:color w:val="auto"/>
        </w:rPr>
        <w:t>Baiomys taylori</w:t>
      </w:r>
      <w:r w:rsidRPr="00600C56">
        <w:rPr>
          <w:color w:val="auto"/>
        </w:rPr>
        <w:t xml:space="preserve">, PF = </w:t>
      </w:r>
      <w:r w:rsidRPr="00BE10A0">
        <w:rPr>
          <w:i/>
          <w:color w:val="auto"/>
        </w:rPr>
        <w:t>Perognathus flavus.</w:t>
      </w:r>
    </w:p>
    <w:tbl>
      <w:tblPr>
        <w:tblStyle w:val="TableGrid"/>
        <w:tblW w:w="0" w:type="auto"/>
        <w:jc w:val="center"/>
        <w:tblBorders>
          <w:insideV w:val="none" w:sz="0" w:space="0" w:color="auto"/>
        </w:tblBorders>
        <w:tblLayout w:type="fixed"/>
        <w:tblLook w:val="04A0" w:firstRow="1" w:lastRow="0" w:firstColumn="1" w:lastColumn="0" w:noHBand="0" w:noVBand="1"/>
      </w:tblPr>
      <w:tblGrid>
        <w:gridCol w:w="249"/>
        <w:gridCol w:w="444"/>
        <w:gridCol w:w="444"/>
        <w:gridCol w:w="444"/>
        <w:gridCol w:w="444"/>
        <w:gridCol w:w="444"/>
        <w:gridCol w:w="444"/>
        <w:gridCol w:w="445"/>
        <w:gridCol w:w="444"/>
        <w:gridCol w:w="444"/>
        <w:gridCol w:w="444"/>
        <w:gridCol w:w="444"/>
        <w:gridCol w:w="444"/>
        <w:gridCol w:w="444"/>
        <w:gridCol w:w="445"/>
        <w:gridCol w:w="444"/>
        <w:gridCol w:w="444"/>
        <w:gridCol w:w="444"/>
        <w:gridCol w:w="444"/>
        <w:gridCol w:w="444"/>
        <w:gridCol w:w="444"/>
        <w:gridCol w:w="445"/>
      </w:tblGrid>
      <w:tr w:rsidR="00264070" w:rsidRPr="002F18BB" w:rsidTr="005232EF">
        <w:trPr>
          <w:jc w:val="center"/>
        </w:trPr>
        <w:tc>
          <w:tcPr>
            <w:tcW w:w="249" w:type="dxa"/>
            <w:tcBorders>
              <w:bottom w:val="single" w:sz="4" w:space="0" w:color="auto"/>
              <w:right w:val="single" w:sz="4" w:space="0" w:color="auto"/>
            </w:tcBorders>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2"/>
                <w:szCs w:val="12"/>
              </w:rPr>
            </w:pPr>
          </w:p>
        </w:tc>
        <w:tc>
          <w:tcPr>
            <w:tcW w:w="444" w:type="dxa"/>
            <w:tcBorders>
              <w:left w:val="single" w:sz="4" w:space="0" w:color="auto"/>
            </w:tcBorders>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NA</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DS</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SH</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SF</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SO</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DO</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DM</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PB</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PH</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OL</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OT</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PL</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PM</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PE</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PP</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PI</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RF</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RM</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RO</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BA</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PF</w:t>
            </w:r>
          </w:p>
        </w:tc>
      </w:tr>
      <w:tr w:rsidR="00264070" w:rsidRPr="002F18BB" w:rsidTr="005232EF">
        <w:trPr>
          <w:jc w:val="center"/>
        </w:trPr>
        <w:tc>
          <w:tcPr>
            <w:tcW w:w="249" w:type="dxa"/>
            <w:tcBorders>
              <w:bottom w:val="single" w:sz="4" w:space="0" w:color="auto"/>
              <w:right w:val="single" w:sz="4" w:space="0" w:color="auto"/>
            </w:tcBorders>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2"/>
                <w:szCs w:val="12"/>
              </w:rPr>
            </w:pPr>
            <w:r>
              <w:rPr>
                <w:sz w:val="12"/>
                <w:szCs w:val="12"/>
              </w:rPr>
              <w:t>1</w:t>
            </w:r>
          </w:p>
        </w:tc>
        <w:tc>
          <w:tcPr>
            <w:tcW w:w="444" w:type="dxa"/>
            <w:tcBorders>
              <w:left w:val="single" w:sz="4" w:space="0" w:color="auto"/>
            </w:tcBorders>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0.088</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0.340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0.001</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0.076</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0.341</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0.061</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0.051</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0.011</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0.030</w:t>
            </w:r>
          </w:p>
        </w:tc>
      </w:tr>
      <w:tr w:rsidR="00264070" w:rsidRPr="002F18BB" w:rsidTr="005232EF">
        <w:trPr>
          <w:jc w:val="center"/>
        </w:trPr>
        <w:tc>
          <w:tcPr>
            <w:tcW w:w="249" w:type="dxa"/>
            <w:tcBorders>
              <w:bottom w:val="single" w:sz="4" w:space="0" w:color="auto"/>
              <w:right w:val="single" w:sz="4" w:space="0" w:color="auto"/>
            </w:tcBorders>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2"/>
                <w:szCs w:val="12"/>
              </w:rPr>
            </w:pPr>
            <w:r>
              <w:rPr>
                <w:sz w:val="12"/>
                <w:szCs w:val="12"/>
              </w:rPr>
              <w:t>2</w:t>
            </w:r>
          </w:p>
        </w:tc>
        <w:tc>
          <w:tcPr>
            <w:tcW w:w="444" w:type="dxa"/>
            <w:tcBorders>
              <w:left w:val="single" w:sz="4" w:space="0" w:color="auto"/>
            </w:tcBorders>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0.025</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0.004</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0.003</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0.001</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0.128</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0.606</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0.001</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0.030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0.064</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0.012</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0.041</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0.001</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0.049</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0.001</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0.001</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0.032</w:t>
            </w:r>
          </w:p>
        </w:tc>
      </w:tr>
      <w:tr w:rsidR="00264070" w:rsidRPr="002F18BB" w:rsidTr="005232EF">
        <w:trPr>
          <w:jc w:val="center"/>
        </w:trPr>
        <w:tc>
          <w:tcPr>
            <w:tcW w:w="249" w:type="dxa"/>
            <w:tcBorders>
              <w:bottom w:val="single" w:sz="4" w:space="0" w:color="auto"/>
              <w:right w:val="single" w:sz="4" w:space="0" w:color="auto"/>
            </w:tcBorders>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2"/>
                <w:szCs w:val="12"/>
              </w:rPr>
            </w:pPr>
            <w:r>
              <w:rPr>
                <w:sz w:val="12"/>
                <w:szCs w:val="12"/>
              </w:rPr>
              <w:t>3</w:t>
            </w:r>
          </w:p>
        </w:tc>
        <w:tc>
          <w:tcPr>
            <w:tcW w:w="444" w:type="dxa"/>
            <w:tcBorders>
              <w:left w:val="single" w:sz="4" w:space="0" w:color="auto"/>
            </w:tcBorders>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0.024</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0.020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0.014</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0.211</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0.078</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0.450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0.003</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0.130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0.004</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0.006</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0.016</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0.022</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0.006</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0.009</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0.007</w:t>
            </w:r>
          </w:p>
        </w:tc>
      </w:tr>
      <w:tr w:rsidR="00264070" w:rsidRPr="002F18BB" w:rsidTr="005232EF">
        <w:trPr>
          <w:jc w:val="center"/>
        </w:trPr>
        <w:tc>
          <w:tcPr>
            <w:tcW w:w="249" w:type="dxa"/>
            <w:tcBorders>
              <w:right w:val="single" w:sz="4" w:space="0" w:color="auto"/>
            </w:tcBorders>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2"/>
                <w:szCs w:val="12"/>
              </w:rPr>
            </w:pPr>
            <w:r>
              <w:rPr>
                <w:sz w:val="12"/>
                <w:szCs w:val="12"/>
              </w:rPr>
              <w:t>4</w:t>
            </w:r>
          </w:p>
        </w:tc>
        <w:tc>
          <w:tcPr>
            <w:tcW w:w="444" w:type="dxa"/>
            <w:tcBorders>
              <w:left w:val="single" w:sz="4" w:space="0" w:color="auto"/>
            </w:tcBorders>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0.001</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sidRPr="002F18BB">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0.018</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0.216</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0.025</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0.001</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0.006</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0.002</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0.722</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0.002</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0.000</w:t>
            </w:r>
          </w:p>
        </w:tc>
        <w:tc>
          <w:tcPr>
            <w:tcW w:w="444"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0.002</w:t>
            </w:r>
          </w:p>
        </w:tc>
        <w:tc>
          <w:tcPr>
            <w:tcW w:w="445" w:type="dxa"/>
            <w:vAlign w:val="center"/>
          </w:tcPr>
          <w:p w:rsidR="00264070" w:rsidRPr="002F18BB" w:rsidRDefault="00264070" w:rsidP="005232EF">
            <w:pPr>
              <w:pBdr>
                <w:top w:val="none" w:sz="0" w:space="0" w:color="auto"/>
                <w:left w:val="none" w:sz="0" w:space="0" w:color="auto"/>
                <w:bottom w:val="none" w:sz="0" w:space="0" w:color="auto"/>
                <w:right w:val="none" w:sz="0" w:space="0" w:color="auto"/>
                <w:between w:val="none" w:sz="0" w:space="0" w:color="auto"/>
              </w:pBdr>
              <w:spacing w:line="480" w:lineRule="auto"/>
              <w:rPr>
                <w:sz w:val="10"/>
                <w:szCs w:val="10"/>
              </w:rPr>
            </w:pPr>
            <w:r>
              <w:rPr>
                <w:sz w:val="10"/>
                <w:szCs w:val="10"/>
              </w:rPr>
              <w:t>0.006</w:t>
            </w:r>
          </w:p>
        </w:tc>
      </w:tr>
    </w:tbl>
    <w:p w:rsidR="00264070" w:rsidRPr="00EB66E8" w:rsidRDefault="00264070" w:rsidP="00264070">
      <w:pPr>
        <w:spacing w:after="0" w:line="480" w:lineRule="auto"/>
      </w:pPr>
    </w:p>
    <w:p w:rsidR="00264070" w:rsidRDefault="00264070" w:rsidP="00264070">
      <w:pPr>
        <w:spacing w:after="0" w:line="480" w:lineRule="auto"/>
      </w:pPr>
      <w:r>
        <w:rPr>
          <w:noProof/>
        </w:rPr>
        <w:lastRenderedPageBreak/>
        <w:drawing>
          <wp:inline distT="114300" distB="114300" distL="114300" distR="114300" wp14:anchorId="42B88AE3" wp14:editId="3CB501F4">
            <wp:extent cx="3931920" cy="2093976"/>
            <wp:effectExtent l="0" t="0" r="0" b="1905"/>
            <wp:docPr id="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
                    <a:srcRect/>
                    <a:stretch>
                      <a:fillRect/>
                    </a:stretch>
                  </pic:blipFill>
                  <pic:spPr>
                    <a:xfrm>
                      <a:off x="0" y="0"/>
                      <a:ext cx="3931920" cy="2093976"/>
                    </a:xfrm>
                    <a:prstGeom prst="rect">
                      <a:avLst/>
                    </a:prstGeom>
                    <a:ln/>
                  </pic:spPr>
                </pic:pic>
              </a:graphicData>
            </a:graphic>
          </wp:inline>
        </w:drawing>
      </w:r>
    </w:p>
    <w:p w:rsidR="00264070" w:rsidRDefault="00264070" w:rsidP="00264070">
      <w:pPr>
        <w:spacing w:after="0" w:line="480" w:lineRule="auto"/>
      </w:pPr>
      <w:r>
        <w:rPr>
          <w:b/>
        </w:rPr>
        <w:t xml:space="preserve">Figure S1. </w:t>
      </w:r>
      <w:r>
        <w:t xml:space="preserve">We estimated model fit using an approximate AIC procedure for LDA models using 2 to 9 community-types.  Since LDA depends on a random seed, we repeated the LDA model fit and AIC model selection using 200 different seeds to obtain a distribution of “best number of community-types.”  This procedure always selected between 3 and 5 community-types, with 4 selected by the majority of runs.  </w:t>
      </w:r>
    </w:p>
    <w:p w:rsidR="00264070" w:rsidRDefault="00264070" w:rsidP="00264070">
      <w:pPr>
        <w:spacing w:after="0" w:line="480" w:lineRule="auto"/>
      </w:pPr>
    </w:p>
    <w:p w:rsidR="00264070" w:rsidRDefault="00264070" w:rsidP="00264070">
      <w:pPr>
        <w:spacing w:after="0" w:line="480" w:lineRule="auto"/>
      </w:pPr>
      <w:r>
        <w:rPr>
          <w:noProof/>
        </w:rPr>
        <w:drawing>
          <wp:inline distT="0" distB="0" distL="0" distR="0" wp14:anchorId="0718BF2B" wp14:editId="5B6A79B6">
            <wp:extent cx="5943600" cy="297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977515"/>
                    </a:xfrm>
                    <a:prstGeom prst="rect">
                      <a:avLst/>
                    </a:prstGeom>
                  </pic:spPr>
                </pic:pic>
              </a:graphicData>
            </a:graphic>
          </wp:inline>
        </w:drawing>
      </w:r>
    </w:p>
    <w:p w:rsidR="00264070" w:rsidRDefault="00264070" w:rsidP="00264070">
      <w:pPr>
        <w:spacing w:after="0" w:line="480" w:lineRule="auto"/>
      </w:pPr>
      <w:r>
        <w:rPr>
          <w:b/>
        </w:rPr>
        <w:t xml:space="preserve">Figure S2. </w:t>
      </w:r>
      <w:r>
        <w:t xml:space="preserve">We fit the four community-type LDA model 200 times with different random initializations, using the model with the highest likelihood (black points) for all subsequent analyses. Among the top 100 model fits, the average Hellinger distance from this local optimum was 0.085, and maximum </w:t>
      </w:r>
      <w:r>
        <w:lastRenderedPageBreak/>
        <w:t>distance was 0.133, on a scale from 0 to 1. The red points indicate estimates from the farthest model.</w:t>
      </w:r>
    </w:p>
    <w:p w:rsidR="00264070" w:rsidRDefault="00264070" w:rsidP="00264070">
      <w:pPr>
        <w:spacing w:after="0" w:line="480" w:lineRule="auto"/>
      </w:pPr>
    </w:p>
    <w:p w:rsidR="00264070" w:rsidRDefault="00264070" w:rsidP="00264070">
      <w:pPr>
        <w:spacing w:after="0" w:line="480" w:lineRule="auto"/>
      </w:pPr>
    </w:p>
    <w:p w:rsidR="00264070" w:rsidRDefault="00264070" w:rsidP="00264070">
      <w:pPr>
        <w:spacing w:after="0" w:line="480" w:lineRule="auto"/>
      </w:pPr>
      <w:r>
        <w:rPr>
          <w:noProof/>
        </w:rPr>
        <w:drawing>
          <wp:inline distT="0" distB="0" distL="0" distR="0" wp14:anchorId="1ECC1196" wp14:editId="15CB7280">
            <wp:extent cx="5943600" cy="3298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98190"/>
                    </a:xfrm>
                    <a:prstGeom prst="rect">
                      <a:avLst/>
                    </a:prstGeom>
                  </pic:spPr>
                </pic:pic>
              </a:graphicData>
            </a:graphic>
          </wp:inline>
        </w:drawing>
      </w:r>
    </w:p>
    <w:p w:rsidR="00264070" w:rsidRDefault="00264070" w:rsidP="00264070">
      <w:pPr>
        <w:spacing w:after="0" w:line="480" w:lineRule="auto"/>
      </w:pPr>
      <w:r>
        <w:rPr>
          <w:b/>
        </w:rPr>
        <w:t xml:space="preserve">Figure S3. </w:t>
      </w:r>
      <w:r>
        <w:t>Results of LDA model fit with three community-types</w:t>
      </w:r>
    </w:p>
    <w:p w:rsidR="00264070" w:rsidRDefault="00264070" w:rsidP="00264070">
      <w:pPr>
        <w:spacing w:after="0" w:line="480" w:lineRule="auto"/>
      </w:pPr>
    </w:p>
    <w:p w:rsidR="00264070" w:rsidRPr="00ED5C9C" w:rsidRDefault="00264070" w:rsidP="00264070">
      <w:pPr>
        <w:spacing w:after="0" w:line="480" w:lineRule="auto"/>
      </w:pPr>
      <w:r>
        <w:rPr>
          <w:noProof/>
        </w:rPr>
        <w:lastRenderedPageBreak/>
        <w:drawing>
          <wp:inline distT="0" distB="0" distL="0" distR="0" wp14:anchorId="38F44528" wp14:editId="0E0DF344">
            <wp:extent cx="5943600" cy="3227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27705"/>
                    </a:xfrm>
                    <a:prstGeom prst="rect">
                      <a:avLst/>
                    </a:prstGeom>
                  </pic:spPr>
                </pic:pic>
              </a:graphicData>
            </a:graphic>
          </wp:inline>
        </w:drawing>
      </w:r>
    </w:p>
    <w:p w:rsidR="00264070" w:rsidRDefault="00264070" w:rsidP="00264070">
      <w:pPr>
        <w:spacing w:after="0" w:line="480" w:lineRule="auto"/>
      </w:pPr>
      <w:r>
        <w:rPr>
          <w:b/>
        </w:rPr>
        <w:t xml:space="preserve">Figure S4. </w:t>
      </w:r>
      <w:r>
        <w:t>Results of LDA model fit with four community-types</w:t>
      </w:r>
    </w:p>
    <w:p w:rsidR="00264070" w:rsidRDefault="00264070" w:rsidP="00264070">
      <w:pPr>
        <w:spacing w:after="0" w:line="480" w:lineRule="auto"/>
      </w:pPr>
    </w:p>
    <w:p w:rsidR="00264070" w:rsidRDefault="00264070" w:rsidP="00264070">
      <w:pPr>
        <w:spacing w:after="0" w:line="480" w:lineRule="auto"/>
      </w:pPr>
      <w:r>
        <w:rPr>
          <w:noProof/>
        </w:rPr>
        <w:drawing>
          <wp:inline distT="0" distB="0" distL="0" distR="0" wp14:anchorId="483A221D" wp14:editId="793B8507">
            <wp:extent cx="5943600" cy="3571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71875"/>
                    </a:xfrm>
                    <a:prstGeom prst="rect">
                      <a:avLst/>
                    </a:prstGeom>
                  </pic:spPr>
                </pic:pic>
              </a:graphicData>
            </a:graphic>
          </wp:inline>
        </w:drawing>
      </w:r>
    </w:p>
    <w:p w:rsidR="00264070" w:rsidRDefault="00264070" w:rsidP="00264070">
      <w:pPr>
        <w:spacing w:after="0" w:line="480" w:lineRule="auto"/>
      </w:pPr>
      <w:r>
        <w:rPr>
          <w:b/>
        </w:rPr>
        <w:t xml:space="preserve">Figure S5. </w:t>
      </w:r>
      <w:r>
        <w:t>Results of LDA model fit with five community-types</w:t>
      </w:r>
    </w:p>
    <w:p w:rsidR="00264070" w:rsidRDefault="00264070" w:rsidP="00264070">
      <w:pPr>
        <w:spacing w:after="0" w:line="480" w:lineRule="auto"/>
      </w:pPr>
      <w:r>
        <w:rPr>
          <w:noProof/>
        </w:rPr>
        <w:lastRenderedPageBreak/>
        <w:drawing>
          <wp:inline distT="0" distB="0" distL="0" distR="0" wp14:anchorId="7B6B5D38" wp14:editId="60E41AF6">
            <wp:extent cx="5394960" cy="5394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plot.png"/>
                    <pic:cNvPicPr/>
                  </pic:nvPicPr>
                  <pic:blipFill>
                    <a:blip r:embed="rId9">
                      <a:extLst>
                        <a:ext uri="{28A0092B-C50C-407E-A947-70E740481C1C}">
                          <a14:useLocalDpi xmlns:a14="http://schemas.microsoft.com/office/drawing/2010/main" val="0"/>
                        </a:ext>
                      </a:extLst>
                    </a:blip>
                    <a:stretch>
                      <a:fillRect/>
                    </a:stretch>
                  </pic:blipFill>
                  <pic:spPr>
                    <a:xfrm>
                      <a:off x="0" y="0"/>
                      <a:ext cx="5394960" cy="5394960"/>
                    </a:xfrm>
                    <a:prstGeom prst="rect">
                      <a:avLst/>
                    </a:prstGeom>
                  </pic:spPr>
                </pic:pic>
              </a:graphicData>
            </a:graphic>
          </wp:inline>
        </w:drawing>
      </w:r>
    </w:p>
    <w:p w:rsidR="00305BE3" w:rsidRDefault="00264070" w:rsidP="00264070">
      <w:pPr>
        <w:spacing w:after="0" w:line="480" w:lineRule="auto"/>
      </w:pPr>
      <w:r>
        <w:rPr>
          <w:b/>
        </w:rPr>
        <w:t xml:space="preserve">Figure S6.  </w:t>
      </w:r>
      <w:r>
        <w:t>Comparison of change-point models fit with 2, 3, 4, or 5 change-points.  The model containing 4 change-points was best supported.</w:t>
      </w:r>
      <w:bookmarkStart w:id="0" w:name="_GoBack"/>
      <w:bookmarkEnd w:id="0"/>
    </w:p>
    <w:sectPr w:rsidR="00305BE3">
      <w:headerReference w:type="default" r:id="rId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507101"/>
      <w:docPartObj>
        <w:docPartGallery w:val="Page Numbers (Top of Page)"/>
        <w:docPartUnique/>
      </w:docPartObj>
    </w:sdtPr>
    <w:sdtEndPr>
      <w:rPr>
        <w:noProof/>
      </w:rPr>
    </w:sdtEndPr>
    <w:sdtContent>
      <w:p w:rsidR="007C7C9E" w:rsidRDefault="0026407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C7C9E" w:rsidRDefault="00264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70"/>
    <w:rsid w:val="0019171F"/>
    <w:rsid w:val="00264070"/>
    <w:rsid w:val="004868CD"/>
    <w:rsid w:val="00934C4A"/>
    <w:rsid w:val="00E7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B568B-FD47-446B-B62D-3547B1B1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4070"/>
    <w:pPr>
      <w:widowControl w:val="0"/>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070"/>
    <w:pPr>
      <w:widowControl w:val="0"/>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7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2578</Characters>
  <Application>Microsoft Office Word</Application>
  <DocSecurity>0</DocSecurity>
  <Lines>21</Lines>
  <Paragraphs>6</Paragraphs>
  <ScaleCrop>false</ScaleCrop>
  <Company>Microsoft</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Christensen</dc:creator>
  <cp:keywords/>
  <dc:description/>
  <cp:lastModifiedBy>Erica Christensen</cp:lastModifiedBy>
  <cp:revision>1</cp:revision>
  <dcterms:created xsi:type="dcterms:W3CDTF">2017-07-13T16:09:00Z</dcterms:created>
  <dcterms:modified xsi:type="dcterms:W3CDTF">2017-07-13T16:10:00Z</dcterms:modified>
</cp:coreProperties>
</file>