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emf" ContentType="image/x-em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D5311C8" w14:textId="4D023331" w:rsidR="00103735" w:rsidRPr="007037E5" w:rsidRDefault="007037E5" w:rsidP="00660655">
      <w:pPr>
        <w:spacing w:line="480" w:lineRule="auto"/>
        <w:jc w:val="both"/>
        <w:rPr>
          <w:b/>
        </w:rPr>
      </w:pPr>
      <w:r>
        <w:rPr>
          <w:b/>
        </w:rPr>
        <w:t>Supplemental Figure</w:t>
      </w:r>
      <w:r w:rsidR="008441DF">
        <w:rPr>
          <w:b/>
        </w:rPr>
        <w:t>s and</w:t>
      </w:r>
      <w:bookmarkStart w:id="0" w:name="_GoBack"/>
      <w:bookmarkEnd w:id="0"/>
      <w:r>
        <w:rPr>
          <w:b/>
        </w:rPr>
        <w:t xml:space="preserve"> Legends</w:t>
      </w:r>
    </w:p>
    <w:p w14:paraId="16DDF648" w14:textId="77777777" w:rsidR="00C2087D" w:rsidRDefault="00C2087D" w:rsidP="00660655">
      <w:pPr>
        <w:spacing w:line="480" w:lineRule="auto"/>
        <w:jc w:val="both"/>
        <w:rPr>
          <w:b/>
        </w:rPr>
      </w:pPr>
      <w:r>
        <w:rPr>
          <w:b/>
          <w:noProof/>
        </w:rPr>
        <w:drawing>
          <wp:inline distT="0" distB="0" distL="0" distR="0" wp14:anchorId="41F63E48" wp14:editId="1EC0322A">
            <wp:extent cx="5486400" cy="3513222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au_HS_SupplFig1_v2.ai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127"/>
                    <a:stretch/>
                  </pic:blipFill>
                  <pic:spPr bwMode="auto">
                    <a:xfrm>
                      <a:off x="0" y="0"/>
                      <a:ext cx="5486400" cy="35132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3DECB7" w14:textId="77777777" w:rsidR="00C2087D" w:rsidRDefault="00C2087D" w:rsidP="00660655">
      <w:pPr>
        <w:spacing w:line="480" w:lineRule="auto"/>
        <w:jc w:val="both"/>
        <w:rPr>
          <w:b/>
        </w:rPr>
      </w:pPr>
    </w:p>
    <w:p w14:paraId="4EAF0A09" w14:textId="77777777" w:rsidR="00103735" w:rsidRPr="00C2087D" w:rsidRDefault="00C956E2" w:rsidP="00660655">
      <w:pPr>
        <w:spacing w:line="480" w:lineRule="auto"/>
        <w:jc w:val="both"/>
        <w:rPr>
          <w:b/>
        </w:rPr>
      </w:pPr>
      <w:proofErr w:type="gramStart"/>
      <w:r>
        <w:rPr>
          <w:b/>
        </w:rPr>
        <w:t>Supplemental Figure 1.</w:t>
      </w:r>
      <w:proofErr w:type="gramEnd"/>
      <w:r w:rsidR="00C2087D">
        <w:rPr>
          <w:b/>
        </w:rPr>
        <w:t xml:space="preserve"> </w:t>
      </w:r>
      <w:r w:rsidRPr="00C956E2">
        <w:t>(</w:t>
      </w:r>
      <w:r w:rsidR="007037E5">
        <w:rPr>
          <w:b/>
        </w:rPr>
        <w:t>a</w:t>
      </w:r>
      <w:r w:rsidRPr="00C956E2">
        <w:t>)</w:t>
      </w:r>
      <w:r>
        <w:rPr>
          <w:b/>
        </w:rPr>
        <w:t xml:space="preserve"> </w:t>
      </w:r>
      <w:r w:rsidR="00103735">
        <w:t>Uptake of 2N4R monomer is a time</w:t>
      </w:r>
      <w:r>
        <w:t xml:space="preserve"> regulated process in H4 cells. (</w:t>
      </w:r>
      <w:r w:rsidR="007037E5">
        <w:rPr>
          <w:b/>
        </w:rPr>
        <w:t>b</w:t>
      </w:r>
      <w:r>
        <w:t xml:space="preserve">) </w:t>
      </w:r>
      <w:r w:rsidR="00103735">
        <w:t xml:space="preserve">Uptake of 2N4R quaternary structures in </w:t>
      </w:r>
      <w:proofErr w:type="spellStart"/>
      <w:r w:rsidR="00103735">
        <w:t>ReN</w:t>
      </w:r>
      <w:proofErr w:type="spellEnd"/>
      <w:r w:rsidR="00103735">
        <w:t>-VM neural progenitor cell line. Identical control experiments were performed at 4°C and subtracted from 37°C dat</w:t>
      </w:r>
      <w:r>
        <w:t>a to generate the curves shown. (</w:t>
      </w:r>
      <w:r w:rsidR="007037E5">
        <w:rPr>
          <w:b/>
        </w:rPr>
        <w:t>c</w:t>
      </w:r>
      <w:r>
        <w:t xml:space="preserve">) </w:t>
      </w:r>
      <w:r w:rsidR="00103735">
        <w:t xml:space="preserve">Uptake of 2N4R quaternary structures in SH-SY5Y </w:t>
      </w:r>
      <w:proofErr w:type="spellStart"/>
      <w:r w:rsidR="00103735">
        <w:t>neuroblastoma</w:t>
      </w:r>
      <w:proofErr w:type="spellEnd"/>
      <w:r w:rsidR="00103735">
        <w:t xml:space="preserve"> cells. Control experiments performed at 4°C were subtracted to generate the curves shown. For uptake experiments, three independent experiments were performed in duplicate with a representative experiment sh</w:t>
      </w:r>
      <w:r>
        <w:t>own and the error shown is SEM. (</w:t>
      </w:r>
      <w:r w:rsidR="007037E5">
        <w:rPr>
          <w:b/>
        </w:rPr>
        <w:t>d</w:t>
      </w:r>
      <w:r>
        <w:t xml:space="preserve">) </w:t>
      </w:r>
      <w:r w:rsidR="00103735">
        <w:t xml:space="preserve">Immunocytochemistry of </w:t>
      </w:r>
      <w:proofErr w:type="spellStart"/>
      <w:r w:rsidR="00103735">
        <w:t>iPS</w:t>
      </w:r>
      <w:proofErr w:type="spellEnd"/>
      <w:r w:rsidR="00103735">
        <w:t>-derived neurons at day 14 of maturation, showing that they are positive for the neuronal markers MAP2 and tau. DAPI was used to stain nuclei.</w:t>
      </w:r>
    </w:p>
    <w:p w14:paraId="2C20E824" w14:textId="77777777" w:rsidR="00103735" w:rsidRDefault="00C2087D" w:rsidP="00660655">
      <w:pPr>
        <w:spacing w:line="480" w:lineRule="auto"/>
        <w:jc w:val="both"/>
      </w:pPr>
      <w:r>
        <w:rPr>
          <w:noProof/>
        </w:rPr>
        <w:lastRenderedPageBreak/>
        <w:drawing>
          <wp:inline distT="0" distB="0" distL="0" distR="0" wp14:anchorId="4E513F36" wp14:editId="1DF2DF2C">
            <wp:extent cx="5486400" cy="4239260"/>
            <wp:effectExtent l="0" t="0" r="0" b="254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au_HS_SupFig2_v3.ai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239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768400" w14:textId="77777777" w:rsidR="00103735" w:rsidRPr="00C2087D" w:rsidRDefault="00C956E2" w:rsidP="00660655">
      <w:pPr>
        <w:spacing w:line="480" w:lineRule="auto"/>
        <w:jc w:val="both"/>
        <w:rPr>
          <w:b/>
        </w:rPr>
      </w:pPr>
      <w:proofErr w:type="gramStart"/>
      <w:r>
        <w:rPr>
          <w:b/>
        </w:rPr>
        <w:t>Supplemental Figure 2.</w:t>
      </w:r>
      <w:proofErr w:type="gramEnd"/>
      <w:r w:rsidR="00C2087D">
        <w:rPr>
          <w:b/>
        </w:rPr>
        <w:t xml:space="preserve"> </w:t>
      </w:r>
      <w:r w:rsidRPr="00C956E2">
        <w:t>(</w:t>
      </w:r>
      <w:r w:rsidR="007037E5">
        <w:rPr>
          <w:b/>
        </w:rPr>
        <w:t>a</w:t>
      </w:r>
      <w:r w:rsidRPr="00C956E2">
        <w:t>)</w:t>
      </w:r>
      <w:r>
        <w:rPr>
          <w:b/>
        </w:rPr>
        <w:t xml:space="preserve"> </w:t>
      </w:r>
      <w:proofErr w:type="spellStart"/>
      <w:proofErr w:type="gramStart"/>
      <w:r w:rsidR="00103735">
        <w:t>qPCR</w:t>
      </w:r>
      <w:proofErr w:type="spellEnd"/>
      <w:proofErr w:type="gramEnd"/>
      <w:r w:rsidR="00103735">
        <w:t xml:space="preserve"> of </w:t>
      </w:r>
      <w:proofErr w:type="spellStart"/>
      <w:r w:rsidR="00103735">
        <w:t>sgRNA</w:t>
      </w:r>
      <w:proofErr w:type="spellEnd"/>
      <w:r w:rsidR="00103735">
        <w:t xml:space="preserve"> knockdown of selected hit genes. First bar represents non-targeting </w:t>
      </w:r>
      <w:proofErr w:type="spellStart"/>
      <w:r w:rsidR="00103735">
        <w:t>sgRNA</w:t>
      </w:r>
      <w:proofErr w:type="spellEnd"/>
      <w:r w:rsidR="00103735">
        <w:t xml:space="preserve"> negative control, followed by gene specific </w:t>
      </w:r>
      <w:proofErr w:type="spellStart"/>
      <w:r w:rsidR="00103735">
        <w:t>sgRNA</w:t>
      </w:r>
      <w:proofErr w:type="spellEnd"/>
      <w:r w:rsidR="00103735">
        <w:t xml:space="preserve">. Some genes had two </w:t>
      </w:r>
      <w:proofErr w:type="spellStart"/>
      <w:r w:rsidR="00103735">
        <w:t>sgRNAs</w:t>
      </w:r>
      <w:proofErr w:type="spellEnd"/>
      <w:r w:rsidR="00103735">
        <w:t xml:space="preserve"> chosen, in which case both are shown. Results are the average of three independent experiments performed in triplicat</w:t>
      </w:r>
      <w:r>
        <w:t>e, and error bars represent SD. (</w:t>
      </w:r>
      <w:r w:rsidR="007037E5">
        <w:rPr>
          <w:b/>
        </w:rPr>
        <w:t>b</w:t>
      </w:r>
      <w:r>
        <w:t xml:space="preserve">) </w:t>
      </w:r>
      <w:r w:rsidR="00103735">
        <w:t>Uptake of 2N4R monomers (50nM) in H4i cells with selected gene knockdowns, normali</w:t>
      </w:r>
      <w:r>
        <w:t xml:space="preserve">zed to a WT (no </w:t>
      </w:r>
      <w:proofErr w:type="spellStart"/>
      <w:r>
        <w:t>sgRNA</w:t>
      </w:r>
      <w:proofErr w:type="spellEnd"/>
      <w:r>
        <w:t>) control. (</w:t>
      </w:r>
      <w:r w:rsidR="007037E5">
        <w:rPr>
          <w:b/>
        </w:rPr>
        <w:t>c</w:t>
      </w:r>
      <w:r>
        <w:t xml:space="preserve">) </w:t>
      </w:r>
      <w:r w:rsidR="00103735">
        <w:t>List of genes that decreased or increased uptake of tau and their respe</w:t>
      </w:r>
      <w:r>
        <w:t>ctive effect on the cell cycle. (</w:t>
      </w:r>
      <w:r w:rsidR="007037E5">
        <w:rPr>
          <w:b/>
        </w:rPr>
        <w:t>d</w:t>
      </w:r>
      <w:r>
        <w:t xml:space="preserve">) </w:t>
      </w:r>
      <w:r w:rsidR="00103735">
        <w:t>TP53 gene knockdown shortens the cell cycle and increases cell growth</w:t>
      </w:r>
      <w:r>
        <w:t>.</w:t>
      </w:r>
      <w:r w:rsidRPr="00C956E2">
        <w:t xml:space="preserve"> (</w:t>
      </w:r>
      <w:r w:rsidR="007037E5">
        <w:rPr>
          <w:b/>
        </w:rPr>
        <w:t>e</w:t>
      </w:r>
      <w:r w:rsidRPr="00C956E2">
        <w:t>)</w:t>
      </w:r>
      <w:r>
        <w:rPr>
          <w:b/>
        </w:rPr>
        <w:t xml:space="preserve"> </w:t>
      </w:r>
      <w:r w:rsidR="00103735">
        <w:t xml:space="preserve">PD033, a small molecule that stalls cells in G1 </w:t>
      </w:r>
      <w:r>
        <w:t>phase, increases uptake of tau. (</w:t>
      </w:r>
      <w:r w:rsidR="007037E5">
        <w:rPr>
          <w:b/>
        </w:rPr>
        <w:t>f</w:t>
      </w:r>
      <w:r>
        <w:t>)</w:t>
      </w:r>
      <w:r w:rsidR="00103735">
        <w:t xml:space="preserve"> Uptake of 2N4R monomers (50nM) in H4i or DNM2 knockdown cells +/- treatment with </w:t>
      </w:r>
      <w:proofErr w:type="spellStart"/>
      <w:r w:rsidR="00103735">
        <w:t>Dynasore</w:t>
      </w:r>
      <w:proofErr w:type="spellEnd"/>
      <w:r w:rsidR="00103735">
        <w:t xml:space="preserve"> (50uM) inhibitor. All uptake experiments were performed in duplicate over three independent experiments with the data combined. Lines on the graphs represent WT mean +/- 3 standard deviations and error bars represent SEM. NT </w:t>
      </w:r>
      <w:proofErr w:type="spellStart"/>
      <w:r w:rsidR="00103735">
        <w:t>sgRNA</w:t>
      </w:r>
      <w:proofErr w:type="spellEnd"/>
      <w:r w:rsidR="00103735">
        <w:t xml:space="preserve"> stands for non-targeting </w:t>
      </w:r>
      <w:proofErr w:type="spellStart"/>
      <w:r w:rsidR="00103735">
        <w:t>sgRNA</w:t>
      </w:r>
      <w:proofErr w:type="spellEnd"/>
      <w:r w:rsidR="00103735">
        <w:t>.</w:t>
      </w:r>
    </w:p>
    <w:p w14:paraId="2EB29C17" w14:textId="77777777" w:rsidR="00C2087D" w:rsidRDefault="00C2087D" w:rsidP="00660655">
      <w:pPr>
        <w:spacing w:line="480" w:lineRule="auto"/>
        <w:jc w:val="both"/>
      </w:pPr>
      <w:r>
        <w:rPr>
          <w:noProof/>
        </w:rPr>
        <w:drawing>
          <wp:inline distT="0" distB="0" distL="0" distR="0" wp14:anchorId="09686BB0" wp14:editId="05F7E41B">
            <wp:extent cx="5486400" cy="423926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au_HS_SupplFig3_v3.ai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239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1AD8A7" w14:textId="77777777" w:rsidR="0002225F" w:rsidRPr="00C2087D" w:rsidRDefault="00C956E2" w:rsidP="00C2087D">
      <w:pPr>
        <w:spacing w:line="480" w:lineRule="auto"/>
        <w:jc w:val="both"/>
        <w:rPr>
          <w:b/>
        </w:rPr>
      </w:pPr>
      <w:proofErr w:type="gramStart"/>
      <w:r>
        <w:rPr>
          <w:b/>
        </w:rPr>
        <w:t>Supplemental Figure 3.</w:t>
      </w:r>
      <w:proofErr w:type="gramEnd"/>
      <w:r w:rsidR="00C2087D">
        <w:rPr>
          <w:b/>
        </w:rPr>
        <w:t xml:space="preserve"> </w:t>
      </w:r>
      <w:r w:rsidRPr="00C956E2">
        <w:t>(</w:t>
      </w:r>
      <w:r w:rsidR="007037E5">
        <w:rPr>
          <w:b/>
        </w:rPr>
        <w:t>a</w:t>
      </w:r>
      <w:r w:rsidRPr="00C956E2">
        <w:t>)</w:t>
      </w:r>
      <w:r>
        <w:rPr>
          <w:b/>
        </w:rPr>
        <w:t xml:space="preserve"> </w:t>
      </w:r>
      <w:r w:rsidR="00103735">
        <w:t xml:space="preserve">Excitatory </w:t>
      </w:r>
      <w:proofErr w:type="gramStart"/>
      <w:r w:rsidR="00103735">
        <w:t>post synaptic</w:t>
      </w:r>
      <w:proofErr w:type="gramEnd"/>
      <w:r w:rsidR="00103735">
        <w:t xml:space="preserve"> potentials (EPSPs) of </w:t>
      </w:r>
      <w:proofErr w:type="spellStart"/>
      <w:r w:rsidR="00103735">
        <w:t>or</w:t>
      </w:r>
      <w:r>
        <w:t>ganotypic</w:t>
      </w:r>
      <w:proofErr w:type="spellEnd"/>
      <w:r>
        <w:t xml:space="preserve"> brain slice cultures. (</w:t>
      </w:r>
      <w:r w:rsidR="007037E5">
        <w:rPr>
          <w:b/>
        </w:rPr>
        <w:t>b</w:t>
      </w:r>
      <w:r>
        <w:t xml:space="preserve">) </w:t>
      </w:r>
      <w:r w:rsidR="00103735">
        <w:t xml:space="preserve">Internalization of 2N4R-488 into mouse </w:t>
      </w:r>
      <w:proofErr w:type="spellStart"/>
      <w:r w:rsidR="00103735">
        <w:t>organotypic</w:t>
      </w:r>
      <w:proofErr w:type="spellEnd"/>
      <w:r w:rsidR="00103735">
        <w:t xml:space="preserve"> slice culture in the presence of various heparin derivatives. Hoechst</w:t>
      </w:r>
      <w:r>
        <w:t xml:space="preserve"> stain is used to label nuclei. (</w:t>
      </w:r>
      <w:r w:rsidR="007037E5">
        <w:rPr>
          <w:b/>
        </w:rPr>
        <w:t>c</w:t>
      </w:r>
      <w:r>
        <w:t xml:space="preserve">) </w:t>
      </w:r>
      <w:r w:rsidR="00103735">
        <w:t>Quantification of the median Hoechst fluorescence intensity for tau uptake in mouse slice culture. Two independent experiments were performed with multiple images (&gt;5) from each condition. Error bars represent SEM.</w:t>
      </w:r>
    </w:p>
    <w:sectPr w:rsidR="0002225F" w:rsidRPr="00C2087D" w:rsidSect="00103735">
      <w:footerReference w:type="even" r:id="rId10"/>
      <w:footerReference w:type="default" r:id="rId11"/>
      <w:pgSz w:w="12240" w:h="15840"/>
      <w:pgMar w:top="1440" w:right="1800" w:bottom="1440" w:left="1800" w:header="720" w:footer="720" w:gutter="0"/>
      <w:cols w:space="720"/>
      <w:titlePg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3AD4E02" w14:textId="77777777" w:rsidR="00660655" w:rsidRDefault="00660655">
      <w:r>
        <w:separator/>
      </w:r>
    </w:p>
  </w:endnote>
  <w:endnote w:type="continuationSeparator" w:id="0">
    <w:p w14:paraId="0963C1CB" w14:textId="77777777" w:rsidR="00660655" w:rsidRDefault="0066065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32F13A1" w14:textId="77777777" w:rsidR="00660655" w:rsidRDefault="00660655" w:rsidP="00103735">
    <w:pPr>
      <w:pStyle w:val="Foot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2010EE24" w14:textId="77777777" w:rsidR="00660655" w:rsidRDefault="00660655">
    <w:pPr>
      <w:pStyle w:val="Footer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4253721" w14:textId="77777777" w:rsidR="00660655" w:rsidRDefault="00660655" w:rsidP="00103735">
    <w:pPr>
      <w:pStyle w:val="Foot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C2087D">
      <w:rPr>
        <w:rStyle w:val="PageNumber"/>
        <w:noProof/>
      </w:rPr>
      <w:t>2</w:t>
    </w:r>
    <w:r>
      <w:rPr>
        <w:rStyle w:val="PageNumber"/>
      </w:rPr>
      <w:fldChar w:fldCharType="end"/>
    </w:r>
  </w:p>
  <w:p w14:paraId="02C0D4EB" w14:textId="77777777" w:rsidR="00660655" w:rsidRDefault="00660655">
    <w:pPr>
      <w:pStyle w:val="Footer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1F696E2" w14:textId="77777777" w:rsidR="00660655" w:rsidRDefault="00660655">
      <w:r>
        <w:separator/>
      </w:r>
    </w:p>
  </w:footnote>
  <w:footnote w:type="continuationSeparator" w:id="0">
    <w:p w14:paraId="78D5F0F0" w14:textId="77777777" w:rsidR="00660655" w:rsidRDefault="00660655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2"/>
  <w:embedSystemFonts/>
  <w:proofState w:spelling="clean" w:grammar="clean"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03735"/>
    <w:rsid w:val="0002225F"/>
    <w:rsid w:val="00103735"/>
    <w:rsid w:val="00180CAF"/>
    <w:rsid w:val="00660655"/>
    <w:rsid w:val="007037E5"/>
    <w:rsid w:val="008441DF"/>
    <w:rsid w:val="008D0225"/>
    <w:rsid w:val="00A548AE"/>
    <w:rsid w:val="00C2087D"/>
    <w:rsid w:val="00C956E2"/>
    <w:rsid w:val="00EC4C6D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  <w14:docId w14:val="75C68F71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Arial" w:eastAsiaTheme="minorEastAsia" w:hAnsi="Arial" w:cs="Arial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03735"/>
  </w:style>
  <w:style w:type="paragraph" w:styleId="Heading2">
    <w:name w:val="heading 2"/>
    <w:basedOn w:val="Normal"/>
    <w:next w:val="Normal"/>
    <w:link w:val="Heading2Char"/>
    <w:autoRedefine/>
    <w:uiPriority w:val="9"/>
    <w:unhideWhenUsed/>
    <w:qFormat/>
    <w:rsid w:val="00EC4C6D"/>
    <w:pPr>
      <w:keepNext/>
      <w:keepLines/>
      <w:spacing w:before="200"/>
      <w:jc w:val="center"/>
      <w:outlineLvl w:val="1"/>
    </w:pPr>
    <w:rPr>
      <w:rFonts w:eastAsiaTheme="majorEastAsia" w:cstheme="majorBidi"/>
      <w:b/>
      <w:bCs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"/>
    <w:rsid w:val="00EC4C6D"/>
    <w:rPr>
      <w:rFonts w:ascii="Arial" w:eastAsiaTheme="majorEastAsia" w:hAnsi="Arial" w:cstheme="majorBidi"/>
      <w:b/>
      <w:bCs/>
      <w:szCs w:val="26"/>
    </w:rPr>
  </w:style>
  <w:style w:type="paragraph" w:styleId="Footer">
    <w:name w:val="footer"/>
    <w:basedOn w:val="Normal"/>
    <w:link w:val="FooterChar"/>
    <w:uiPriority w:val="99"/>
    <w:unhideWhenUsed/>
    <w:rsid w:val="00103735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03735"/>
  </w:style>
  <w:style w:type="character" w:styleId="PageNumber">
    <w:name w:val="page number"/>
    <w:basedOn w:val="DefaultParagraphFont"/>
    <w:uiPriority w:val="99"/>
    <w:semiHidden/>
    <w:unhideWhenUsed/>
    <w:rsid w:val="00103735"/>
  </w:style>
  <w:style w:type="paragraph" w:styleId="BalloonText">
    <w:name w:val="Balloon Text"/>
    <w:basedOn w:val="Normal"/>
    <w:link w:val="BalloonTextChar"/>
    <w:uiPriority w:val="99"/>
    <w:semiHidden/>
    <w:unhideWhenUsed/>
    <w:rsid w:val="00C2087D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2087D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Arial" w:eastAsiaTheme="minorEastAsia" w:hAnsi="Arial" w:cs="Arial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03735"/>
  </w:style>
  <w:style w:type="paragraph" w:styleId="Heading2">
    <w:name w:val="heading 2"/>
    <w:basedOn w:val="Normal"/>
    <w:next w:val="Normal"/>
    <w:link w:val="Heading2Char"/>
    <w:autoRedefine/>
    <w:uiPriority w:val="9"/>
    <w:unhideWhenUsed/>
    <w:qFormat/>
    <w:rsid w:val="00EC4C6D"/>
    <w:pPr>
      <w:keepNext/>
      <w:keepLines/>
      <w:spacing w:before="200"/>
      <w:jc w:val="center"/>
      <w:outlineLvl w:val="1"/>
    </w:pPr>
    <w:rPr>
      <w:rFonts w:eastAsiaTheme="majorEastAsia" w:cstheme="majorBidi"/>
      <w:b/>
      <w:bCs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"/>
    <w:rsid w:val="00EC4C6D"/>
    <w:rPr>
      <w:rFonts w:ascii="Arial" w:eastAsiaTheme="majorEastAsia" w:hAnsi="Arial" w:cstheme="majorBidi"/>
      <w:b/>
      <w:bCs/>
      <w:szCs w:val="26"/>
    </w:rPr>
  </w:style>
  <w:style w:type="paragraph" w:styleId="Footer">
    <w:name w:val="footer"/>
    <w:basedOn w:val="Normal"/>
    <w:link w:val="FooterChar"/>
    <w:uiPriority w:val="99"/>
    <w:unhideWhenUsed/>
    <w:rsid w:val="00103735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03735"/>
  </w:style>
  <w:style w:type="character" w:styleId="PageNumber">
    <w:name w:val="page number"/>
    <w:basedOn w:val="DefaultParagraphFont"/>
    <w:uiPriority w:val="99"/>
    <w:semiHidden/>
    <w:unhideWhenUsed/>
    <w:rsid w:val="00103735"/>
  </w:style>
  <w:style w:type="paragraph" w:styleId="BalloonText">
    <w:name w:val="Balloon Text"/>
    <w:basedOn w:val="Normal"/>
    <w:link w:val="BalloonTextChar"/>
    <w:uiPriority w:val="99"/>
    <w:semiHidden/>
    <w:unhideWhenUsed/>
    <w:rsid w:val="00C2087D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2087D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footer" Target="footer2.xml"/><Relationship Id="rId12" Type="http://schemas.openxmlformats.org/officeDocument/2006/relationships/fontTable" Target="fontTable.xml"/><Relationship Id="rId13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image" Target="media/image1.emf"/><Relationship Id="rId8" Type="http://schemas.openxmlformats.org/officeDocument/2006/relationships/image" Target="media/image2.emf"/><Relationship Id="rId9" Type="http://schemas.openxmlformats.org/officeDocument/2006/relationships/image" Target="media/image3.emf"/><Relationship Id="rId10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3</Pages>
  <Words>353</Words>
  <Characters>2013</Characters>
  <Application>Microsoft Macintosh Word</Application>
  <DocSecurity>0</DocSecurity>
  <Lines>16</Lines>
  <Paragraphs>4</Paragraphs>
  <ScaleCrop>false</ScaleCrop>
  <Company>confetti</Company>
  <LinksUpToDate>false</LinksUpToDate>
  <CharactersWithSpaces>2362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Jennifer Rauch</dc:creator>
  <cp:keywords/>
  <dc:description/>
  <cp:lastModifiedBy>Jennifer Rauch</cp:lastModifiedBy>
  <cp:revision>4</cp:revision>
  <dcterms:created xsi:type="dcterms:W3CDTF">2017-05-24T18:01:00Z</dcterms:created>
  <dcterms:modified xsi:type="dcterms:W3CDTF">2017-05-24T20:40:00Z</dcterms:modified>
</cp:coreProperties>
</file>