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24E" w:rsidRPr="00BD4A73" w:rsidRDefault="0083662A" w:rsidP="00C2624E">
      <w:pPr>
        <w:rPr>
          <w:rFonts w:ascii="Calibri" w:eastAsia="Times New Roman" w:hAnsi="Calibri" w:cs="Calibri"/>
          <w:b/>
          <w:sz w:val="28"/>
          <w:lang w:val="en-GB"/>
        </w:rPr>
      </w:pPr>
      <w:r>
        <w:rPr>
          <w:rFonts w:ascii="Calibri" w:eastAsia="Times New Roman" w:hAnsi="Calibri" w:cs="Calibri"/>
          <w:b/>
          <w:sz w:val="28"/>
          <w:lang w:val="en-GB"/>
        </w:rPr>
        <w:t>Appendix</w:t>
      </w:r>
      <w:r w:rsidR="00C2624E" w:rsidRPr="00BD4A73">
        <w:rPr>
          <w:rFonts w:ascii="Calibri" w:eastAsia="Times New Roman" w:hAnsi="Calibri" w:cs="Calibri"/>
          <w:b/>
          <w:sz w:val="28"/>
          <w:lang w:val="en-GB"/>
        </w:rPr>
        <w:t xml:space="preserve"> S</w:t>
      </w:r>
      <w:r w:rsidR="00C2624E">
        <w:rPr>
          <w:rFonts w:ascii="Calibri" w:eastAsia="Times New Roman" w:hAnsi="Calibri" w:cs="Calibri"/>
          <w:b/>
          <w:sz w:val="28"/>
          <w:lang w:val="en-GB"/>
        </w:rPr>
        <w:t>1</w:t>
      </w:r>
      <w:r>
        <w:rPr>
          <w:rFonts w:ascii="Calibri" w:eastAsia="Times New Roman" w:hAnsi="Calibri" w:cs="Calibri"/>
          <w:b/>
          <w:sz w:val="28"/>
          <w:lang w:val="en-GB"/>
        </w:rPr>
        <w:t>: additional inf</w:t>
      </w:r>
      <w:bookmarkStart w:id="0" w:name="_GoBack"/>
      <w:bookmarkEnd w:id="0"/>
      <w:r>
        <w:rPr>
          <w:rFonts w:ascii="Calibri" w:eastAsia="Times New Roman" w:hAnsi="Calibri" w:cs="Calibri"/>
          <w:b/>
          <w:sz w:val="28"/>
          <w:lang w:val="en-GB"/>
        </w:rPr>
        <w:t>ormation methodologies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b/>
          <w:lang w:val="en-GB"/>
        </w:rPr>
      </w:pPr>
      <w:r w:rsidRPr="00BD4A73">
        <w:rPr>
          <w:rFonts w:asciiTheme="minorHAnsi" w:hAnsiTheme="minorHAnsi" w:cs="Arial"/>
          <w:b/>
          <w:lang w:val="en-GB"/>
        </w:rPr>
        <w:t>Methodologies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i/>
          <w:lang w:val="en-GB"/>
        </w:rPr>
      </w:pPr>
      <w:r w:rsidRPr="00BD4A73">
        <w:rPr>
          <w:rFonts w:asciiTheme="minorHAnsi" w:hAnsiTheme="minorHAnsi" w:cs="Arial"/>
          <w:i/>
          <w:lang w:val="en-GB"/>
        </w:rPr>
        <w:t>Aerial dispersal assay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lang w:val="en-GB"/>
        </w:rPr>
      </w:pPr>
      <w:r w:rsidRPr="00BD4A73">
        <w:rPr>
          <w:rFonts w:asciiTheme="minorHAnsi" w:hAnsiTheme="minorHAnsi" w:cs="Arial"/>
          <w:lang w:val="en-GB"/>
        </w:rPr>
        <w:t>To evaluate the effect of metapopulation context on the rearing dispersal behavio</w:t>
      </w:r>
      <w:r>
        <w:rPr>
          <w:rFonts w:asciiTheme="minorHAnsi" w:hAnsiTheme="minorHAnsi" w:cs="Arial"/>
          <w:lang w:val="en-GB"/>
        </w:rPr>
        <w:t>u</w:t>
      </w:r>
      <w:r w:rsidRPr="00BD4A73">
        <w:rPr>
          <w:rFonts w:asciiTheme="minorHAnsi" w:hAnsiTheme="minorHAnsi" w:cs="Arial"/>
          <w:lang w:val="en-GB"/>
        </w:rPr>
        <w:t>r, mated females were transferred to test arenas for trials of aerial dispersal after one whole generation on bean to minimi</w:t>
      </w:r>
      <w:r>
        <w:rPr>
          <w:rFonts w:asciiTheme="minorHAnsi" w:hAnsiTheme="minorHAnsi" w:cs="Arial"/>
          <w:lang w:val="en-GB"/>
        </w:rPr>
        <w:t>s</w:t>
      </w:r>
      <w:r w:rsidRPr="00BD4A73">
        <w:rPr>
          <w:rFonts w:asciiTheme="minorHAnsi" w:hAnsiTheme="minorHAnsi" w:cs="Arial"/>
          <w:lang w:val="en-GB"/>
        </w:rPr>
        <w:t>e maternal effects. The same setup as used by (Li &amp; Margolies 1993; Li &amp; Margolies 1994) was applied. The test arenas consisted of 1cm² black painted plastic discs located on soaked cotton dishes in order to avoid escape of the mites. Mites of the three treatments were placed on one cm² disc and test arenas were provided with an upward (30°) wind current of 1.5 m/s (produced by a fan) and a strong light source (990 lumen) at the source of the air current.</w:t>
      </w:r>
      <w:r>
        <w:rPr>
          <w:rFonts w:asciiTheme="minorHAnsi" w:hAnsiTheme="minorHAnsi" w:cs="Arial"/>
          <w:lang w:val="en-GB"/>
        </w:rPr>
        <w:t xml:space="preserve"> </w:t>
      </w:r>
      <w:r w:rsidRPr="00BD4A73">
        <w:rPr>
          <w:rFonts w:asciiTheme="minorHAnsi" w:hAnsiTheme="minorHAnsi" w:cs="Arial"/>
          <w:lang w:val="en-GB"/>
        </w:rPr>
        <w:t>As mites perform rearing behaviour before entering the air column, we were able to count and select the number of mites performing this behavio</w:t>
      </w:r>
      <w:r>
        <w:rPr>
          <w:rFonts w:asciiTheme="minorHAnsi" w:hAnsiTheme="minorHAnsi" w:cs="Arial"/>
          <w:lang w:val="en-GB"/>
        </w:rPr>
        <w:t>u</w:t>
      </w:r>
      <w:r w:rsidRPr="00BD4A73">
        <w:rPr>
          <w:rFonts w:asciiTheme="minorHAnsi" w:hAnsiTheme="minorHAnsi" w:cs="Arial"/>
          <w:lang w:val="en-GB"/>
        </w:rPr>
        <w:t>r (for at least 5 seconds) in the subsequent 3 hours. Mites that showed this behavio</w:t>
      </w:r>
      <w:r>
        <w:rPr>
          <w:rFonts w:asciiTheme="minorHAnsi" w:hAnsiTheme="minorHAnsi" w:cs="Arial"/>
          <w:lang w:val="en-GB"/>
        </w:rPr>
        <w:t>u</w:t>
      </w:r>
      <w:r w:rsidRPr="00BD4A73">
        <w:rPr>
          <w:rFonts w:asciiTheme="minorHAnsi" w:hAnsiTheme="minorHAnsi" w:cs="Arial"/>
          <w:lang w:val="en-GB"/>
        </w:rPr>
        <w:t xml:space="preserve">r were immediately removed in order to avoid double records. We simultaneously tested mites originating from metapopulations with the three treatments. 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lang w:val="en-GB"/>
        </w:rPr>
      </w:pP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i/>
          <w:lang w:val="en-GB"/>
        </w:rPr>
      </w:pPr>
      <w:r w:rsidRPr="00BD4A73">
        <w:rPr>
          <w:rFonts w:asciiTheme="minorHAnsi" w:hAnsiTheme="minorHAnsi" w:cs="Arial"/>
          <w:i/>
          <w:lang w:val="en-GB"/>
        </w:rPr>
        <w:t>Physiological trait assays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Theme="minorHAnsi" w:hAnsiTheme="minorHAnsi" w:cs="Arial"/>
          <w:lang w:val="en-GB"/>
        </w:rPr>
      </w:pPr>
      <w:r w:rsidRPr="00BD4A73">
        <w:rPr>
          <w:rFonts w:ascii="Calibri" w:hAnsi="Calibri" w:cs="Calibri"/>
          <w:lang w:val="en-GB"/>
        </w:rPr>
        <w:t xml:space="preserve">Due to the extremely low mass of a single mite, 50 one-day-old females were pooled together for each sample, and all samples were </w:t>
      </w:r>
      <w:r w:rsidRPr="00BD4A73">
        <w:rPr>
          <w:rFonts w:ascii="Calibri" w:eastAsia="Times New Roman" w:hAnsi="Calibri" w:cs="Calibri"/>
          <w:lang w:val="en-GB"/>
        </w:rPr>
        <w:t>snap-frozen at -80°C immediately after mite collection.</w:t>
      </w:r>
      <w:r>
        <w:rPr>
          <w:rFonts w:ascii="Calibri" w:eastAsia="Times New Roman" w:hAnsi="Calibri" w:cs="Calibri"/>
          <w:lang w:val="en-GB"/>
        </w:rPr>
        <w:t xml:space="preserve"> </w:t>
      </w:r>
      <w:r w:rsidRPr="00BD4A73">
        <w:rPr>
          <w:rFonts w:ascii="Calibri" w:hAnsi="Calibri" w:cs="Calibri"/>
          <w:lang w:val="en-GB"/>
        </w:rPr>
        <w:t xml:space="preserve">Fresh mass of the pools was measured using a microbalance accurate to 0.01mg. The concentrations of triglycerids (TGs), glucose and trehalose were measured following the protocol of Laparie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(2012</w:t>
      </w:r>
      <w:r>
        <w:rPr>
          <w:rFonts w:ascii="Calibri" w:hAnsi="Calibri" w:cs="Calibri"/>
          <w:lang w:val="en-GB"/>
        </w:rPr>
        <w:t>)</w:t>
      </w:r>
      <w:r w:rsidRPr="00BD4A73">
        <w:rPr>
          <w:rFonts w:ascii="Calibri" w:eastAsia="Times New Roman" w:hAnsi="Calibri" w:cs="Calibri"/>
          <w:lang w:val="en-GB"/>
        </w:rPr>
        <w:t xml:space="preserve">. </w:t>
      </w:r>
      <w:r>
        <w:rPr>
          <w:rFonts w:ascii="Calibri" w:hAnsi="Calibri" w:cs="Calibri"/>
          <w:lang w:val="en-GB"/>
        </w:rPr>
        <w:t>Samples were homogenis</w:t>
      </w:r>
      <w:r w:rsidRPr="00BD4A73">
        <w:rPr>
          <w:rFonts w:ascii="Calibri" w:hAnsi="Calibri" w:cs="Calibri"/>
          <w:lang w:val="en-GB"/>
        </w:rPr>
        <w:t>ed in 300 µl of methanol-chloroform solution (2:1, v:v for sugars; 1:2, v:v for TGs) with a bead-beating apparatus</w:t>
      </w:r>
      <w:r>
        <w:rPr>
          <w:rFonts w:ascii="Calibri" w:hAnsi="Calibri" w:cs="Calibri"/>
          <w:lang w:val="en-GB"/>
        </w:rPr>
        <w:t xml:space="preserve"> </w:t>
      </w:r>
      <w:r w:rsidRPr="00BD4A73">
        <w:rPr>
          <w:rFonts w:ascii="Calibri" w:hAnsi="Calibri" w:cs="Calibri"/>
          <w:lang w:val="en-GB"/>
        </w:rPr>
        <w:t xml:space="preserve">(Retsch MM301, Retsch GmbH, Germany) for 60 s at 30/s frequency. For sugars, 200 µL of ultrapure water was added to each sample, further vortexed and centrifuged at 8000g for 10 min at 4°C. </w:t>
      </w:r>
      <w:r>
        <w:rPr>
          <w:rFonts w:ascii="Calibri" w:hAnsi="Calibri" w:cs="Calibri"/>
          <w:lang w:val="en-GB"/>
        </w:rPr>
        <w:t>300</w:t>
      </w:r>
      <w:r w:rsidRPr="00BD4A73">
        <w:rPr>
          <w:rFonts w:ascii="Calibri" w:hAnsi="Calibri" w:cs="Calibri"/>
          <w:lang w:val="en-GB"/>
        </w:rPr>
        <w:t xml:space="preserve"> µL of the upper aqueous phase containing the sugars were transferred to microtubes, and dissolved in 200</w:t>
      </w:r>
      <w:r>
        <w:rPr>
          <w:rFonts w:ascii="Calibri" w:hAnsi="Calibri" w:cs="Calibri"/>
          <w:lang w:val="en-GB"/>
        </w:rPr>
        <w:t xml:space="preserve"> </w:t>
      </w:r>
      <w:r w:rsidRPr="00BD4A73">
        <w:rPr>
          <w:rFonts w:ascii="Calibri" w:hAnsi="Calibri" w:cs="Calibri"/>
          <w:lang w:val="en-GB"/>
        </w:rPr>
        <w:t>µL of ultrapure water before analysis. For TGs, samples were stored at -20°C for 12 h after the homogenization with the bead-beating. Then, 60</w:t>
      </w:r>
      <w:r>
        <w:rPr>
          <w:rFonts w:ascii="Calibri" w:hAnsi="Calibri" w:cs="Calibri"/>
          <w:lang w:val="en-GB"/>
        </w:rPr>
        <w:t xml:space="preserve"> </w:t>
      </w:r>
      <w:r w:rsidRPr="00BD4A73">
        <w:rPr>
          <w:rFonts w:ascii="Calibri" w:hAnsi="Calibri" w:cs="Calibri"/>
          <w:lang w:val="en-GB"/>
        </w:rPr>
        <w:t xml:space="preserve">µL of KCl (2g/L) were added, and the samples were incubated for 5 min at 40 °C. One hundred and </w:t>
      </w:r>
      <w:r>
        <w:rPr>
          <w:rFonts w:ascii="Calibri" w:hAnsi="Calibri" w:cs="Calibri"/>
          <w:lang w:val="en-GB"/>
        </w:rPr>
        <w:t>50</w:t>
      </w:r>
      <w:r w:rsidRPr="00BD4A73">
        <w:rPr>
          <w:rFonts w:ascii="Calibri" w:hAnsi="Calibri" w:cs="Calibri"/>
          <w:lang w:val="en-GB"/>
        </w:rPr>
        <w:t xml:space="preserve"> µL of the lower phase (containing lipids in chloroform) were transferred to microtubes and dried at 30°C under a nitrogen stream. Eventually the re</w:t>
      </w:r>
      <w:r>
        <w:rPr>
          <w:rFonts w:ascii="Calibri" w:hAnsi="Calibri" w:cs="Calibri"/>
          <w:lang w:val="en-GB"/>
        </w:rPr>
        <w:t xml:space="preserve">sidual lipids were dissolved in 100 </w:t>
      </w:r>
      <w:r w:rsidRPr="00BD4A73">
        <w:rPr>
          <w:rFonts w:ascii="Calibri" w:hAnsi="Calibri" w:cs="Calibri"/>
          <w:lang w:val="en-GB"/>
        </w:rPr>
        <w:t xml:space="preserve">µL of Triton X 100 solution </w:t>
      </w:r>
      <w:r w:rsidRPr="00BD4A73">
        <w:rPr>
          <w:rFonts w:ascii="Calibri" w:hAnsi="Calibri" w:cs="Calibri"/>
          <w:lang w:val="en-GB"/>
        </w:rPr>
        <w:lastRenderedPageBreak/>
        <w:t xml:space="preserve">(0.2%) and delipidated BSA (3%). Finally samples were vortexed and incubated for 10 min at 60°C before metabolic assays. </w:t>
      </w:r>
      <w:r w:rsidRPr="00BD4A73">
        <w:rPr>
          <w:rFonts w:ascii="Calibri" w:eastAsia="Times New Roman" w:hAnsi="Calibri" w:cs="Calibri"/>
          <w:lang w:val="en-GB"/>
        </w:rPr>
        <w:t>Spectrophotometric assay kits (K-TREH, Megazyme International Ireland Ltd. and Triglyceride assay kit, Cayman Chemical Company, Ann Arbor, MI, USA) were used to measure glucose, trehalose, and triglycerides. Manufacturer's protocol was followed.</w:t>
      </w:r>
    </w:p>
    <w:p w:rsidR="00C2624E" w:rsidRPr="00BD4A73" w:rsidRDefault="00C2624E" w:rsidP="00C2624E">
      <w:pPr>
        <w:rPr>
          <w:lang w:val="en-GB"/>
        </w:rPr>
      </w:pPr>
    </w:p>
    <w:p w:rsidR="00C2624E" w:rsidRPr="00BD4A73" w:rsidRDefault="00C2624E" w:rsidP="00C2624E">
      <w:pPr>
        <w:rPr>
          <w:i/>
          <w:sz w:val="24"/>
          <w:lang w:val="en-GB"/>
        </w:rPr>
      </w:pPr>
      <w:r w:rsidRPr="00BD4A73">
        <w:rPr>
          <w:i/>
          <w:sz w:val="24"/>
          <w:lang w:val="en-GB"/>
        </w:rPr>
        <w:t>Micro-array</w:t>
      </w:r>
      <w:r>
        <w:rPr>
          <w:i/>
          <w:sz w:val="24"/>
          <w:lang w:val="en-GB"/>
        </w:rPr>
        <w:t xml:space="preserve"> set-up,differential gene-expression, </w:t>
      </w:r>
      <w:r w:rsidRPr="00BD4A73">
        <w:rPr>
          <w:i/>
          <w:sz w:val="24"/>
          <w:lang w:val="en-GB"/>
        </w:rPr>
        <w:t xml:space="preserve"> Blast2GO </w:t>
      </w:r>
      <w:r>
        <w:rPr>
          <w:i/>
          <w:sz w:val="24"/>
          <w:lang w:val="en-GB"/>
        </w:rPr>
        <w:t xml:space="preserve">and Gene Set </w:t>
      </w:r>
      <w:r w:rsidRPr="00BD4A73">
        <w:rPr>
          <w:i/>
          <w:sz w:val="24"/>
          <w:lang w:val="en-GB"/>
        </w:rPr>
        <w:t>analysis</w:t>
      </w:r>
    </w:p>
    <w:p w:rsidR="00C2624E" w:rsidRDefault="00C2624E" w:rsidP="00C2624E">
      <w:pPr>
        <w:pStyle w:val="Body1"/>
        <w:spacing w:line="360" w:lineRule="auto"/>
        <w:jc w:val="both"/>
        <w:rPr>
          <w:rFonts w:ascii="Calibri" w:hAnsi="Calibri" w:cs="Calibri"/>
          <w:lang w:val="en-GB"/>
        </w:rPr>
      </w:pPr>
      <w:r w:rsidRPr="00BD4A73">
        <w:rPr>
          <w:rFonts w:ascii="Calibri" w:hAnsi="Calibri" w:cs="Calibri"/>
          <w:lang w:val="en-GB"/>
        </w:rPr>
        <w:t xml:space="preserve">Mites of all three treatments underwent two whole generations under identical conditions (common garden) before sampling for transcriptome analysis. Of every independent biological replication, a sample was collected. RNA samples were extracted from 50 pooled one-to-two day old female mites using the RNeasy mini kit (Qiagen). The quality and quantity of the RNA were assessed by a NanoDrop ND-1000 spectrophotometer (NanoDrop Technologies) and by running an aliquot on a 1% agarose gel. RNA was labelled as previously described (Dermauw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2013). RNA samples of SPA and TEM were labelled with cy5, while the three HOM samples with cy3. Hybridization of cRNA samples was performed as previously described (Dermauw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2013). On every array, a cy3-labelled HOM sample was mixed with </w:t>
      </w:r>
      <w:r>
        <w:rPr>
          <w:rFonts w:ascii="Calibri" w:hAnsi="Calibri" w:cs="Calibri"/>
          <w:lang w:val="en-GB"/>
        </w:rPr>
        <w:t xml:space="preserve">either </w:t>
      </w:r>
      <w:r w:rsidRPr="00BD4A73">
        <w:rPr>
          <w:rFonts w:ascii="Calibri" w:hAnsi="Calibri" w:cs="Calibri"/>
          <w:lang w:val="en-GB"/>
        </w:rPr>
        <w:t xml:space="preserve">a cy5-labelled SPA or TEM sample. Slides were scanned with an Agilent Microarray High-Resolution Scanner and extracted with Agilent Feature Extraction software using the GE2_107_Sep09 protocol. The microarray data have been deposited in the Gene Expression Omnibus (GEO) (accession number: </w:t>
      </w:r>
      <w:r w:rsidRPr="00732567">
        <w:rPr>
          <w:rFonts w:ascii="Calibri" w:hAnsi="Calibri" w:cs="Calibri"/>
        </w:rPr>
        <w:t>GSE55623</w:t>
      </w:r>
      <w:r w:rsidRPr="00BD4A73">
        <w:rPr>
          <w:rFonts w:ascii="Calibri" w:hAnsi="Calibri" w:cs="Calibri"/>
          <w:lang w:val="en-GB"/>
        </w:rPr>
        <w:t>).  Data was th</w:t>
      </w:r>
      <w:r>
        <w:rPr>
          <w:rFonts w:ascii="Calibri" w:hAnsi="Calibri" w:cs="Calibri"/>
          <w:lang w:val="en-GB"/>
        </w:rPr>
        <w:t>en processed and analys</w:t>
      </w:r>
      <w:r w:rsidRPr="00BD4A73">
        <w:rPr>
          <w:rFonts w:ascii="Calibri" w:hAnsi="Calibri" w:cs="Calibri"/>
          <w:lang w:val="en-GB"/>
        </w:rPr>
        <w:t xml:space="preserve">ed in limma (Smyth 2005). Background intensities were corrected by the “normexp”-method using an offset of 50 (Ritchie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2007). A wi</w:t>
      </w:r>
      <w:r>
        <w:rPr>
          <w:rFonts w:ascii="Calibri" w:hAnsi="Calibri" w:cs="Calibri"/>
          <w:lang w:val="en-GB"/>
        </w:rPr>
        <w:t>thin- and between-array normalis</w:t>
      </w:r>
      <w:r w:rsidRPr="00BD4A73">
        <w:rPr>
          <w:rFonts w:ascii="Calibri" w:hAnsi="Calibri" w:cs="Calibri"/>
          <w:lang w:val="en-GB"/>
        </w:rPr>
        <w:t>ation (“loess”- and “Aquantile”-method, respectively) was subsequently performed. In the linear modelling of the data, intra-spot correlations were incorporated (Smyth</w:t>
      </w:r>
      <w:r>
        <w:rPr>
          <w:rFonts w:ascii="Calibri" w:hAnsi="Calibri" w:cs="Calibri"/>
          <w:lang w:val="en-GB"/>
        </w:rPr>
        <w:t xml:space="preserve"> &amp; Altman</w:t>
      </w:r>
      <w:r w:rsidRPr="00BD4A73">
        <w:rPr>
          <w:rFonts w:ascii="Calibri" w:hAnsi="Calibri" w:cs="Calibri"/>
          <w:lang w:val="en-GB"/>
        </w:rPr>
        <w:t>, 2013). Significant differentially expressed genes w</w:t>
      </w:r>
      <w:r>
        <w:rPr>
          <w:rFonts w:ascii="Calibri" w:hAnsi="Calibri" w:cs="Calibri"/>
          <w:lang w:val="en-GB"/>
        </w:rPr>
        <w:t>ere identified by an empirical B</w:t>
      </w:r>
      <w:r w:rsidRPr="00BD4A73">
        <w:rPr>
          <w:rFonts w:ascii="Calibri" w:hAnsi="Calibri" w:cs="Calibri"/>
          <w:lang w:val="en-GB"/>
        </w:rPr>
        <w:t>ayes approac</w:t>
      </w:r>
      <w:r>
        <w:rPr>
          <w:rFonts w:ascii="Calibri" w:hAnsi="Calibri" w:cs="Calibri"/>
          <w:lang w:val="en-GB"/>
        </w:rPr>
        <w:t>h with cut-offs of the Benjamin</w:t>
      </w:r>
      <w:r w:rsidRPr="00BD4A73">
        <w:rPr>
          <w:rFonts w:ascii="Calibri" w:hAnsi="Calibri" w:cs="Calibri"/>
          <w:lang w:val="en-GB"/>
        </w:rPr>
        <w:t xml:space="preserve">-Hochberg corrected </w:t>
      </w:r>
      <w:r w:rsidRPr="004B38B4">
        <w:rPr>
          <w:rFonts w:ascii="Calibri" w:hAnsi="Calibri" w:cs="Calibri"/>
          <w:i/>
          <w:lang w:val="en-GB"/>
        </w:rPr>
        <w:t>p</w:t>
      </w:r>
      <w:r w:rsidRPr="00BD4A73">
        <w:rPr>
          <w:rFonts w:ascii="Calibri" w:hAnsi="Calibri" w:cs="Calibri"/>
          <w:lang w:val="en-GB"/>
        </w:rPr>
        <w:t xml:space="preserve">-values and </w:t>
      </w:r>
      <w:r w:rsidRPr="00A56E77">
        <w:rPr>
          <w:rFonts w:ascii="Calibri" w:hAnsi="Calibri" w:cs="Calibri"/>
          <w:lang w:val="en-GB"/>
        </w:rPr>
        <w:t>log</w:t>
      </w:r>
      <w:r w:rsidRPr="00540FBF">
        <w:rPr>
          <w:rFonts w:ascii="Calibri" w:hAnsi="Calibri" w:cs="Calibri"/>
          <w:vertAlign w:val="subscript"/>
          <w:lang w:val="en-GB"/>
        </w:rPr>
        <w:t>2</w:t>
      </w:r>
      <w:r>
        <w:rPr>
          <w:rFonts w:ascii="Calibri" w:hAnsi="Calibri" w:cs="Calibri"/>
          <w:lang w:val="en-GB"/>
        </w:rPr>
        <w:t xml:space="preserve">-converted </w:t>
      </w:r>
      <w:r w:rsidRPr="00A56E77">
        <w:rPr>
          <w:rFonts w:ascii="Calibri" w:hAnsi="Calibri" w:cs="Calibri"/>
          <w:lang w:val="en-GB"/>
        </w:rPr>
        <w:t>FC</w:t>
      </w:r>
      <w:r w:rsidRPr="00BD4A73">
        <w:rPr>
          <w:rFonts w:ascii="Calibri" w:hAnsi="Calibri" w:cs="Calibri"/>
          <w:lang w:val="en-GB"/>
        </w:rPr>
        <w:t xml:space="preserve"> at 0.05 and 0.585, respectively. For the hierarchical clustering analysis, data of Bryon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(2013) and Zhurov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(2014) were incorporated. Here, the</w:t>
      </w:r>
      <w:r>
        <w:rPr>
          <w:rFonts w:ascii="Calibri" w:hAnsi="Calibri" w:cs="Calibri"/>
          <w:lang w:val="en-GB"/>
        </w:rPr>
        <w:t xml:space="preserve"> non-connected</w:t>
      </w:r>
      <w:r w:rsidRPr="00BD4A73">
        <w:rPr>
          <w:rFonts w:ascii="Calibri" w:hAnsi="Calibri" w:cs="Calibri"/>
          <w:lang w:val="en-GB"/>
        </w:rPr>
        <w:t xml:space="preserve"> design on which the linear model was fitted compared our data and the </w:t>
      </w:r>
      <w:r>
        <w:rPr>
          <w:rFonts w:ascii="Calibri" w:hAnsi="Calibri" w:cs="Calibri"/>
          <w:lang w:val="en-GB"/>
        </w:rPr>
        <w:t xml:space="preserve">same </w:t>
      </w:r>
      <w:r w:rsidRPr="00BD4A73">
        <w:rPr>
          <w:rFonts w:ascii="Calibri" w:hAnsi="Calibri" w:cs="Calibri"/>
          <w:lang w:val="en-GB"/>
        </w:rPr>
        <w:t xml:space="preserve">LS-VL strain in cold conditions (17°C, 60%RH) to a </w:t>
      </w:r>
      <w:r>
        <w:rPr>
          <w:rFonts w:ascii="Calibri" w:hAnsi="Calibri" w:cs="Calibri"/>
          <w:lang w:val="en-GB"/>
        </w:rPr>
        <w:t xml:space="preserve">common </w:t>
      </w:r>
      <w:r w:rsidRPr="00BD4A73">
        <w:rPr>
          <w:rFonts w:ascii="Calibri" w:hAnsi="Calibri" w:cs="Calibri"/>
          <w:lang w:val="en-GB"/>
        </w:rPr>
        <w:t>reference</w:t>
      </w:r>
      <w:r>
        <w:rPr>
          <w:rFonts w:ascii="Calibri" w:hAnsi="Calibri" w:cs="Calibri"/>
          <w:lang w:val="en-GB"/>
        </w:rPr>
        <w:t xml:space="preserve"> </w:t>
      </w:r>
      <w:r w:rsidRPr="00BD4A73">
        <w:rPr>
          <w:rFonts w:ascii="Calibri" w:hAnsi="Calibri" w:cs="Calibri"/>
          <w:i/>
          <w:lang w:val="en-GB"/>
        </w:rPr>
        <w:t>T. urticae</w:t>
      </w:r>
      <w:r w:rsidRPr="00BD4A73">
        <w:rPr>
          <w:rFonts w:ascii="Calibri" w:hAnsi="Calibri" w:cs="Calibri"/>
          <w:lang w:val="en-GB"/>
        </w:rPr>
        <w:t xml:space="preserve"> strain (London) on bean at standard laboratory conditions (25°C, </w:t>
      </w:r>
      <w:r w:rsidRPr="00BD4A73">
        <w:rPr>
          <w:rFonts w:ascii="Calibri" w:hAnsi="Calibri" w:cs="Calibri"/>
          <w:lang w:val="en-GB"/>
        </w:rPr>
        <w:lastRenderedPageBreak/>
        <w:t>60% RH). The obtained data was subsequently hierarchically clustered (Euclidean, ward) using the pvclust package</w:t>
      </w:r>
      <w:r>
        <w:rPr>
          <w:rFonts w:ascii="Calibri" w:hAnsi="Calibri" w:cs="Calibri"/>
          <w:lang w:val="en-GB"/>
        </w:rPr>
        <w:t xml:space="preserve"> (Suzuki &amp; Shimodaira 2006)</w:t>
      </w:r>
      <w:r w:rsidRPr="00BD4A73">
        <w:rPr>
          <w:rFonts w:ascii="Calibri" w:hAnsi="Calibri" w:cs="Calibri"/>
          <w:lang w:val="en-GB"/>
        </w:rPr>
        <w:t xml:space="preserve">.  </w:t>
      </w: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="Calibri" w:hAnsi="Calibri" w:cs="Calibri"/>
          <w:lang w:val="en-GB"/>
        </w:rPr>
      </w:pPr>
    </w:p>
    <w:p w:rsidR="00C2624E" w:rsidRPr="00BD4A73" w:rsidRDefault="00C2624E" w:rsidP="00C2624E">
      <w:pPr>
        <w:pStyle w:val="Body1"/>
        <w:spacing w:line="360" w:lineRule="auto"/>
        <w:jc w:val="both"/>
        <w:rPr>
          <w:rFonts w:ascii="Calibri" w:hAnsi="Calibri" w:cs="Calibri"/>
          <w:lang w:val="en-GB"/>
        </w:rPr>
      </w:pPr>
      <w:r w:rsidRPr="00BD4A73">
        <w:rPr>
          <w:rFonts w:ascii="Calibri" w:hAnsi="Calibri" w:cs="Calibri"/>
          <w:lang w:val="en-GB"/>
        </w:rPr>
        <w:t xml:space="preserve">Assignment of GO-terms to the differentially expressed genes and the full genome of </w:t>
      </w:r>
      <w:r w:rsidRPr="00BD4A73">
        <w:rPr>
          <w:rFonts w:ascii="Calibri" w:hAnsi="Calibri" w:cs="Calibri"/>
          <w:i/>
          <w:lang w:val="en-GB"/>
        </w:rPr>
        <w:t>T. urticae</w:t>
      </w:r>
      <w:r w:rsidRPr="00BD4A73">
        <w:rPr>
          <w:rFonts w:ascii="Calibri" w:hAnsi="Calibri" w:cs="Calibri"/>
          <w:lang w:val="en-GB"/>
        </w:rPr>
        <w:t xml:space="preserve"> was </w:t>
      </w:r>
      <w:r>
        <w:rPr>
          <w:rFonts w:ascii="Calibri" w:hAnsi="Calibri" w:cs="Calibri"/>
          <w:lang w:val="en-GB"/>
        </w:rPr>
        <w:t>executed</w:t>
      </w:r>
      <w:r w:rsidRPr="00BD4A73">
        <w:rPr>
          <w:rFonts w:ascii="Calibri" w:hAnsi="Calibri" w:cs="Calibri"/>
          <w:lang w:val="en-GB"/>
        </w:rPr>
        <w:t xml:space="preserve"> using Blast2GO software v.2.6.6 (Conesa </w:t>
      </w:r>
      <w:r w:rsidRPr="00E136BF">
        <w:rPr>
          <w:rFonts w:ascii="Calibri" w:hAnsi="Calibri" w:cs="Calibri"/>
          <w:i/>
          <w:lang w:val="en-GB"/>
        </w:rPr>
        <w:t>et al.</w:t>
      </w:r>
      <w:r w:rsidRPr="00BD4A73">
        <w:rPr>
          <w:rFonts w:ascii="Calibri" w:hAnsi="Calibri" w:cs="Calibri"/>
          <w:lang w:val="en-GB"/>
        </w:rPr>
        <w:t xml:space="preserve"> 2005). An E-value cut off of 1e</w:t>
      </w:r>
      <w:r w:rsidRPr="00BD4A73">
        <w:rPr>
          <w:rFonts w:ascii="Calibri" w:hAnsi="Calibri" w:cs="Calibri"/>
          <w:vertAlign w:val="superscript"/>
          <w:lang w:val="en-GB"/>
        </w:rPr>
        <w:t>-15</w:t>
      </w:r>
      <w:r w:rsidRPr="00BD4A73">
        <w:rPr>
          <w:rFonts w:ascii="Calibri" w:hAnsi="Calibri" w:cs="Calibri"/>
          <w:lang w:val="en-GB"/>
        </w:rPr>
        <w:t xml:space="preserve"> was used for BLAST analysis. Annotation was performed with a cut off of 1e</w:t>
      </w:r>
      <w:r w:rsidRPr="00BD4A73">
        <w:rPr>
          <w:rFonts w:ascii="Calibri" w:hAnsi="Calibri" w:cs="Calibri"/>
          <w:vertAlign w:val="superscript"/>
          <w:lang w:val="en-GB"/>
        </w:rPr>
        <w:t>-15</w:t>
      </w:r>
      <w:r w:rsidRPr="00BD4A73">
        <w:rPr>
          <w:rFonts w:ascii="Calibri" w:hAnsi="Calibri" w:cs="Calibri"/>
          <w:lang w:val="en-GB"/>
        </w:rPr>
        <w:t xml:space="preserve"> and updated using InterPro. </w:t>
      </w:r>
      <w:r w:rsidRPr="00F715EA">
        <w:rPr>
          <w:rFonts w:ascii="Calibri" w:hAnsi="Calibri" w:cs="Calibri"/>
          <w:lang w:val="en-GB"/>
        </w:rPr>
        <w:t xml:space="preserve">Gene Set Analysis was </w:t>
      </w:r>
      <w:r>
        <w:rPr>
          <w:rFonts w:ascii="Calibri" w:hAnsi="Calibri" w:cs="Calibri"/>
          <w:lang w:val="en-GB"/>
        </w:rPr>
        <w:t>executed</w:t>
      </w:r>
      <w:r w:rsidRPr="00F715EA">
        <w:rPr>
          <w:rFonts w:ascii="Calibri" w:hAnsi="Calibri" w:cs="Calibri"/>
          <w:lang w:val="en-GB"/>
        </w:rPr>
        <w:t xml:space="preserve"> using the Bioconductor package piano (Parametric Analysis of Gene set Enrichment) to identify significant up- and down-regulation of Biological Process GO</w:t>
      </w:r>
      <w:r>
        <w:rPr>
          <w:rFonts w:ascii="Calibri" w:hAnsi="Calibri" w:cs="Calibri"/>
          <w:lang w:val="en-GB"/>
        </w:rPr>
        <w:t>-</w:t>
      </w:r>
      <w:r w:rsidRPr="00F715EA">
        <w:rPr>
          <w:rFonts w:ascii="Calibri" w:hAnsi="Calibri" w:cs="Calibri"/>
          <w:lang w:val="en-GB"/>
        </w:rPr>
        <w:t>terms</w:t>
      </w:r>
      <w:r>
        <w:rPr>
          <w:rFonts w:ascii="Calibri" w:hAnsi="Calibri" w:cs="Calibri"/>
          <w:lang w:val="en-GB"/>
        </w:rPr>
        <w:t xml:space="preserve"> in the transcriptomic comparisons (SPA vs HOM and TEM vs HOM) (Varemo et al., 2013). The input statistics were obtained from the linear model used to detect significant differential gene-expression.</w:t>
      </w:r>
    </w:p>
    <w:p w:rsidR="00C2624E" w:rsidRDefault="00C2624E" w:rsidP="00C2624E">
      <w:pPr>
        <w:rPr>
          <w:rFonts w:ascii="Calibri" w:eastAsia="Times New Roman" w:hAnsi="Calibri" w:cs="Calibri"/>
          <w:b/>
          <w:sz w:val="24"/>
          <w:lang w:val="en-GB"/>
        </w:rPr>
      </w:pPr>
    </w:p>
    <w:p w:rsidR="00C2624E" w:rsidRPr="00A53318" w:rsidRDefault="00C2624E" w:rsidP="00A53318">
      <w:pPr>
        <w:rPr>
          <w:rFonts w:ascii="Calibri" w:eastAsia="Times New Roman" w:hAnsi="Calibri" w:cs="Calibri"/>
          <w:b/>
          <w:sz w:val="24"/>
          <w:lang w:val="en-GB"/>
        </w:rPr>
      </w:pPr>
      <w:r w:rsidRPr="00130786">
        <w:rPr>
          <w:rFonts w:ascii="Calibri" w:eastAsia="Times New Roman" w:hAnsi="Calibri" w:cs="Calibri"/>
          <w:b/>
          <w:sz w:val="24"/>
          <w:lang w:val="en-GB"/>
        </w:rPr>
        <w:t>References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="Times New Roman" w:cs="Times New Roman"/>
          <w:sz w:val="24"/>
          <w:szCs w:val="24"/>
          <w:lang w:val="nl-BE"/>
        </w:rPr>
      </w:pPr>
      <w:r w:rsidRPr="00040F9C">
        <w:rPr>
          <w:rFonts w:eastAsia="Times New Roman" w:cs="Times New Roman"/>
          <w:sz w:val="24"/>
          <w:szCs w:val="24"/>
          <w:lang w:val="en-GB"/>
        </w:rPr>
        <w:t xml:space="preserve">Bryon A, Wybouw N, Dermauw W, Tirry L &amp; Van Leeuwen T (2013) Genome wide gene-expression analysis of facultative reproductive diapause in the two-spotted spider mite </w:t>
      </w:r>
      <w:r w:rsidRPr="00040F9C">
        <w:rPr>
          <w:rFonts w:eastAsia="Times New Roman" w:cs="Times New Roman"/>
          <w:i/>
          <w:sz w:val="24"/>
          <w:szCs w:val="24"/>
          <w:lang w:val="en-GB"/>
        </w:rPr>
        <w:t>Tetranychus urticae</w:t>
      </w:r>
      <w:r w:rsidRPr="00040F9C">
        <w:rPr>
          <w:rFonts w:eastAsia="Times New Roman" w:cs="Times New Roman"/>
          <w:sz w:val="24"/>
          <w:szCs w:val="24"/>
          <w:lang w:val="en-GB"/>
        </w:rPr>
        <w:t xml:space="preserve">. </w:t>
      </w:r>
      <w:r w:rsidRPr="00040F9C">
        <w:rPr>
          <w:rFonts w:eastAsia="Times New Roman" w:cs="Times New Roman"/>
          <w:i/>
          <w:iCs/>
          <w:sz w:val="24"/>
          <w:szCs w:val="24"/>
          <w:lang w:val="nl-BE"/>
        </w:rPr>
        <w:t>BMC genomics,</w:t>
      </w:r>
      <w:r w:rsidRPr="00040F9C">
        <w:rPr>
          <w:rFonts w:eastAsia="Times New Roman" w:cs="Times New Roman"/>
          <w:sz w:val="24"/>
          <w:szCs w:val="24"/>
          <w:lang w:val="nl-BE"/>
        </w:rPr>
        <w:t xml:space="preserve"> 14, 815.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040F9C">
        <w:rPr>
          <w:rFonts w:eastAsiaTheme="minorHAnsi" w:cs="Arial"/>
          <w:sz w:val="24"/>
          <w:szCs w:val="24"/>
          <w:lang w:val="nl-BE"/>
        </w:rPr>
        <w:t xml:space="preserve">Dermauw W, Wybouw N, Rombauts S, Menten B, Vontas J, Grbic M </w:t>
      </w:r>
      <w:r w:rsidRPr="00040F9C">
        <w:rPr>
          <w:rFonts w:eastAsiaTheme="minorHAnsi" w:cs="Arial"/>
          <w:i/>
          <w:sz w:val="24"/>
          <w:szCs w:val="24"/>
          <w:lang w:val="nl-BE"/>
        </w:rPr>
        <w:t>et al.</w:t>
      </w:r>
      <w:r w:rsidRPr="00040F9C">
        <w:rPr>
          <w:rFonts w:eastAsiaTheme="minorHAnsi" w:cs="Arial"/>
          <w:sz w:val="24"/>
          <w:szCs w:val="24"/>
          <w:lang w:val="nl-BE"/>
        </w:rPr>
        <w:t xml:space="preserve"> </w:t>
      </w:r>
      <w:r w:rsidRPr="00040F9C">
        <w:rPr>
          <w:rFonts w:eastAsiaTheme="minorHAnsi" w:cs="Arial"/>
          <w:sz w:val="24"/>
          <w:szCs w:val="24"/>
        </w:rPr>
        <w:t xml:space="preserve">(2013) </w:t>
      </w:r>
      <w:r w:rsidRPr="00040F9C">
        <w:rPr>
          <w:rFonts w:eastAsiaTheme="minorHAnsi" w:cs="Arial"/>
          <w:sz w:val="24"/>
          <w:szCs w:val="24"/>
          <w:lang w:val="en-GB"/>
        </w:rPr>
        <w:t xml:space="preserve">A link between host plant adaptation and pesticide resistance in the polyphagous spider mite </w:t>
      </w:r>
      <w:r w:rsidRPr="00040F9C">
        <w:rPr>
          <w:rFonts w:eastAsiaTheme="minorHAnsi" w:cs="Arial"/>
          <w:i/>
          <w:sz w:val="24"/>
          <w:szCs w:val="24"/>
          <w:lang w:val="en-GB"/>
        </w:rPr>
        <w:t>Tetranychus urticae</w:t>
      </w:r>
      <w:r w:rsidRPr="00040F9C">
        <w:rPr>
          <w:rFonts w:eastAsiaTheme="minorHAnsi" w:cs="Arial"/>
          <w:sz w:val="24"/>
          <w:szCs w:val="24"/>
          <w:lang w:val="en-GB"/>
        </w:rPr>
        <w:t xml:space="preserve">. </w:t>
      </w:r>
      <w:r w:rsidRPr="00040F9C">
        <w:rPr>
          <w:rFonts w:eastAsiaTheme="minorHAnsi" w:cs="Arial"/>
          <w:i/>
          <w:sz w:val="24"/>
          <w:szCs w:val="24"/>
          <w:lang w:val="en-GB"/>
        </w:rPr>
        <w:t>Proceedings of the National Academy of Sciences of the United States of America,</w:t>
      </w:r>
      <w:r w:rsidRPr="00040F9C">
        <w:rPr>
          <w:rFonts w:eastAsiaTheme="minorHAnsi" w:cs="Arial"/>
          <w:sz w:val="24"/>
          <w:szCs w:val="24"/>
          <w:lang w:val="en-GB"/>
        </w:rPr>
        <w:t xml:space="preserve"> 110, E113-E122.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040F9C">
        <w:rPr>
          <w:rFonts w:eastAsiaTheme="minorHAnsi" w:cs="Arial"/>
          <w:sz w:val="24"/>
          <w:szCs w:val="24"/>
          <w:lang w:val="en-GB"/>
        </w:rPr>
        <w:t>Laparie M, Larvor V, Frenot Y &amp; Renault D (2012) Starvation resistance and effects of diet on energy reserves in a predatory ground beetle (</w:t>
      </w:r>
      <w:r w:rsidRPr="00040F9C">
        <w:rPr>
          <w:rFonts w:eastAsiaTheme="minorHAnsi" w:cs="Arial"/>
          <w:i/>
          <w:sz w:val="24"/>
          <w:szCs w:val="24"/>
          <w:lang w:val="en-GB"/>
        </w:rPr>
        <w:t>Merizodus soledadinus</w:t>
      </w:r>
      <w:r w:rsidRPr="00040F9C">
        <w:rPr>
          <w:rFonts w:eastAsiaTheme="minorHAnsi" w:cs="Arial"/>
          <w:sz w:val="24"/>
          <w:szCs w:val="24"/>
          <w:lang w:val="en-GB"/>
        </w:rPr>
        <w:t xml:space="preserve">; Carabidae) invading the Kerguelen Islands. </w:t>
      </w:r>
      <w:r w:rsidRPr="00040F9C">
        <w:rPr>
          <w:rFonts w:eastAsiaTheme="minorHAnsi" w:cs="Arial"/>
          <w:i/>
          <w:sz w:val="24"/>
          <w:szCs w:val="24"/>
          <w:lang w:val="en-GB"/>
        </w:rPr>
        <w:t>Comparative Biochemistry and Physiology A,</w:t>
      </w:r>
      <w:r w:rsidRPr="00040F9C">
        <w:rPr>
          <w:rFonts w:eastAsiaTheme="minorHAnsi" w:cs="Arial"/>
          <w:sz w:val="24"/>
          <w:szCs w:val="24"/>
          <w:lang w:val="en-GB"/>
        </w:rPr>
        <w:t xml:space="preserve"> 161, 122-129.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040F9C">
        <w:rPr>
          <w:rFonts w:eastAsiaTheme="minorHAnsi" w:cs="Arial"/>
          <w:sz w:val="24"/>
          <w:szCs w:val="24"/>
        </w:rPr>
        <w:t xml:space="preserve">Li J &amp; Margolies DC (1993) </w:t>
      </w:r>
      <w:r w:rsidRPr="00040F9C">
        <w:rPr>
          <w:rFonts w:eastAsiaTheme="minorHAnsi" w:cs="Arial"/>
          <w:sz w:val="24"/>
          <w:szCs w:val="24"/>
          <w:lang w:val="en-GB"/>
        </w:rPr>
        <w:t xml:space="preserve">Quantitative genetics of aerial dispersal behavior and life-history traits in </w:t>
      </w:r>
      <w:r w:rsidRPr="00040F9C">
        <w:rPr>
          <w:rFonts w:eastAsiaTheme="minorHAnsi" w:cs="Arial"/>
          <w:i/>
          <w:sz w:val="24"/>
          <w:szCs w:val="24"/>
          <w:lang w:val="en-GB"/>
        </w:rPr>
        <w:t>Tetranychus urticae</w:t>
      </w:r>
      <w:r w:rsidRPr="00040F9C">
        <w:rPr>
          <w:rFonts w:eastAsiaTheme="minorHAnsi" w:cs="Arial"/>
          <w:sz w:val="24"/>
          <w:szCs w:val="24"/>
          <w:lang w:val="en-GB"/>
        </w:rPr>
        <w:t xml:space="preserve">. </w:t>
      </w:r>
      <w:r w:rsidRPr="00040F9C">
        <w:rPr>
          <w:rFonts w:eastAsiaTheme="minorHAnsi" w:cs="Arial"/>
          <w:i/>
          <w:sz w:val="24"/>
          <w:szCs w:val="24"/>
          <w:lang w:val="en-GB"/>
        </w:rPr>
        <w:t>Heredity,</w:t>
      </w:r>
      <w:r w:rsidRPr="00040F9C">
        <w:rPr>
          <w:rFonts w:eastAsiaTheme="minorHAnsi" w:cs="Arial"/>
          <w:sz w:val="24"/>
          <w:szCs w:val="24"/>
          <w:lang w:val="en-GB"/>
        </w:rPr>
        <w:t xml:space="preserve"> 70, 544-552.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040F9C">
        <w:rPr>
          <w:rFonts w:eastAsiaTheme="minorHAnsi" w:cs="Arial"/>
          <w:sz w:val="24"/>
          <w:szCs w:val="24"/>
        </w:rPr>
        <w:t xml:space="preserve">Li JB &amp; Margolies DC (1994) </w:t>
      </w:r>
      <w:r w:rsidRPr="00040F9C">
        <w:rPr>
          <w:rFonts w:eastAsiaTheme="minorHAnsi" w:cs="Arial"/>
          <w:sz w:val="24"/>
          <w:szCs w:val="24"/>
          <w:lang w:val="en-GB"/>
        </w:rPr>
        <w:t xml:space="preserve">Responses to direct and indirect selection on aerial dispersal behavior in </w:t>
      </w:r>
      <w:r w:rsidRPr="00040F9C">
        <w:rPr>
          <w:rFonts w:eastAsiaTheme="minorHAnsi" w:cs="Arial"/>
          <w:i/>
          <w:sz w:val="24"/>
          <w:szCs w:val="24"/>
          <w:lang w:val="en-GB"/>
        </w:rPr>
        <w:t>Tetranychus urticae</w:t>
      </w:r>
      <w:r w:rsidRPr="00040F9C">
        <w:rPr>
          <w:rFonts w:eastAsiaTheme="minorHAnsi" w:cs="Arial"/>
          <w:sz w:val="24"/>
          <w:szCs w:val="24"/>
          <w:lang w:val="en-GB"/>
        </w:rPr>
        <w:t xml:space="preserve">. </w:t>
      </w:r>
      <w:r w:rsidRPr="00040F9C">
        <w:rPr>
          <w:rFonts w:eastAsiaTheme="minorHAnsi" w:cs="Arial"/>
          <w:i/>
          <w:sz w:val="24"/>
          <w:szCs w:val="24"/>
          <w:lang w:val="en-GB"/>
        </w:rPr>
        <w:t>Heredity,</w:t>
      </w:r>
      <w:r w:rsidRPr="00040F9C">
        <w:rPr>
          <w:rFonts w:eastAsiaTheme="minorHAnsi" w:cs="Arial"/>
          <w:sz w:val="24"/>
          <w:szCs w:val="24"/>
          <w:lang w:val="en-GB"/>
        </w:rPr>
        <w:t xml:space="preserve"> 72, 10-22.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040F9C">
        <w:rPr>
          <w:rFonts w:eastAsiaTheme="minorHAnsi" w:cs="Arial"/>
          <w:sz w:val="24"/>
          <w:szCs w:val="24"/>
          <w:lang w:val="en-GB"/>
        </w:rPr>
        <w:t xml:space="preserve">Ritchie ME, Silver J, Oshlack A, Holmes M, Diyagama D, Holloway A &amp; Smyth GK (2007) A comparison of background correction methods for two-colour microarrays. </w:t>
      </w:r>
      <w:r w:rsidRPr="00040F9C">
        <w:rPr>
          <w:rFonts w:eastAsiaTheme="minorHAnsi" w:cs="Arial"/>
          <w:i/>
          <w:iCs/>
          <w:sz w:val="24"/>
          <w:szCs w:val="24"/>
          <w:lang w:val="en-GB"/>
        </w:rPr>
        <w:t>Bioinformatics</w:t>
      </w:r>
      <w:r w:rsidRPr="00040F9C">
        <w:rPr>
          <w:rFonts w:eastAsiaTheme="minorHAnsi" w:cs="Arial"/>
          <w:sz w:val="24"/>
          <w:szCs w:val="24"/>
          <w:lang w:val="en-GB"/>
        </w:rPr>
        <w:t>, 23, 2700-2707.</w:t>
      </w:r>
    </w:p>
    <w:p w:rsidR="00C2624E" w:rsidRPr="00040F9C" w:rsidRDefault="00C2624E" w:rsidP="00C2624E">
      <w:pPr>
        <w:spacing w:after="0" w:line="360" w:lineRule="auto"/>
        <w:ind w:left="360"/>
        <w:jc w:val="both"/>
        <w:rPr>
          <w:bCs/>
          <w:sz w:val="24"/>
          <w:lang w:val="en-GB"/>
        </w:rPr>
      </w:pPr>
      <w:r w:rsidRPr="00040F9C">
        <w:rPr>
          <w:sz w:val="24"/>
          <w:lang w:val="en-GB"/>
        </w:rPr>
        <w:lastRenderedPageBreak/>
        <w:t xml:space="preserve">Smyth GK (2005) </w:t>
      </w:r>
      <w:r w:rsidRPr="00040F9C">
        <w:rPr>
          <w:bCs/>
          <w:sz w:val="24"/>
          <w:lang w:val="en-GB"/>
        </w:rPr>
        <w:t>limma: Linear models for microarray data</w:t>
      </w:r>
      <w:r w:rsidRPr="00040F9C">
        <w:rPr>
          <w:bCs/>
          <w:i/>
          <w:sz w:val="24"/>
          <w:lang w:val="en-GB"/>
        </w:rPr>
        <w:t xml:space="preserve">. </w:t>
      </w:r>
      <w:hyperlink r:id="rId7" w:history="1">
        <w:r w:rsidRPr="00040F9C">
          <w:rPr>
            <w:rStyle w:val="Hyperlink"/>
            <w:i/>
            <w:sz w:val="24"/>
            <w:lang w:val="en-GB"/>
          </w:rPr>
          <w:t>Bioinformatics and computational biology solutions using R and Bioconductor</w:t>
        </w:r>
      </w:hyperlink>
      <w:r>
        <w:t xml:space="preserve"> </w:t>
      </w:r>
      <w:hyperlink r:id="rId8" w:history="1">
        <w:r w:rsidRPr="00040F9C">
          <w:rPr>
            <w:rStyle w:val="Hyperlink"/>
            <w:i/>
            <w:sz w:val="24"/>
            <w:lang w:val="en-GB"/>
          </w:rPr>
          <w:t>Statistics for biology and health</w:t>
        </w:r>
      </w:hyperlink>
      <w:r w:rsidRPr="00040F9C">
        <w:rPr>
          <w:sz w:val="24"/>
          <w:lang w:val="en-GB"/>
        </w:rPr>
        <w:t>, Springer New York, pp 397-420.</w:t>
      </w:r>
    </w:p>
    <w:p w:rsidR="00C2624E" w:rsidRPr="00040F9C" w:rsidRDefault="00C2624E" w:rsidP="00C2624E">
      <w:pPr>
        <w:spacing w:after="0" w:line="360" w:lineRule="auto"/>
        <w:ind w:left="360"/>
        <w:jc w:val="both"/>
        <w:rPr>
          <w:rFonts w:ascii="Calibri" w:eastAsia="Times New Roman" w:hAnsi="Calibri" w:cs="Calibri"/>
          <w:sz w:val="24"/>
          <w:lang w:val="en-GB"/>
        </w:rPr>
      </w:pPr>
      <w:r w:rsidRPr="00040F9C">
        <w:rPr>
          <w:rFonts w:ascii="Calibri" w:eastAsia="Times New Roman" w:hAnsi="Calibri" w:cs="Calibri"/>
          <w:sz w:val="24"/>
          <w:lang w:val="en-GB"/>
        </w:rPr>
        <w:t xml:space="preserve">Smyth GK &amp; Altman NS (2013) Separate-channel analysis of two-channel microarrays: recovering inter-spot information. </w:t>
      </w:r>
      <w:r w:rsidRPr="00040F9C">
        <w:rPr>
          <w:rFonts w:ascii="Calibri" w:eastAsia="Times New Roman" w:hAnsi="Calibri" w:cs="Calibri"/>
          <w:i/>
          <w:iCs/>
          <w:sz w:val="24"/>
          <w:lang w:val="en-GB"/>
        </w:rPr>
        <w:t>BMC bioinformatics</w:t>
      </w:r>
      <w:r w:rsidRPr="00040F9C">
        <w:rPr>
          <w:rFonts w:ascii="Calibri" w:eastAsia="Times New Roman" w:hAnsi="Calibri" w:cs="Calibri"/>
          <w:sz w:val="24"/>
          <w:lang w:val="en-GB"/>
        </w:rPr>
        <w:t>, 14, 165.</w:t>
      </w:r>
    </w:p>
    <w:p w:rsidR="00C2624E" w:rsidRPr="001C2C54" w:rsidRDefault="00C2624E" w:rsidP="00C2624E">
      <w:pPr>
        <w:spacing w:after="0" w:line="360" w:lineRule="auto"/>
        <w:ind w:left="360"/>
        <w:jc w:val="both"/>
        <w:rPr>
          <w:rFonts w:ascii="Calibri" w:eastAsia="Times New Roman" w:hAnsi="Calibri" w:cs="Calibri"/>
          <w:sz w:val="24"/>
          <w:szCs w:val="24"/>
          <w:lang w:val="es-ES"/>
        </w:rPr>
      </w:pPr>
      <w:r w:rsidRPr="001C2C54">
        <w:rPr>
          <w:rFonts w:ascii="Calibri" w:eastAsia="Times New Roman" w:hAnsi="Calibri" w:cs="Calibri"/>
          <w:sz w:val="24"/>
          <w:szCs w:val="24"/>
          <w:lang w:val="en-GB"/>
        </w:rPr>
        <w:t xml:space="preserve">Suzuki R &amp; Shimodaira H (2006) Pvclust: an R package for assessing the uncertainty in hierarchical clustering. </w:t>
      </w:r>
      <w:r w:rsidRPr="001C2C54">
        <w:rPr>
          <w:rFonts w:ascii="Calibri" w:eastAsia="Times New Roman" w:hAnsi="Calibri" w:cs="Calibri"/>
          <w:i/>
          <w:sz w:val="24"/>
          <w:szCs w:val="24"/>
          <w:lang w:val="es-ES"/>
        </w:rPr>
        <w:t>Bioinformatics</w:t>
      </w:r>
      <w:r w:rsidRPr="001C2C54">
        <w:rPr>
          <w:rFonts w:ascii="Calibri" w:eastAsia="Times New Roman" w:hAnsi="Calibri" w:cs="Calibri"/>
          <w:sz w:val="24"/>
          <w:szCs w:val="24"/>
          <w:lang w:val="es-ES"/>
        </w:rPr>
        <w:t>, 22, 1540-1542.</w:t>
      </w:r>
    </w:p>
    <w:p w:rsidR="00C2624E" w:rsidRPr="001C2C54" w:rsidRDefault="00C2624E" w:rsidP="00C2624E">
      <w:pPr>
        <w:spacing w:after="0" w:line="360" w:lineRule="auto"/>
        <w:ind w:left="360"/>
        <w:jc w:val="both"/>
        <w:rPr>
          <w:sz w:val="24"/>
          <w:szCs w:val="24"/>
        </w:rPr>
      </w:pPr>
      <w:r w:rsidRPr="001C2C54">
        <w:rPr>
          <w:sz w:val="24"/>
          <w:szCs w:val="24"/>
          <w:lang w:val="es-ES"/>
        </w:rPr>
        <w:t xml:space="preserve">Väremo L., Nielsen J. &amp; Nookaew, I. 2013. </w:t>
      </w:r>
      <w:r w:rsidRPr="001C2C54">
        <w:rPr>
          <w:sz w:val="24"/>
          <w:szCs w:val="24"/>
        </w:rPr>
        <w:t>Enriching the gene set analysis of genome-wide data by incorporating directionality of gene expression and combining statistical hypotheses and methods</w:t>
      </w:r>
      <w:r w:rsidRPr="001C2C54">
        <w:rPr>
          <w:rStyle w:val="Hyperlink"/>
          <w:sz w:val="24"/>
          <w:szCs w:val="24"/>
        </w:rPr>
        <w:t xml:space="preserve">. </w:t>
      </w:r>
      <w:r w:rsidRPr="001C2C54">
        <w:rPr>
          <w:sz w:val="24"/>
          <w:szCs w:val="24"/>
        </w:rPr>
        <w:t xml:space="preserve">Nucleic acids research </w:t>
      </w:r>
      <w:r w:rsidRPr="001C2C54">
        <w:rPr>
          <w:rStyle w:val="slug-vol"/>
          <w:i/>
          <w:iCs/>
          <w:sz w:val="24"/>
          <w:szCs w:val="24"/>
        </w:rPr>
        <w:t xml:space="preserve">41 </w:t>
      </w:r>
      <w:r w:rsidRPr="001C2C54">
        <w:rPr>
          <w:rStyle w:val="slug-issue"/>
          <w:i/>
          <w:iCs/>
          <w:sz w:val="24"/>
          <w:szCs w:val="24"/>
        </w:rPr>
        <w:t xml:space="preserve">(8): </w:t>
      </w:r>
      <w:r w:rsidRPr="001C2C54">
        <w:rPr>
          <w:rStyle w:val="slug-pages"/>
          <w:i/>
          <w:iCs/>
          <w:sz w:val="24"/>
          <w:szCs w:val="24"/>
        </w:rPr>
        <w:t>4378-4391.</w:t>
      </w:r>
    </w:p>
    <w:p w:rsidR="00C2624E" w:rsidRPr="00040F9C" w:rsidRDefault="00C2624E" w:rsidP="00C2624E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eastAsiaTheme="minorHAnsi" w:cs="Arial"/>
          <w:sz w:val="24"/>
          <w:szCs w:val="24"/>
          <w:lang w:val="en-GB"/>
        </w:rPr>
      </w:pPr>
      <w:r w:rsidRPr="001C2C54">
        <w:rPr>
          <w:rFonts w:eastAsiaTheme="minorHAnsi" w:cs="Arial"/>
          <w:sz w:val="24"/>
          <w:szCs w:val="24"/>
          <w:lang w:val="es-ES"/>
        </w:rPr>
        <w:t>Zhurov V, Navarro M</w:t>
      </w:r>
      <w:r w:rsidRPr="00040F9C">
        <w:rPr>
          <w:rFonts w:eastAsiaTheme="minorHAnsi" w:cs="Arial"/>
          <w:sz w:val="24"/>
          <w:szCs w:val="24"/>
          <w:lang w:val="es-ES"/>
        </w:rPr>
        <w:t xml:space="preserve">, Bruinsma KA, Arbona V, Santamaria ME, Cazaux M </w:t>
      </w:r>
      <w:r w:rsidRPr="00040F9C">
        <w:rPr>
          <w:rFonts w:eastAsiaTheme="minorHAnsi" w:cs="Arial"/>
          <w:i/>
          <w:sz w:val="24"/>
          <w:szCs w:val="24"/>
          <w:lang w:val="es-ES"/>
        </w:rPr>
        <w:t>et al.</w:t>
      </w:r>
      <w:r w:rsidRPr="00040F9C">
        <w:rPr>
          <w:rFonts w:eastAsiaTheme="minorHAnsi" w:cs="Arial"/>
          <w:sz w:val="24"/>
          <w:szCs w:val="24"/>
          <w:lang w:val="es-ES"/>
        </w:rPr>
        <w:t xml:space="preserve"> </w:t>
      </w:r>
      <w:r w:rsidRPr="00040F9C">
        <w:rPr>
          <w:rFonts w:eastAsiaTheme="minorHAnsi" w:cs="Arial"/>
          <w:sz w:val="24"/>
          <w:szCs w:val="24"/>
          <w:lang w:val="en-GB"/>
        </w:rPr>
        <w:t xml:space="preserve">(2014) </w:t>
      </w:r>
      <w:r w:rsidRPr="00040F9C">
        <w:rPr>
          <w:rFonts w:eastAsiaTheme="minorHAnsi" w:cs="Arial"/>
          <w:bCs/>
          <w:sz w:val="24"/>
          <w:szCs w:val="24"/>
          <w:lang w:val="en-GB"/>
        </w:rPr>
        <w:t>Reciprocal responses in the interaction between A</w:t>
      </w:r>
      <w:r w:rsidRPr="00040F9C">
        <w:rPr>
          <w:rFonts w:eastAsiaTheme="minorHAnsi" w:cs="Arial"/>
          <w:bCs/>
          <w:i/>
          <w:sz w:val="24"/>
          <w:szCs w:val="24"/>
          <w:lang w:val="en-GB"/>
        </w:rPr>
        <w:t>rabidopsis</w:t>
      </w:r>
      <w:r w:rsidRPr="00040F9C">
        <w:rPr>
          <w:rFonts w:eastAsiaTheme="minorHAnsi" w:cs="Arial"/>
          <w:bCs/>
          <w:sz w:val="24"/>
          <w:szCs w:val="24"/>
          <w:lang w:val="en-GB"/>
        </w:rPr>
        <w:t xml:space="preserve"> and the cell-content-feeding chelicerate herbivore spider mite. </w:t>
      </w:r>
      <w:r w:rsidRPr="00040F9C">
        <w:rPr>
          <w:rFonts w:eastAsiaTheme="minorHAnsi" w:cs="Arial"/>
          <w:i/>
          <w:sz w:val="24"/>
          <w:szCs w:val="24"/>
          <w:lang w:val="en-GB"/>
        </w:rPr>
        <w:t>Plant Physiology,</w:t>
      </w:r>
      <w:r w:rsidRPr="00040F9C">
        <w:rPr>
          <w:rFonts w:eastAsiaTheme="minorHAnsi" w:cs="Arial"/>
          <w:sz w:val="24"/>
          <w:szCs w:val="24"/>
          <w:lang w:val="en-GB"/>
        </w:rPr>
        <w:t xml:space="preserve"> 164, 384-399.</w:t>
      </w:r>
    </w:p>
    <w:p w:rsidR="00C2624E" w:rsidRPr="00BD4A73" w:rsidRDefault="00C2624E" w:rsidP="00C2624E">
      <w:pPr>
        <w:spacing w:after="0" w:line="360" w:lineRule="auto"/>
        <w:rPr>
          <w:rFonts w:ascii="Calibri" w:eastAsia="Times New Roman" w:hAnsi="Calibri" w:cs="Calibri"/>
          <w:sz w:val="24"/>
          <w:lang w:val="en-GB"/>
        </w:rPr>
      </w:pPr>
    </w:p>
    <w:p w:rsidR="00C2624E" w:rsidRDefault="00C2624E" w:rsidP="00C2624E">
      <w:pPr>
        <w:rPr>
          <w:rFonts w:ascii="Calibri" w:eastAsia="Times New Roman" w:hAnsi="Calibri" w:cs="Calibri"/>
          <w:b/>
          <w:sz w:val="28"/>
          <w:lang w:val="en-GB"/>
        </w:rPr>
      </w:pPr>
      <w:r>
        <w:rPr>
          <w:rFonts w:ascii="Calibri" w:eastAsia="Times New Roman" w:hAnsi="Calibri" w:cs="Calibri"/>
          <w:b/>
          <w:sz w:val="28"/>
          <w:lang w:val="en-GB"/>
        </w:rPr>
        <w:br w:type="page"/>
      </w:r>
    </w:p>
    <w:p w:rsidR="00C2624E" w:rsidRPr="00BD4A73" w:rsidRDefault="0083662A" w:rsidP="0083662A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Calibri" w:eastAsia="Times New Roman" w:hAnsi="Calibri" w:cs="Calibri"/>
          <w:b/>
          <w:sz w:val="28"/>
          <w:lang w:val="en-GB"/>
        </w:rPr>
        <w:lastRenderedPageBreak/>
        <w:t>Appendix</w:t>
      </w:r>
      <w:r w:rsidR="00C2624E">
        <w:rPr>
          <w:rFonts w:ascii="Calibri" w:eastAsia="Times New Roman" w:hAnsi="Calibri" w:cs="Calibri"/>
          <w:b/>
          <w:sz w:val="28"/>
          <w:lang w:val="en-GB"/>
        </w:rPr>
        <w:t xml:space="preserve"> S2</w:t>
      </w:r>
      <w:r>
        <w:rPr>
          <w:rFonts w:ascii="Calibri" w:eastAsia="Times New Roman" w:hAnsi="Calibri" w:cs="Calibri"/>
          <w:b/>
          <w:sz w:val="28"/>
          <w:lang w:val="en-GB"/>
        </w:rPr>
        <w:t xml:space="preserve">: </w:t>
      </w:r>
      <w:r w:rsidR="00C2624E" w:rsidRPr="00BD4A73">
        <w:rPr>
          <w:rFonts w:ascii="Calibri" w:hAnsi="Calibri" w:cs="Calibri"/>
          <w:b/>
          <w:sz w:val="24"/>
          <w:lang w:val="en-GB"/>
        </w:rPr>
        <w:t>Trait variation at the start of the experiment</w:t>
      </w:r>
    </w:p>
    <w:p w:rsidR="00C2624E" w:rsidRPr="00A53318" w:rsidRDefault="00C2624E" w:rsidP="00A53318">
      <w:pPr>
        <w:spacing w:after="0" w:line="360" w:lineRule="auto"/>
        <w:jc w:val="both"/>
        <w:rPr>
          <w:rFonts w:ascii="Calibri" w:hAnsi="Calibri" w:cs="Calibri"/>
          <w:sz w:val="24"/>
          <w:lang w:val="en-GB"/>
        </w:rPr>
      </w:pPr>
      <w:r w:rsidRPr="00BD4A73">
        <w:rPr>
          <w:rFonts w:ascii="Calibri" w:hAnsi="Calibri" w:cs="Calibri"/>
          <w:sz w:val="24"/>
          <w:lang w:val="en-GB"/>
        </w:rPr>
        <w:t xml:space="preserve">Mite from the base population lay on average 6.9368 ± 0.3132SE eggs per day. After 7 days their total fecundity was 36.2640 ± </w:t>
      </w:r>
      <w:r w:rsidRPr="00BD4A73">
        <w:rPr>
          <w:rFonts w:ascii="Calibri" w:eastAsia="Times New Roman" w:hAnsi="Calibri" w:cs="Times New Roman"/>
          <w:color w:val="000000"/>
          <w:sz w:val="24"/>
          <w:lang w:val="en-GB"/>
        </w:rPr>
        <w:t xml:space="preserve">3.3226SE eggs. </w:t>
      </w:r>
      <w:r w:rsidRPr="00BD4A73">
        <w:rPr>
          <w:rFonts w:ascii="Calibri" w:hAnsi="Calibri" w:cs="Calibri"/>
          <w:sz w:val="24"/>
          <w:lang w:val="en-GB"/>
        </w:rPr>
        <w:t xml:space="preserve">A clutch contained on average 0.3225 ± 0.0806SE % males. 85.4629 ± 2.7823SE % of juveniles survived until adulthood. Mites developed in 8.6753 ± 0.0358SE days and had longevity of 10.1 ± 0.1599SE days. </w:t>
      </w:r>
      <w:r>
        <w:rPr>
          <w:rFonts w:ascii="Calibri" w:eastAsia="Times New Roman" w:hAnsi="Calibri" w:cs="Calibri"/>
          <w:b/>
          <w:sz w:val="28"/>
          <w:lang w:val="en-GB"/>
        </w:rPr>
        <w:br w:type="page"/>
      </w:r>
    </w:p>
    <w:p w:rsidR="00C2624E" w:rsidRPr="00BD4A73" w:rsidRDefault="00C2624E" w:rsidP="00C2624E">
      <w:pPr>
        <w:rPr>
          <w:rFonts w:ascii="Calibri" w:eastAsia="Times New Roman" w:hAnsi="Calibri" w:cs="Calibri"/>
          <w:b/>
          <w:sz w:val="28"/>
          <w:lang w:val="en-GB"/>
        </w:rPr>
      </w:pPr>
      <w:r>
        <w:rPr>
          <w:rFonts w:ascii="Calibri" w:eastAsia="Times New Roman" w:hAnsi="Calibri" w:cs="Calibri"/>
          <w:b/>
          <w:sz w:val="28"/>
          <w:lang w:val="en-GB"/>
        </w:rPr>
        <w:lastRenderedPageBreak/>
        <w:t>Table S1</w:t>
      </w:r>
    </w:p>
    <w:p w:rsidR="00C2624E" w:rsidRDefault="00C2624E" w:rsidP="00C2624E">
      <w:pPr>
        <w:spacing w:line="360" w:lineRule="auto"/>
        <w:jc w:val="both"/>
        <w:rPr>
          <w:rFonts w:ascii="Calibri" w:eastAsia="Times New Roman" w:hAnsi="Calibri" w:cs="Calibri"/>
          <w:sz w:val="24"/>
          <w:lang w:val="en-GB"/>
        </w:rPr>
      </w:pPr>
      <w:r>
        <w:rPr>
          <w:rFonts w:ascii="Calibri" w:eastAsia="Times New Roman" w:hAnsi="Calibri" w:cs="Calibri"/>
          <w:sz w:val="24"/>
          <w:lang w:val="en-GB"/>
        </w:rPr>
        <w:t>Corresponding GO category labels of the GO-IDs presented in Fig. 5.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0"/>
        <w:gridCol w:w="3902"/>
      </w:tblGrid>
      <w:tr w:rsidR="00C2624E" w:rsidRPr="008534AB" w:rsidTr="00993542">
        <w:tc>
          <w:tcPr>
            <w:tcW w:w="1450" w:type="dxa"/>
            <w:tcBorders>
              <w:top w:val="single" w:sz="12" w:space="0" w:color="auto"/>
              <w:bottom w:val="single" w:sz="2" w:space="0" w:color="auto"/>
            </w:tcBorders>
          </w:tcPr>
          <w:p w:rsidR="00C2624E" w:rsidRPr="008534AB" w:rsidRDefault="00C2624E" w:rsidP="00993542">
            <w:pPr>
              <w:rPr>
                <w:b/>
              </w:rPr>
            </w:pPr>
            <w:r w:rsidRPr="008534AB">
              <w:rPr>
                <w:b/>
              </w:rPr>
              <w:t>GO-ID</w:t>
            </w:r>
          </w:p>
        </w:tc>
        <w:tc>
          <w:tcPr>
            <w:tcW w:w="3902" w:type="dxa"/>
            <w:tcBorders>
              <w:top w:val="single" w:sz="12" w:space="0" w:color="auto"/>
              <w:bottom w:val="single" w:sz="2" w:space="0" w:color="auto"/>
            </w:tcBorders>
          </w:tcPr>
          <w:p w:rsidR="00C2624E" w:rsidRPr="008534AB" w:rsidRDefault="00C2624E" w:rsidP="00993542">
            <w:pPr>
              <w:rPr>
                <w:b/>
              </w:rPr>
            </w:pPr>
            <w:r w:rsidRPr="008534AB">
              <w:rPr>
                <w:b/>
              </w:rPr>
              <w:t>GO-label</w:t>
            </w:r>
          </w:p>
        </w:tc>
      </w:tr>
      <w:tr w:rsidR="00C2624E" w:rsidRPr="00B27CCA" w:rsidTr="00993542">
        <w:tc>
          <w:tcPr>
            <w:tcW w:w="1450" w:type="dxa"/>
            <w:tcBorders>
              <w:top w:val="single" w:sz="2" w:space="0" w:color="auto"/>
            </w:tcBorders>
          </w:tcPr>
          <w:p w:rsidR="00C2624E" w:rsidRPr="00B27CCA" w:rsidRDefault="00C2624E" w:rsidP="00993542"/>
        </w:tc>
        <w:tc>
          <w:tcPr>
            <w:tcW w:w="3902" w:type="dxa"/>
            <w:tcBorders>
              <w:top w:val="single" w:sz="2" w:space="0" w:color="auto"/>
            </w:tcBorders>
          </w:tcPr>
          <w:p w:rsidR="00C2624E" w:rsidRPr="00B27CCA" w:rsidRDefault="00C2624E" w:rsidP="00993542"/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GO:0003333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amino acid transmembrane transport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GO:0005975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carbohydrate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GO:0006094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gluconeogenesis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GO:0006108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malate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GO:0006629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lipid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GO:0006665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sphingolipid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GO:0006754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ATP biosynthetic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GO:0007040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lysosome organization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GO:0008152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GO:0009086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methionine biosynthetic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GO:0009987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cellular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GO:0015810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aspartate transport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GO:0015813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L-glutamate transport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GO:0019369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arachidonic acid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GO:0030259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lipid glycosylation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GO:0043490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malate-aspartate shuttle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GO:0044262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cellular carbohydrate metabolic process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GO:0046331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lateral inhibition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GO:0051592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response to calcium ion</w:t>
            </w:r>
          </w:p>
        </w:tc>
      </w:tr>
      <w:tr w:rsidR="00C2624E" w:rsidRPr="0080389A" w:rsidTr="00993542">
        <w:trPr>
          <w:trHeight w:val="300"/>
        </w:trPr>
        <w:tc>
          <w:tcPr>
            <w:tcW w:w="1450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GO:0060271</w:t>
            </w:r>
          </w:p>
        </w:tc>
        <w:tc>
          <w:tcPr>
            <w:tcW w:w="3902" w:type="dxa"/>
            <w:noWrap/>
            <w:hideMark/>
          </w:tcPr>
          <w:p w:rsidR="00C2624E" w:rsidRPr="0080389A" w:rsidRDefault="00C2624E" w:rsidP="00993542">
            <w:pPr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80389A">
              <w:rPr>
                <w:rFonts w:ascii="Calibri" w:eastAsia="Times New Roman" w:hAnsi="Calibri" w:cs="Times New Roman"/>
                <w:color w:val="000000"/>
                <w:lang w:eastAsia="nl-BE"/>
              </w:rPr>
              <w:t>cilium morphogenesis</w:t>
            </w:r>
          </w:p>
        </w:tc>
      </w:tr>
      <w:tr w:rsidR="00C2624E" w:rsidRPr="00B27CCA" w:rsidTr="00993542">
        <w:tc>
          <w:tcPr>
            <w:tcW w:w="1450" w:type="dxa"/>
            <w:tcBorders>
              <w:bottom w:val="single" w:sz="12" w:space="0" w:color="auto"/>
            </w:tcBorders>
          </w:tcPr>
          <w:p w:rsidR="00C2624E" w:rsidRPr="00B27CCA" w:rsidRDefault="00C2624E" w:rsidP="00993542"/>
        </w:tc>
        <w:tc>
          <w:tcPr>
            <w:tcW w:w="3902" w:type="dxa"/>
            <w:tcBorders>
              <w:bottom w:val="single" w:sz="12" w:space="0" w:color="auto"/>
            </w:tcBorders>
          </w:tcPr>
          <w:p w:rsidR="00C2624E" w:rsidRPr="00B27CCA" w:rsidRDefault="00C2624E" w:rsidP="00993542"/>
        </w:tc>
      </w:tr>
    </w:tbl>
    <w:p w:rsidR="00C2624E" w:rsidRPr="00BD4A73" w:rsidRDefault="00C2624E" w:rsidP="00C2624E">
      <w:pPr>
        <w:rPr>
          <w:rFonts w:ascii="Calibri" w:eastAsia="Times New Roman" w:hAnsi="Calibri" w:cs="Calibri"/>
          <w:b/>
          <w:sz w:val="24"/>
          <w:lang w:val="en-GB"/>
        </w:rPr>
      </w:pPr>
    </w:p>
    <w:p w:rsidR="00C2624E" w:rsidRDefault="00C2624E" w:rsidP="00C2624E">
      <w:pPr>
        <w:rPr>
          <w:rFonts w:ascii="Calibri" w:eastAsia="Times New Roman" w:hAnsi="Calibri" w:cs="Calibri"/>
          <w:b/>
          <w:sz w:val="28"/>
          <w:lang w:val="en-GB"/>
        </w:rPr>
      </w:pPr>
      <w:r>
        <w:rPr>
          <w:rFonts w:ascii="Calibri" w:eastAsia="Times New Roman" w:hAnsi="Calibri" w:cs="Calibri"/>
          <w:b/>
          <w:sz w:val="28"/>
          <w:lang w:val="en-GB"/>
        </w:rPr>
        <w:lastRenderedPageBreak/>
        <w:br w:type="page"/>
      </w:r>
    </w:p>
    <w:p w:rsidR="0083662A" w:rsidRPr="00E72B57" w:rsidRDefault="0083662A" w:rsidP="0083662A">
      <w:pPr>
        <w:spacing w:line="360" w:lineRule="auto"/>
        <w:jc w:val="both"/>
        <w:rPr>
          <w:rFonts w:ascii="Calibri" w:eastAsia="Times New Roman" w:hAnsi="Calibri" w:cs="Calibri"/>
          <w:b/>
          <w:sz w:val="24"/>
          <w:lang w:val="en-GB"/>
        </w:rPr>
      </w:pPr>
      <w:r>
        <w:rPr>
          <w:rFonts w:ascii="Calibri" w:eastAsia="Times New Roman" w:hAnsi="Calibri" w:cs="Calibri"/>
          <w:b/>
          <w:sz w:val="24"/>
          <w:lang w:val="en-GB"/>
        </w:rPr>
        <w:lastRenderedPageBreak/>
        <w:t xml:space="preserve">Figure S1. </w:t>
      </w:r>
      <w:r w:rsidRPr="00C97D16">
        <w:rPr>
          <w:rFonts w:ascii="Calibri" w:eastAsia="Times New Roman" w:hAnsi="Calibri" w:cs="Calibri"/>
          <w:sz w:val="24"/>
          <w:lang w:val="en-GB"/>
        </w:rPr>
        <w:t xml:space="preserve">Expression heatmap depicting </w:t>
      </w:r>
      <w:r>
        <w:rPr>
          <w:rFonts w:ascii="Calibri" w:eastAsia="Times New Roman" w:hAnsi="Calibri" w:cs="Calibri"/>
          <w:sz w:val="24"/>
          <w:lang w:val="en-GB"/>
        </w:rPr>
        <w:t>the expression levels of the three biological lines within the TEM and SPA selection treatments, relative to the HOM reference. Fold changes were log</w:t>
      </w:r>
      <w:r w:rsidRPr="000B0978">
        <w:rPr>
          <w:rFonts w:ascii="Calibri" w:eastAsia="Times New Roman" w:hAnsi="Calibri" w:cs="Calibri"/>
          <w:sz w:val="24"/>
          <w:vertAlign w:val="subscript"/>
          <w:lang w:val="en-GB"/>
        </w:rPr>
        <w:t>2</w:t>
      </w:r>
      <w:r>
        <w:rPr>
          <w:rFonts w:ascii="Calibri" w:eastAsia="Times New Roman" w:hAnsi="Calibri" w:cs="Calibri"/>
          <w:sz w:val="24"/>
          <w:lang w:val="en-GB"/>
        </w:rPr>
        <w:t xml:space="preserve"> transformed. Genes were clustering using Euclidean distance (ward-method). </w:t>
      </w:r>
    </w:p>
    <w:p w:rsidR="00C2624E" w:rsidRPr="00BD4A73" w:rsidRDefault="00C2624E" w:rsidP="00C2624E">
      <w:pPr>
        <w:rPr>
          <w:rFonts w:ascii="Calibri" w:eastAsia="Times New Roman" w:hAnsi="Calibri" w:cs="Calibri"/>
          <w:b/>
          <w:sz w:val="24"/>
          <w:lang w:val="en-GB"/>
        </w:rPr>
      </w:pPr>
      <w:r w:rsidRPr="00D97C0C">
        <w:rPr>
          <w:rFonts w:ascii="Calibri" w:eastAsia="Times New Roman" w:hAnsi="Calibri" w:cs="Calibri"/>
          <w:b/>
          <w:noProof/>
          <w:sz w:val="24"/>
          <w:lang w:val="nl-BE" w:eastAsia="nl-BE"/>
        </w:rPr>
        <w:drawing>
          <wp:inline distT="0" distB="0" distL="0" distR="0" wp14:anchorId="47F99E09" wp14:editId="4E30AD57">
            <wp:extent cx="5760720" cy="6432963"/>
            <wp:effectExtent l="19050" t="0" r="0" b="0"/>
            <wp:docPr id="5" name="Picture 5" descr="C:\Users\LA03-LT\Desktop\Dropbox\Evolutionary ecology of mites\Bonte Work\Figures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03-LT\Desktop\Dropbox\Evolutionary ecology of mites\Bonte Work\Figures\Figure S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4E" w:rsidRPr="00B93B3B" w:rsidRDefault="00C2624E" w:rsidP="00C2624E">
      <w:pPr>
        <w:rPr>
          <w:b/>
          <w:sz w:val="24"/>
        </w:rPr>
      </w:pPr>
    </w:p>
    <w:p w:rsidR="00C2624E" w:rsidRPr="00BD4A73" w:rsidRDefault="00C2624E" w:rsidP="00C2624E">
      <w:pPr>
        <w:rPr>
          <w:b/>
          <w:sz w:val="24"/>
          <w:lang w:val="en-GB"/>
        </w:rPr>
      </w:pPr>
    </w:p>
    <w:p w:rsidR="00C2624E" w:rsidRDefault="00C2624E" w:rsidP="00C2624E">
      <w:pPr>
        <w:rPr>
          <w:rFonts w:ascii="Calibri" w:eastAsia="Times New Roman" w:hAnsi="Calibri" w:cs="Calibri"/>
          <w:b/>
          <w:sz w:val="24"/>
          <w:lang w:val="en-GB"/>
        </w:rPr>
      </w:pPr>
    </w:p>
    <w:p w:rsidR="0083662A" w:rsidRDefault="0083662A" w:rsidP="0083662A">
      <w:pPr>
        <w:spacing w:line="360" w:lineRule="auto"/>
        <w:jc w:val="both"/>
        <w:rPr>
          <w:rFonts w:ascii="Calibri" w:eastAsia="Times New Roman" w:hAnsi="Calibri" w:cs="Calibri"/>
          <w:sz w:val="24"/>
          <w:lang w:val="en-GB"/>
        </w:rPr>
      </w:pPr>
      <w:r w:rsidRPr="00BD4A73">
        <w:rPr>
          <w:rFonts w:ascii="Calibri" w:eastAsia="Times New Roman" w:hAnsi="Calibri" w:cs="Calibri"/>
          <w:b/>
          <w:sz w:val="24"/>
          <w:lang w:val="en-GB"/>
        </w:rPr>
        <w:lastRenderedPageBreak/>
        <w:t>Figure S</w:t>
      </w:r>
      <w:r>
        <w:rPr>
          <w:rFonts w:ascii="Calibri" w:eastAsia="Times New Roman" w:hAnsi="Calibri" w:cs="Calibri"/>
          <w:b/>
          <w:sz w:val="24"/>
          <w:lang w:val="en-GB"/>
        </w:rPr>
        <w:t>2</w:t>
      </w:r>
      <w:r w:rsidRPr="00BD4A73">
        <w:rPr>
          <w:rFonts w:ascii="Calibri" w:eastAsia="Times New Roman" w:hAnsi="Calibri" w:cs="Calibri"/>
          <w:sz w:val="24"/>
          <w:lang w:val="en-GB"/>
        </w:rPr>
        <w:t>. Overview of the differentially expressed genes in the TEM (red) and SPA (orange) lines, relative to HOM,</w:t>
      </w:r>
      <w:r>
        <w:rPr>
          <w:rFonts w:ascii="Calibri" w:eastAsia="Times New Roman" w:hAnsi="Calibri" w:cs="Calibri"/>
          <w:sz w:val="24"/>
          <w:lang w:val="en-GB"/>
        </w:rPr>
        <w:t xml:space="preserve"> encoding proteins</w:t>
      </w:r>
      <w:r w:rsidRPr="00BD4A73">
        <w:rPr>
          <w:rFonts w:ascii="Calibri" w:eastAsia="Times New Roman" w:hAnsi="Calibri" w:cs="Calibri"/>
          <w:sz w:val="24"/>
          <w:lang w:val="en-GB"/>
        </w:rPr>
        <w:t xml:space="preserve"> of the citric acid cycle, glycolysis and gluconeogenesis</w:t>
      </w:r>
      <w:r w:rsidRPr="00BD4A73">
        <w:rPr>
          <w:rFonts w:ascii="Calibri" w:eastAsia="Times New Roman" w:hAnsi="Calibri" w:cs="Calibri"/>
          <w:b/>
          <w:sz w:val="24"/>
          <w:lang w:val="en-GB"/>
        </w:rPr>
        <w:t>.</w:t>
      </w:r>
      <w:r>
        <w:rPr>
          <w:rFonts w:ascii="Calibri" w:eastAsia="Times New Roman" w:hAnsi="Calibri" w:cs="Calibri"/>
          <w:b/>
          <w:sz w:val="24"/>
          <w:lang w:val="en-GB"/>
        </w:rPr>
        <w:t xml:space="preserve"> </w:t>
      </w:r>
      <w:r w:rsidRPr="00092D47">
        <w:rPr>
          <w:rFonts w:ascii="Calibri" w:eastAsia="Times New Roman" w:hAnsi="Calibri" w:cs="Calibri"/>
          <w:sz w:val="24"/>
          <w:lang w:val="en-GB"/>
        </w:rPr>
        <w:t>The reaction catalysed</w:t>
      </w:r>
      <w:r>
        <w:rPr>
          <w:rFonts w:ascii="Calibri" w:eastAsia="Times New Roman" w:hAnsi="Calibri" w:cs="Calibri"/>
          <w:sz w:val="24"/>
          <w:lang w:val="en-GB"/>
        </w:rPr>
        <w:t xml:space="preserve"> </w:t>
      </w:r>
      <w:r w:rsidRPr="00092D47">
        <w:rPr>
          <w:rFonts w:ascii="Calibri" w:eastAsia="Times New Roman" w:hAnsi="Calibri" w:cs="Calibri"/>
          <w:sz w:val="24"/>
          <w:lang w:val="en-GB"/>
        </w:rPr>
        <w:t>by</w:t>
      </w:r>
      <w:r>
        <w:rPr>
          <w:rFonts w:ascii="Calibri" w:eastAsia="Times New Roman" w:hAnsi="Calibri" w:cs="Calibri"/>
          <w:sz w:val="24"/>
          <w:lang w:val="en-GB"/>
        </w:rPr>
        <w:t xml:space="preserve"> the </w:t>
      </w:r>
      <w:r w:rsidRPr="00092D47">
        <w:rPr>
          <w:sz w:val="24"/>
          <w:szCs w:val="24"/>
          <w:lang w:val="en-GB"/>
        </w:rPr>
        <w:t xml:space="preserve">phosphoglucose </w:t>
      </w:r>
      <w:r>
        <w:rPr>
          <w:sz w:val="24"/>
          <w:szCs w:val="24"/>
          <w:lang w:val="en-GB"/>
        </w:rPr>
        <w:t xml:space="preserve">isomerise enzyme </w:t>
      </w:r>
      <w:r w:rsidRPr="00092D47">
        <w:rPr>
          <w:sz w:val="24"/>
          <w:szCs w:val="24"/>
          <w:lang w:val="en-GB"/>
        </w:rPr>
        <w:t>is indicated</w:t>
      </w:r>
      <w:r>
        <w:rPr>
          <w:sz w:val="24"/>
          <w:szCs w:val="24"/>
          <w:lang w:val="en-GB"/>
        </w:rPr>
        <w:t xml:space="preserve"> by PGI. </w:t>
      </w:r>
      <w:r w:rsidRPr="00BD4A73">
        <w:rPr>
          <w:rFonts w:ascii="Calibri" w:eastAsia="Times New Roman" w:hAnsi="Calibri" w:cs="Calibri"/>
          <w:sz w:val="24"/>
          <w:lang w:val="en-GB"/>
        </w:rPr>
        <w:t xml:space="preserve">Mitochondrial localization is depicted by a grey background. The citric acid pathway is indicated by </w:t>
      </w:r>
      <w:r>
        <w:rPr>
          <w:rFonts w:ascii="Calibri" w:eastAsia="Times New Roman" w:hAnsi="Calibri" w:cs="Calibri"/>
          <w:sz w:val="24"/>
          <w:lang w:val="en-GB"/>
        </w:rPr>
        <w:t xml:space="preserve">a </w:t>
      </w:r>
      <w:r w:rsidRPr="00BD4A73">
        <w:rPr>
          <w:rFonts w:ascii="Calibri" w:eastAsia="Times New Roman" w:hAnsi="Calibri" w:cs="Calibri"/>
          <w:sz w:val="24"/>
          <w:lang w:val="en-GB"/>
        </w:rPr>
        <w:t>dotted black line.</w:t>
      </w:r>
    </w:p>
    <w:p w:rsidR="00C2624E" w:rsidRDefault="00C2624E" w:rsidP="00C2624E">
      <w:pPr>
        <w:rPr>
          <w:b/>
          <w:sz w:val="24"/>
          <w:lang w:val="en-GB"/>
        </w:rPr>
      </w:pPr>
      <w:r w:rsidRPr="00D97C0C">
        <w:rPr>
          <w:b/>
          <w:noProof/>
          <w:sz w:val="24"/>
          <w:lang w:val="nl-BE" w:eastAsia="nl-BE"/>
        </w:rPr>
        <w:drawing>
          <wp:inline distT="0" distB="0" distL="0" distR="0" wp14:anchorId="3C76B5ED" wp14:editId="312E1E57">
            <wp:extent cx="5760720" cy="3088835"/>
            <wp:effectExtent l="19050" t="0" r="0" b="0"/>
            <wp:docPr id="13" name="Picture 1" descr="C:\Users\Adroissa\AppData\Local\Microsoft\Windows\Temporary Internet Files\Content.Outlook\07EQI8EV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oissa\AppData\Local\Microsoft\Windows\Temporary Internet Files\Content.Outlook\07EQI8EV\Figure S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24E" w:rsidRDefault="0083662A" w:rsidP="0083662A">
      <w:pPr>
        <w:spacing w:after="160" w:line="259" w:lineRule="auto"/>
        <w:rPr>
          <w:b/>
          <w:sz w:val="24"/>
          <w:lang w:val="en-GB"/>
        </w:rPr>
      </w:pPr>
      <w:r>
        <w:rPr>
          <w:b/>
          <w:sz w:val="24"/>
          <w:lang w:val="en-GB"/>
        </w:rPr>
        <w:br w:type="page"/>
      </w:r>
    </w:p>
    <w:p w:rsidR="0083662A" w:rsidRPr="001C2C54" w:rsidRDefault="0083662A" w:rsidP="0083662A">
      <w:pPr>
        <w:spacing w:line="360" w:lineRule="auto"/>
        <w:jc w:val="both"/>
        <w:rPr>
          <w:rFonts w:ascii="Calibri" w:eastAsia="Times New Roman" w:hAnsi="Calibri" w:cs="Calibri"/>
          <w:sz w:val="24"/>
          <w:lang w:val="en-GB"/>
        </w:rPr>
      </w:pPr>
      <w:r w:rsidRPr="00BD4A73">
        <w:rPr>
          <w:rFonts w:ascii="Calibri" w:eastAsia="Times New Roman" w:hAnsi="Calibri" w:cs="Calibri"/>
          <w:b/>
          <w:sz w:val="24"/>
          <w:lang w:val="en-GB"/>
        </w:rPr>
        <w:lastRenderedPageBreak/>
        <w:t>Figure S</w:t>
      </w:r>
      <w:r>
        <w:rPr>
          <w:rFonts w:ascii="Calibri" w:eastAsia="Times New Roman" w:hAnsi="Calibri" w:cs="Calibri"/>
          <w:b/>
          <w:sz w:val="24"/>
          <w:lang w:val="en-GB"/>
        </w:rPr>
        <w:t>3</w:t>
      </w:r>
      <w:r w:rsidRPr="00BD4A73">
        <w:rPr>
          <w:rFonts w:ascii="Calibri" w:eastAsia="Times New Roman" w:hAnsi="Calibri" w:cs="Calibri"/>
          <w:b/>
          <w:sz w:val="24"/>
          <w:lang w:val="en-GB"/>
        </w:rPr>
        <w:t xml:space="preserve">. </w:t>
      </w:r>
      <w:r w:rsidRPr="00BD4A73">
        <w:rPr>
          <w:rFonts w:ascii="Calibri" w:eastAsia="Times New Roman" w:hAnsi="Calibri" w:cs="Calibri"/>
          <w:sz w:val="24"/>
          <w:lang w:val="en-GB"/>
        </w:rPr>
        <w:t xml:space="preserve">Overview of the differentially expressed genes </w:t>
      </w:r>
      <w:r>
        <w:rPr>
          <w:rFonts w:ascii="Calibri" w:eastAsia="Times New Roman" w:hAnsi="Calibri" w:cs="Calibri"/>
          <w:sz w:val="24"/>
          <w:lang w:val="en-GB"/>
        </w:rPr>
        <w:t>encoding for proteins of</w:t>
      </w:r>
      <w:r w:rsidRPr="00BD4A73">
        <w:rPr>
          <w:rFonts w:ascii="Calibri" w:eastAsia="Times New Roman" w:hAnsi="Calibri" w:cs="Calibri"/>
          <w:sz w:val="24"/>
          <w:lang w:val="en-GB"/>
        </w:rPr>
        <w:t xml:space="preserve"> the methionine synthesis pathway through one carbon metabolism in the TEM (red) and SPA (orange) lines, relative to HOM.</w:t>
      </w:r>
      <w:r>
        <w:rPr>
          <w:rFonts w:ascii="Calibri" w:eastAsia="Times New Roman" w:hAnsi="Calibri" w:cs="Calibri"/>
          <w:sz w:val="24"/>
          <w:lang w:val="en-GB"/>
        </w:rPr>
        <w:t xml:space="preserve"> </w:t>
      </w:r>
      <w:r>
        <w:rPr>
          <w:rFonts w:ascii="Calibri" w:eastAsia="Times New Roman" w:hAnsi="Calibri" w:cs="Calibri"/>
          <w:i/>
          <w:sz w:val="24"/>
          <w:lang w:val="en-GB"/>
        </w:rPr>
        <w:t>Tetur16g00990</w:t>
      </w:r>
      <w:r>
        <w:rPr>
          <w:rFonts w:ascii="Calibri" w:eastAsia="Times New Roman" w:hAnsi="Calibri" w:cs="Calibri"/>
          <w:sz w:val="24"/>
          <w:lang w:val="en-GB"/>
        </w:rPr>
        <w:t xml:space="preserve"> is a laterally acquired bacterial </w:t>
      </w:r>
      <w:r>
        <w:rPr>
          <w:rFonts w:ascii="Calibri" w:eastAsia="Times New Roman" w:hAnsi="Calibri" w:cs="Calibri"/>
          <w:sz w:val="24"/>
          <w:lang w:val="en-GB"/>
        </w:rPr>
        <w:t>gene in the spider mite genome</w:t>
      </w:r>
      <w:r>
        <w:rPr>
          <w:rFonts w:ascii="Calibri" w:eastAsia="Times New Roman" w:hAnsi="Calibri" w:cs="Calibri"/>
          <w:sz w:val="24"/>
          <w:lang w:val="en-GB"/>
        </w:rPr>
        <w:t>.</w:t>
      </w:r>
    </w:p>
    <w:p w:rsidR="00C2624E" w:rsidRPr="00BD4A73" w:rsidRDefault="00C2624E" w:rsidP="00C2624E">
      <w:pPr>
        <w:rPr>
          <w:b/>
          <w:sz w:val="24"/>
          <w:lang w:val="en-GB"/>
        </w:rPr>
      </w:pPr>
      <w:r w:rsidRPr="00BD4A73">
        <w:rPr>
          <w:b/>
          <w:noProof/>
          <w:sz w:val="24"/>
          <w:lang w:val="nl-BE" w:eastAsia="nl-BE"/>
        </w:rPr>
        <w:drawing>
          <wp:inline distT="0" distB="0" distL="0" distR="0" wp14:anchorId="514EAFE5" wp14:editId="52BEB82F">
            <wp:extent cx="3450590" cy="1794510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5E" w:rsidRPr="00C2624E" w:rsidRDefault="0056455E">
      <w:pPr>
        <w:rPr>
          <w:lang w:val="en-GB"/>
        </w:rPr>
      </w:pPr>
    </w:p>
    <w:sectPr w:rsidR="0056455E" w:rsidRPr="00C2624E" w:rsidSect="0083662A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B29" w:rsidRDefault="00EE3B29" w:rsidP="002A1DB5">
      <w:pPr>
        <w:spacing w:after="0" w:line="240" w:lineRule="auto"/>
      </w:pPr>
      <w:r>
        <w:separator/>
      </w:r>
    </w:p>
  </w:endnote>
  <w:endnote w:type="continuationSeparator" w:id="0">
    <w:p w:rsidR="00EE3B29" w:rsidRDefault="00EE3B29" w:rsidP="002A1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830377"/>
      <w:docPartObj>
        <w:docPartGallery w:val="Page Numbers (Bottom of Page)"/>
        <w:docPartUnique/>
      </w:docPartObj>
    </w:sdtPr>
    <w:sdtEndPr/>
    <w:sdtContent>
      <w:p w:rsidR="00312FD7" w:rsidRDefault="00826A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0A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3662A" w:rsidRPr="001000A3" w:rsidRDefault="0083662A" w:rsidP="0083662A">
    <w:pPr>
      <w:spacing w:after="0" w:line="360" w:lineRule="auto"/>
      <w:rPr>
        <w:b/>
        <w:i/>
        <w:sz w:val="20"/>
        <w:szCs w:val="20"/>
        <w:lang w:val="en-GB"/>
      </w:rPr>
    </w:pPr>
    <w:r w:rsidRPr="001000A3">
      <w:rPr>
        <w:rFonts w:cs="Calibri"/>
        <w:b/>
        <w:i/>
        <w:sz w:val="20"/>
        <w:szCs w:val="20"/>
        <w:lang w:val="fr-FR"/>
      </w:rPr>
      <w:t>De Roissart A, Wybouw N, Renault D, Van Leeuwen T</w:t>
    </w:r>
    <w:r w:rsidRPr="001000A3">
      <w:rPr>
        <w:rFonts w:cs="Calibri"/>
        <w:b/>
        <w:i/>
        <w:sz w:val="20"/>
        <w:szCs w:val="20"/>
        <w:vertAlign w:val="superscript"/>
        <w:lang w:val="fr-FR"/>
      </w:rPr>
      <w:t xml:space="preserve"> </w:t>
    </w:r>
    <w:r w:rsidRPr="001000A3">
      <w:rPr>
        <w:rFonts w:cs="Calibri"/>
        <w:b/>
        <w:i/>
        <w:sz w:val="20"/>
        <w:szCs w:val="20"/>
        <w:lang w:val="fr-FR"/>
      </w:rPr>
      <w:t>&amp; Bonte D</w:t>
    </w:r>
    <w:r w:rsidRPr="001000A3">
      <w:rPr>
        <w:rFonts w:cs="Calibri"/>
        <w:b/>
        <w:i/>
        <w:sz w:val="20"/>
        <w:szCs w:val="20"/>
        <w:lang w:val="fr-FR"/>
      </w:rPr>
      <w:t xml:space="preserve">. </w:t>
    </w:r>
    <w:r w:rsidRPr="001000A3">
      <w:rPr>
        <w:b/>
        <w:i/>
        <w:sz w:val="20"/>
        <w:szCs w:val="20"/>
        <w:lang w:val="en-GB"/>
      </w:rPr>
      <w:t xml:space="preserve">Life history evolution in an arthropod herbivore according to metapopulation structure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B29" w:rsidRDefault="00EE3B29" w:rsidP="002A1DB5">
      <w:pPr>
        <w:spacing w:after="0" w:line="240" w:lineRule="auto"/>
      </w:pPr>
      <w:r>
        <w:separator/>
      </w:r>
    </w:p>
  </w:footnote>
  <w:footnote w:type="continuationSeparator" w:id="0">
    <w:p w:rsidR="00EE3B29" w:rsidRDefault="00EE3B29" w:rsidP="002A1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1DB5" w:rsidRDefault="0083662A" w:rsidP="00F45452">
    <w:pPr>
      <w:pStyle w:val="Header"/>
      <w:pBdr>
        <w:bottom w:val="single" w:sz="4" w:space="1" w:color="auto"/>
      </w:pBdr>
    </w:pPr>
    <w:r>
      <w:t>Functional Ecology</w:t>
    </w:r>
  </w:p>
  <w:p w:rsidR="002A1DB5" w:rsidRDefault="002A1DB5" w:rsidP="00F45452">
    <w:pPr>
      <w:pStyle w:val="Header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24E"/>
    <w:rsid w:val="001000A3"/>
    <w:rsid w:val="001923C3"/>
    <w:rsid w:val="002A1DB5"/>
    <w:rsid w:val="00437BC7"/>
    <w:rsid w:val="0056455E"/>
    <w:rsid w:val="00826A67"/>
    <w:rsid w:val="0083662A"/>
    <w:rsid w:val="00A53318"/>
    <w:rsid w:val="00C25236"/>
    <w:rsid w:val="00C2624E"/>
    <w:rsid w:val="00EE3B29"/>
    <w:rsid w:val="00F4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06399DD-F840-438C-B054-C2D6FD1EF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4E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C2624E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val="en-US" w:eastAsia="nl-BE"/>
    </w:rPr>
  </w:style>
  <w:style w:type="paragraph" w:styleId="Footer">
    <w:name w:val="footer"/>
    <w:basedOn w:val="Normal"/>
    <w:link w:val="FooterChar"/>
    <w:uiPriority w:val="99"/>
    <w:unhideWhenUsed/>
    <w:rsid w:val="00C262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4E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C2624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2624E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lug-vol">
    <w:name w:val="slug-vol"/>
    <w:basedOn w:val="DefaultParagraphFont"/>
    <w:rsid w:val="00C2624E"/>
  </w:style>
  <w:style w:type="character" w:customStyle="1" w:styleId="slug-issue">
    <w:name w:val="slug-issue"/>
    <w:basedOn w:val="DefaultParagraphFont"/>
    <w:rsid w:val="00C2624E"/>
  </w:style>
  <w:style w:type="character" w:customStyle="1" w:styleId="slug-pages">
    <w:name w:val="slug-pages"/>
    <w:basedOn w:val="DefaultParagraphFont"/>
    <w:rsid w:val="00C2624E"/>
  </w:style>
  <w:style w:type="character" w:styleId="LineNumber">
    <w:name w:val="line number"/>
    <w:basedOn w:val="DefaultParagraphFont"/>
    <w:uiPriority w:val="99"/>
    <w:semiHidden/>
    <w:unhideWhenUsed/>
    <w:rsid w:val="00C2624E"/>
  </w:style>
  <w:style w:type="paragraph" w:styleId="Header">
    <w:name w:val="header"/>
    <w:basedOn w:val="Normal"/>
    <w:link w:val="HeaderChar"/>
    <w:uiPriority w:val="99"/>
    <w:unhideWhenUsed/>
    <w:rsid w:val="002A1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DB5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.springer.com/bookseries/2848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link.springer.com/book/10.1007/0-387-29362-0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5193C-2CAC-49CD-84EF-C473AFCE2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1588</Words>
  <Characters>8737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10305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Dries Bonte</dc:creator>
  <cp:keywords/>
  <dc:description/>
  <cp:lastModifiedBy>Dries Bonte</cp:lastModifiedBy>
  <cp:revision>6</cp:revision>
  <dcterms:created xsi:type="dcterms:W3CDTF">2015-06-29T08:31:00Z</dcterms:created>
  <dcterms:modified xsi:type="dcterms:W3CDTF">2015-10-06T14:26:00Z</dcterms:modified>
</cp:coreProperties>
</file>