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073D" w14:textId="215AE299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 xml:space="preserve">Supplementary Figure 1: </w:t>
      </w:r>
      <w:r w:rsidRPr="00946C53">
        <w:rPr>
          <w:rFonts w:ascii="Arial" w:hAnsi="Arial" w:cs="Arial"/>
        </w:rPr>
        <w:t>Dose response curves were generated in RWPE1-shCTL and RWPE1-shRARG cell lines in responses to ATRA (</w:t>
      </w:r>
      <w:r w:rsidRPr="00946C53"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>) and CD437 (</w:t>
      </w:r>
      <w:r w:rsidRPr="00946C53"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>)</w:t>
      </w:r>
      <w:r w:rsidRPr="00946C53">
        <w:rPr>
          <w:rFonts w:ascii="Arial" w:hAnsi="Arial" w:cs="Arial"/>
          <w:b/>
        </w:rPr>
        <w:t xml:space="preserve"> </w:t>
      </w:r>
      <w:r w:rsidRPr="00946C53">
        <w:rPr>
          <w:rFonts w:ascii="Arial" w:hAnsi="Arial" w:cs="Arial"/>
        </w:rPr>
        <w:t>for 96 hours. Significant differences in response relative to RWPE1-shCTL cells are indicated (p &lt; 0.05). (</w:t>
      </w:r>
      <w:r w:rsidRPr="00946C53">
        <w:rPr>
          <w:rFonts w:ascii="Arial" w:hAnsi="Arial" w:cs="Arial"/>
          <w:b/>
        </w:rPr>
        <w:t>C,D</w:t>
      </w:r>
      <w:r w:rsidRPr="00946C53">
        <w:rPr>
          <w:rFonts w:ascii="Arial" w:hAnsi="Arial" w:cs="Arial"/>
        </w:rPr>
        <w:t>) Similar results shown for LNCaP-</w:t>
      </w:r>
      <w:proofErr w:type="spellStart"/>
      <w:r w:rsidRPr="00946C53">
        <w:rPr>
          <w:rFonts w:ascii="Arial" w:hAnsi="Arial" w:cs="Arial"/>
        </w:rPr>
        <w:t>shCTL</w:t>
      </w:r>
      <w:proofErr w:type="spellEnd"/>
      <w:r w:rsidRPr="00946C53">
        <w:rPr>
          <w:rFonts w:ascii="Arial" w:hAnsi="Arial" w:cs="Arial"/>
        </w:rPr>
        <w:t xml:space="preserve"> and LNCaP-</w:t>
      </w:r>
      <w:proofErr w:type="spellStart"/>
      <w:r w:rsidRPr="00946C53">
        <w:rPr>
          <w:rFonts w:ascii="Arial" w:hAnsi="Arial" w:cs="Arial"/>
        </w:rPr>
        <w:t>shRARG</w:t>
      </w:r>
      <w:proofErr w:type="spellEnd"/>
      <w:r w:rsidRPr="00946C53">
        <w:rPr>
          <w:rFonts w:ascii="Arial" w:hAnsi="Arial" w:cs="Arial"/>
        </w:rPr>
        <w:t xml:space="preserve"> cells treated for 144 hours. (</w:t>
      </w:r>
      <w:r w:rsidRPr="00946C53">
        <w:rPr>
          <w:rFonts w:ascii="Arial" w:hAnsi="Arial" w:cs="Arial"/>
          <w:b/>
        </w:rPr>
        <w:t>E</w:t>
      </w:r>
      <w:r w:rsidRPr="00946C53">
        <w:rPr>
          <w:rFonts w:ascii="Arial" w:hAnsi="Arial" w:cs="Arial"/>
        </w:rPr>
        <w:t xml:space="preserve">) Representative propidium iodide profiles of RWPE1-shCTL and RWPE1-shRARG cells treated with vehicle, 1 µM ATRA or 10nM CD437 for 96 hours. Cell cycle phase populations were determined by </w:t>
      </w:r>
      <w:proofErr w:type="spellStart"/>
      <w:r w:rsidRPr="00946C53">
        <w:rPr>
          <w:rFonts w:ascii="Arial" w:hAnsi="Arial" w:cs="Arial"/>
        </w:rPr>
        <w:t>ModFit</w:t>
      </w:r>
      <w:proofErr w:type="spellEnd"/>
      <w:r w:rsidRPr="00946C53">
        <w:rPr>
          <w:rFonts w:ascii="Arial" w:hAnsi="Arial" w:cs="Arial"/>
        </w:rPr>
        <w:t xml:space="preserve"> 3.1 software. Quantification of cell cycle profiles from triplicate experiments are shown below. Asterisks denote significant shifts in populations in </w:t>
      </w:r>
      <w:proofErr w:type="spellStart"/>
      <w:r w:rsidRPr="00946C53">
        <w:rPr>
          <w:rFonts w:ascii="Arial" w:hAnsi="Arial" w:cs="Arial"/>
        </w:rPr>
        <w:t>shRARG</w:t>
      </w:r>
      <w:proofErr w:type="spellEnd"/>
      <w:r w:rsidRPr="00946C53">
        <w:rPr>
          <w:rFonts w:ascii="Arial" w:hAnsi="Arial" w:cs="Arial"/>
        </w:rPr>
        <w:t xml:space="preserve"> cells relative to control cells in each treatment group (Student’s t-test, p &lt; 0.05).  (</w:t>
      </w:r>
      <w:r w:rsidRPr="00946C53">
        <w:rPr>
          <w:rFonts w:ascii="Arial" w:hAnsi="Arial" w:cs="Arial"/>
          <w:b/>
        </w:rPr>
        <w:t>F</w:t>
      </w:r>
      <w:r w:rsidRPr="00946C53">
        <w:rPr>
          <w:rFonts w:ascii="Arial" w:hAnsi="Arial" w:cs="Arial"/>
        </w:rPr>
        <w:t>): Similar results shown for LNCaP-</w:t>
      </w:r>
      <w:proofErr w:type="spellStart"/>
      <w:r w:rsidRPr="00946C53">
        <w:rPr>
          <w:rFonts w:ascii="Arial" w:hAnsi="Arial" w:cs="Arial"/>
        </w:rPr>
        <w:t>shCTL</w:t>
      </w:r>
      <w:proofErr w:type="spellEnd"/>
      <w:r w:rsidRPr="00946C53">
        <w:rPr>
          <w:rFonts w:ascii="Arial" w:hAnsi="Arial" w:cs="Arial"/>
        </w:rPr>
        <w:t xml:space="preserve"> and LNCaP-</w:t>
      </w:r>
      <w:proofErr w:type="spellStart"/>
      <w:r w:rsidRPr="00946C53">
        <w:rPr>
          <w:rFonts w:ascii="Arial" w:hAnsi="Arial" w:cs="Arial"/>
        </w:rPr>
        <w:t>shRARG</w:t>
      </w:r>
      <w:proofErr w:type="spellEnd"/>
      <w:r w:rsidRPr="00946C53">
        <w:rPr>
          <w:rFonts w:ascii="Arial" w:hAnsi="Arial" w:cs="Arial"/>
        </w:rPr>
        <w:t xml:space="preserve"> cells treated with vehicle, 1 µM ATRA or 250nM CD437 for 120 hours.</w:t>
      </w:r>
    </w:p>
    <w:p w14:paraId="74DF6F4C" w14:textId="0A644DC0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 xml:space="preserve">Supplementary Figure </w:t>
      </w:r>
      <w:r w:rsidR="00ED6F81">
        <w:rPr>
          <w:rFonts w:ascii="Arial" w:hAnsi="Arial" w:cs="Arial"/>
          <w:b/>
        </w:rPr>
        <w:t>2</w:t>
      </w:r>
      <w:r w:rsidRPr="00946C53">
        <w:rPr>
          <w:rFonts w:ascii="Arial" w:hAnsi="Arial" w:cs="Arial"/>
          <w:b/>
        </w:rPr>
        <w:t>:</w:t>
      </w:r>
      <w:r w:rsidRPr="00946C53">
        <w:rPr>
          <w:rFonts w:ascii="Arial" w:hAnsi="Arial" w:cs="Arial"/>
        </w:rPr>
        <w:t xml:space="preserve"> (</w:t>
      </w:r>
      <w:r w:rsidRPr="00946C53"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>) Principal component analysis depicting relationships amongst samples profiled by microarray in RWPE1 cells and (</w:t>
      </w:r>
      <w:r w:rsidRPr="00946C53"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>) LNCaP cells. (</w:t>
      </w:r>
      <w:r w:rsidRPr="00946C53">
        <w:rPr>
          <w:rFonts w:ascii="Arial" w:hAnsi="Arial" w:cs="Arial"/>
          <w:b/>
        </w:rPr>
        <w:t>C</w:t>
      </w:r>
      <w:r w:rsidRPr="00946C53">
        <w:rPr>
          <w:rFonts w:ascii="Arial" w:hAnsi="Arial" w:cs="Arial"/>
        </w:rPr>
        <w:t xml:space="preserve">) Volcano plots </w:t>
      </w:r>
      <w:r>
        <w:rPr>
          <w:rFonts w:ascii="Arial" w:hAnsi="Arial" w:cs="Arial"/>
        </w:rPr>
        <w:t>depicting</w:t>
      </w:r>
      <w:r w:rsidRPr="00946C53">
        <w:rPr>
          <w:rFonts w:ascii="Arial" w:hAnsi="Arial" w:cs="Arial"/>
        </w:rPr>
        <w:t xml:space="preserve"> expression changes </w:t>
      </w:r>
      <w:r>
        <w:rPr>
          <w:rFonts w:ascii="Arial" w:hAnsi="Arial" w:cs="Arial"/>
        </w:rPr>
        <w:t xml:space="preserve">upon </w:t>
      </w:r>
      <w:r w:rsidRPr="004F48B1">
        <w:rPr>
          <w:rFonts w:ascii="Arial" w:hAnsi="Arial" w:cs="Arial"/>
        </w:rPr>
        <w:t>RAR</w:t>
      </w:r>
      <w:r w:rsidRPr="004F48B1">
        <w:rPr>
          <w:rFonts w:ascii="Symbol" w:hAnsi="Symbol" w:cs="Arial"/>
        </w:rPr>
        <w:t></w:t>
      </w:r>
      <w:r>
        <w:rPr>
          <w:rFonts w:ascii="Arial" w:hAnsi="Arial" w:cs="Arial"/>
        </w:rPr>
        <w:t xml:space="preserve"> knockdown or in response to</w:t>
      </w:r>
      <w:r w:rsidRPr="00946C53">
        <w:rPr>
          <w:rFonts w:ascii="Arial" w:hAnsi="Arial" w:cs="Arial"/>
        </w:rPr>
        <w:t xml:space="preserve"> </w:t>
      </w:r>
      <w:r w:rsidR="00ED6F81">
        <w:rPr>
          <w:rFonts w:ascii="Arial" w:hAnsi="Arial" w:cs="Arial"/>
        </w:rPr>
        <w:t xml:space="preserve">exogenous </w:t>
      </w:r>
      <w:r w:rsidRPr="004F48B1">
        <w:rPr>
          <w:rFonts w:ascii="Arial" w:hAnsi="Arial" w:cs="Arial"/>
        </w:rPr>
        <w:t>RAR</w:t>
      </w:r>
      <w:r w:rsidRPr="004F48B1">
        <w:rPr>
          <w:rFonts w:ascii="Symbol" w:hAnsi="Symbol" w:cs="Arial"/>
        </w:rPr>
        <w:t></w:t>
      </w:r>
      <w:r>
        <w:rPr>
          <w:rFonts w:ascii="Symbol" w:hAnsi="Symbol" w:cs="Arial"/>
        </w:rPr>
        <w:t></w:t>
      </w:r>
      <w:r w:rsidRPr="00946C53">
        <w:rPr>
          <w:rFonts w:ascii="Arial" w:hAnsi="Arial" w:cs="Arial"/>
        </w:rPr>
        <w:t>s</w:t>
      </w:r>
      <w:r>
        <w:rPr>
          <w:rFonts w:ascii="Arial" w:hAnsi="Arial" w:cs="Arial"/>
        </w:rPr>
        <w:t>pecific ligand</w:t>
      </w:r>
      <w:r w:rsidRPr="00946C53">
        <w:rPr>
          <w:rFonts w:ascii="Arial" w:hAnsi="Arial" w:cs="Arial"/>
        </w:rPr>
        <w:t xml:space="preserve"> (CD437) in </w:t>
      </w:r>
      <w:r>
        <w:rPr>
          <w:rFonts w:ascii="Arial" w:hAnsi="Arial" w:cs="Arial"/>
        </w:rPr>
        <w:t>LNCaP</w:t>
      </w:r>
      <w:r w:rsidR="000624A8">
        <w:rPr>
          <w:rFonts w:ascii="Arial" w:hAnsi="Arial" w:cs="Arial"/>
        </w:rPr>
        <w:t xml:space="preserve"> cells; </w:t>
      </w:r>
      <w:r>
        <w:rPr>
          <w:rFonts w:ascii="Arial" w:hAnsi="Arial" w:cs="Arial"/>
        </w:rPr>
        <w:t>dotted</w:t>
      </w:r>
      <w:r w:rsidRPr="00946C53">
        <w:rPr>
          <w:rFonts w:ascii="Arial" w:hAnsi="Arial" w:cs="Arial"/>
        </w:rPr>
        <w:t xml:space="preserve"> lines indicate </w:t>
      </w:r>
      <w:r>
        <w:rPr>
          <w:rFonts w:ascii="Arial" w:hAnsi="Arial" w:cs="Arial"/>
        </w:rPr>
        <w:t>DEG thresholds (</w:t>
      </w:r>
      <w:proofErr w:type="spellStart"/>
      <w:r>
        <w:rPr>
          <w:rFonts w:ascii="Arial" w:hAnsi="Arial" w:cs="Arial"/>
        </w:rPr>
        <w:t>p.adj</w:t>
      </w:r>
      <w:proofErr w:type="spellEnd"/>
      <w:r>
        <w:rPr>
          <w:rFonts w:ascii="Arial" w:hAnsi="Arial" w:cs="Arial"/>
        </w:rPr>
        <w:t xml:space="preserve"> &lt; 0.05,</w:t>
      </w:r>
      <w:r w:rsidRPr="00946C53">
        <w:rPr>
          <w:rFonts w:ascii="Arial" w:hAnsi="Arial" w:cs="Arial"/>
        </w:rPr>
        <w:t xml:space="preserve"> fold change of +/- 1.2</w:t>
      </w:r>
      <w:r>
        <w:rPr>
          <w:rFonts w:ascii="Arial" w:hAnsi="Arial" w:cs="Arial"/>
        </w:rPr>
        <w:t>), and red dots represent RAR</w:t>
      </w:r>
      <w:r w:rsidRPr="004F48B1">
        <w:rPr>
          <w:rFonts w:ascii="Symbol" w:hAnsi="Symbol" w:cs="Arial"/>
        </w:rPr>
        <w:t></w:t>
      </w:r>
      <w:r>
        <w:rPr>
          <w:rFonts w:ascii="Arial" w:hAnsi="Arial" w:cs="Arial"/>
        </w:rPr>
        <w:t xml:space="preserve"> dependent DEGs.</w:t>
      </w:r>
      <w:r w:rsidRPr="00946C53">
        <w:rPr>
          <w:rFonts w:ascii="Arial" w:hAnsi="Arial" w:cs="Arial"/>
        </w:rPr>
        <w:t xml:space="preserve"> (</w:t>
      </w:r>
      <w:r w:rsidRPr="00946C53">
        <w:rPr>
          <w:rFonts w:ascii="Arial" w:hAnsi="Arial" w:cs="Arial"/>
          <w:b/>
        </w:rPr>
        <w:t>D</w:t>
      </w:r>
      <w:r w:rsidRPr="00946C53">
        <w:rPr>
          <w:rFonts w:ascii="Arial" w:hAnsi="Arial" w:cs="Arial"/>
        </w:rPr>
        <w:t xml:space="preserve">) Venn diagram depicting number of determined </w:t>
      </w:r>
      <w:r>
        <w:rPr>
          <w:rFonts w:ascii="Arial" w:hAnsi="Arial" w:cs="Arial"/>
        </w:rPr>
        <w:t>DEGs associated with</w:t>
      </w:r>
      <w:r w:rsidRPr="00946C53">
        <w:rPr>
          <w:rFonts w:ascii="Arial" w:hAnsi="Arial" w:cs="Arial"/>
        </w:rPr>
        <w:t xml:space="preserve"> </w:t>
      </w:r>
      <w:r w:rsidR="000624A8">
        <w:rPr>
          <w:rFonts w:ascii="Arial" w:hAnsi="Arial" w:cs="Arial"/>
        </w:rPr>
        <w:t xml:space="preserve">vehicle </w:t>
      </w:r>
      <w:proofErr w:type="spellStart"/>
      <w:r w:rsidRPr="00946C53">
        <w:rPr>
          <w:rFonts w:ascii="Arial" w:hAnsi="Arial" w:cs="Arial"/>
        </w:rPr>
        <w:t>RARγ</w:t>
      </w:r>
      <w:proofErr w:type="spellEnd"/>
      <w:r>
        <w:rPr>
          <w:rFonts w:ascii="Arial" w:hAnsi="Arial" w:cs="Arial"/>
        </w:rPr>
        <w:t xml:space="preserve"> and</w:t>
      </w:r>
      <w:r w:rsidR="000624A8">
        <w:rPr>
          <w:rFonts w:ascii="Arial" w:hAnsi="Arial" w:cs="Arial"/>
        </w:rPr>
        <w:t xml:space="preserve"> ligand treated</w:t>
      </w:r>
      <w:r>
        <w:rPr>
          <w:rFonts w:ascii="Arial" w:hAnsi="Arial" w:cs="Arial"/>
        </w:rPr>
        <w:t xml:space="preserve"> </w:t>
      </w:r>
      <w:proofErr w:type="spellStart"/>
      <w:r w:rsidRPr="00946C53">
        <w:rPr>
          <w:rFonts w:ascii="Arial" w:hAnsi="Arial" w:cs="Arial"/>
        </w:rPr>
        <w:t>RARγ</w:t>
      </w:r>
      <w:proofErr w:type="spellEnd"/>
      <w:r>
        <w:rPr>
          <w:rFonts w:ascii="Arial" w:hAnsi="Arial" w:cs="Arial"/>
        </w:rPr>
        <w:t xml:space="preserve"> conditions</w:t>
      </w:r>
      <w:r w:rsidRPr="00946C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E</w:t>
      </w:r>
      <w:r w:rsidRPr="006A2B28">
        <w:rPr>
          <w:rFonts w:ascii="Arial" w:hAnsi="Arial" w:cs="Arial"/>
        </w:rPr>
        <w:t>)</w:t>
      </w:r>
      <w:r w:rsidRPr="00946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B31E7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) </w:t>
      </w:r>
      <w:r w:rsidRPr="00946C53">
        <w:rPr>
          <w:rFonts w:ascii="Arial" w:hAnsi="Arial" w:cs="Arial"/>
        </w:rPr>
        <w:t xml:space="preserve">Heatmap depicting a summary of all significantly enriched pathways from GSEA </w:t>
      </w:r>
      <w:r>
        <w:rPr>
          <w:rFonts w:ascii="Arial" w:hAnsi="Arial" w:cs="Arial"/>
        </w:rPr>
        <w:t xml:space="preserve">(NES &gt; 1.8, FDR </w:t>
      </w:r>
      <w:proofErr w:type="spellStart"/>
      <w:r>
        <w:rPr>
          <w:rFonts w:ascii="Arial" w:hAnsi="Arial" w:cs="Arial"/>
        </w:rPr>
        <w:t>q.val</w:t>
      </w:r>
      <w:proofErr w:type="spellEnd"/>
      <w:r>
        <w:rPr>
          <w:rFonts w:ascii="Arial" w:hAnsi="Arial" w:cs="Arial"/>
        </w:rPr>
        <w:t xml:space="preserve"> &lt; 0.05) associated with</w:t>
      </w:r>
      <w:r w:rsidRPr="00946C53">
        <w:rPr>
          <w:rFonts w:ascii="Arial" w:hAnsi="Arial" w:cs="Arial"/>
        </w:rPr>
        <w:t xml:space="preserve"> </w:t>
      </w:r>
      <w:r w:rsidR="000624A8">
        <w:rPr>
          <w:rFonts w:ascii="Arial" w:hAnsi="Arial" w:cs="Arial"/>
        </w:rPr>
        <w:t xml:space="preserve">vehicle </w:t>
      </w:r>
      <w:proofErr w:type="spellStart"/>
      <w:r w:rsidR="000624A8" w:rsidRPr="00946C53">
        <w:rPr>
          <w:rFonts w:ascii="Arial" w:hAnsi="Arial" w:cs="Arial"/>
        </w:rPr>
        <w:t>RARγ</w:t>
      </w:r>
      <w:proofErr w:type="spellEnd"/>
      <w:r w:rsidR="000624A8">
        <w:rPr>
          <w:rFonts w:ascii="Arial" w:hAnsi="Arial" w:cs="Arial"/>
        </w:rPr>
        <w:t xml:space="preserve"> and ligand treated </w:t>
      </w:r>
      <w:proofErr w:type="spellStart"/>
      <w:r w:rsidR="000624A8" w:rsidRPr="00946C53">
        <w:rPr>
          <w:rFonts w:ascii="Arial" w:hAnsi="Arial" w:cs="Arial"/>
        </w:rPr>
        <w:t>RARγ</w:t>
      </w:r>
      <w:proofErr w:type="spellEnd"/>
      <w:r w:rsidR="000624A8">
        <w:rPr>
          <w:rFonts w:ascii="Arial" w:hAnsi="Arial" w:cs="Arial"/>
        </w:rPr>
        <w:t xml:space="preserve"> conditions </w:t>
      </w:r>
      <w:r>
        <w:rPr>
          <w:rFonts w:ascii="Arial" w:hAnsi="Arial" w:cs="Arial"/>
        </w:rPr>
        <w:t>in RWPE-1 and LNCaP cells. Example enriched meta-groups amongst significant GSEA sets are shown as row annotations. (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) </w:t>
      </w:r>
      <w:r w:rsidRPr="00946C53">
        <w:rPr>
          <w:rFonts w:ascii="Arial" w:hAnsi="Arial" w:cs="Arial"/>
        </w:rPr>
        <w:t xml:space="preserve">Expression of typical androgen regulated genes </w:t>
      </w:r>
      <w:r w:rsidRPr="00946C53">
        <w:rPr>
          <w:rFonts w:ascii="Arial" w:hAnsi="Arial" w:cs="Arial"/>
          <w:i/>
        </w:rPr>
        <w:t>KLK3</w:t>
      </w:r>
      <w:r w:rsidRPr="00946C53">
        <w:rPr>
          <w:rFonts w:ascii="Arial" w:hAnsi="Arial" w:cs="Arial"/>
        </w:rPr>
        <w:t xml:space="preserve"> and </w:t>
      </w:r>
      <w:r w:rsidRPr="00946C53">
        <w:rPr>
          <w:rFonts w:ascii="Arial" w:hAnsi="Arial" w:cs="Arial"/>
          <w:i/>
        </w:rPr>
        <w:t>TMRPSS2</w:t>
      </w:r>
      <w:r w:rsidRPr="00946C53">
        <w:rPr>
          <w:rFonts w:ascii="Arial" w:hAnsi="Arial" w:cs="Arial"/>
        </w:rPr>
        <w:t xml:space="preserve"> in </w:t>
      </w:r>
      <w:proofErr w:type="spellStart"/>
      <w:r w:rsidRPr="00946C53">
        <w:rPr>
          <w:rFonts w:ascii="Arial" w:hAnsi="Arial" w:cs="Arial"/>
        </w:rPr>
        <w:t>RARγ</w:t>
      </w:r>
      <w:proofErr w:type="spellEnd"/>
      <w:r w:rsidRPr="00946C53">
        <w:rPr>
          <w:rFonts w:ascii="Arial" w:hAnsi="Arial" w:cs="Arial"/>
        </w:rPr>
        <w:t xml:space="preserve"> knockdown LNCaP cells treated with 10nM DHT for 24 hours. Significant expression changes relative to LNCaP-</w:t>
      </w:r>
      <w:proofErr w:type="spellStart"/>
      <w:r w:rsidRPr="00946C53">
        <w:rPr>
          <w:rFonts w:ascii="Arial" w:hAnsi="Arial" w:cs="Arial"/>
        </w:rPr>
        <w:t>shC</w:t>
      </w:r>
      <w:r>
        <w:rPr>
          <w:rFonts w:ascii="Arial" w:hAnsi="Arial" w:cs="Arial"/>
        </w:rPr>
        <w:t>TL</w:t>
      </w:r>
      <w:proofErr w:type="spellEnd"/>
      <w:r w:rsidRPr="00946C53">
        <w:rPr>
          <w:rFonts w:ascii="Arial" w:hAnsi="Arial" w:cs="Arial"/>
        </w:rPr>
        <w:t xml:space="preserve"> DMSO treated cells is indicated (p &lt; 0.05).</w:t>
      </w:r>
    </w:p>
    <w:p w14:paraId="3ABDA308" w14:textId="48151F7F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 xml:space="preserve">Supplementary Figure </w:t>
      </w:r>
      <w:r w:rsidR="000624A8">
        <w:rPr>
          <w:rFonts w:ascii="Arial" w:hAnsi="Arial" w:cs="Arial"/>
          <w:b/>
        </w:rPr>
        <w:t>3</w:t>
      </w:r>
      <w:r w:rsidRPr="00946C53">
        <w:rPr>
          <w:rFonts w:ascii="Arial" w:hAnsi="Arial" w:cs="Arial"/>
          <w:b/>
        </w:rPr>
        <w:t>: Validation of stable BAC-RARG-EGFP expressing cells.</w:t>
      </w:r>
      <w:r w:rsidRPr="00946C53">
        <w:rPr>
          <w:rFonts w:ascii="Arial" w:hAnsi="Arial" w:cs="Arial"/>
        </w:rPr>
        <w:t xml:space="preserve"> (</w:t>
      </w:r>
      <w:r w:rsidRPr="00946C53"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>) RARG transcript is detected at significantly elevated levels in RWPE1-BAC-RARG-EGFP cells relative to basal RWPE1 cells. (</w:t>
      </w:r>
      <w:r w:rsidRPr="00946C53"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 xml:space="preserve">) Detection of RARG-EGFP corresponding fusion protein in RWPE1-BAC-RARG-EGFP cells by use of GFP targeting antibody. RWPE1 cells containing </w:t>
      </w:r>
      <w:proofErr w:type="spellStart"/>
      <w:r w:rsidRPr="00946C53">
        <w:rPr>
          <w:rFonts w:ascii="Arial" w:hAnsi="Arial" w:cs="Arial"/>
        </w:rPr>
        <w:t>pGIPz</w:t>
      </w:r>
      <w:proofErr w:type="spellEnd"/>
      <w:r w:rsidRPr="00946C53">
        <w:rPr>
          <w:rFonts w:ascii="Arial" w:hAnsi="Arial" w:cs="Arial"/>
        </w:rPr>
        <w:t>-shRNA vectors are used as control for detection of wild type GFP. (</w:t>
      </w:r>
      <w:r w:rsidRPr="00946C53">
        <w:rPr>
          <w:rFonts w:ascii="Arial" w:hAnsi="Arial" w:cs="Arial"/>
          <w:b/>
        </w:rPr>
        <w:t>C</w:t>
      </w:r>
      <w:r w:rsidRPr="00946C53">
        <w:rPr>
          <w:rFonts w:ascii="Arial" w:hAnsi="Arial" w:cs="Arial"/>
        </w:rPr>
        <w:t xml:space="preserve">) Candidate </w:t>
      </w:r>
      <w:proofErr w:type="spellStart"/>
      <w:r w:rsidRPr="00946C53">
        <w:rPr>
          <w:rFonts w:ascii="Arial" w:hAnsi="Arial" w:cs="Arial"/>
        </w:rPr>
        <w:t>ChIP</w:t>
      </w:r>
      <w:proofErr w:type="spellEnd"/>
      <w:r w:rsidRPr="00946C53">
        <w:rPr>
          <w:rFonts w:ascii="Arial" w:hAnsi="Arial" w:cs="Arial"/>
        </w:rPr>
        <w:t xml:space="preserve">-qPCR in RWPE1-BAC-RARG-EGFP cells either treated with DMSO or 10nM CD437 for 2 hours at TSS regions of genes regulated by </w:t>
      </w:r>
      <w:proofErr w:type="spellStart"/>
      <w:r w:rsidRPr="00946C53">
        <w:rPr>
          <w:rFonts w:ascii="Arial" w:hAnsi="Arial" w:cs="Arial"/>
        </w:rPr>
        <w:t>RARγ</w:t>
      </w:r>
      <w:proofErr w:type="spellEnd"/>
      <w:r w:rsidRPr="00946C53">
        <w:rPr>
          <w:rFonts w:ascii="Arial" w:hAnsi="Arial" w:cs="Arial"/>
        </w:rPr>
        <w:t xml:space="preserve"> in RWPE-1 cells (CYP26A1, KRT8/18, CDKN2B, FOXA1, SMAD3) or negative control TSS regions a</w:t>
      </w:r>
      <w:r>
        <w:rPr>
          <w:rFonts w:ascii="Arial" w:hAnsi="Arial" w:cs="Arial"/>
        </w:rPr>
        <w:t xml:space="preserve">t genes not regulated by </w:t>
      </w:r>
      <w:proofErr w:type="spellStart"/>
      <w:r>
        <w:rPr>
          <w:rFonts w:ascii="Arial" w:hAnsi="Arial" w:cs="Arial"/>
        </w:rPr>
        <w:t>RARγ</w:t>
      </w:r>
      <w:proofErr w:type="spellEnd"/>
      <w:r>
        <w:rPr>
          <w:rFonts w:ascii="Arial" w:hAnsi="Arial" w:cs="Arial"/>
        </w:rPr>
        <w:t>.</w:t>
      </w:r>
    </w:p>
    <w:p w14:paraId="18243D74" w14:textId="00245956" w:rsidR="00171609" w:rsidRDefault="00171609" w:rsidP="0017160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6C53">
        <w:rPr>
          <w:rFonts w:ascii="Arial" w:hAnsi="Arial" w:cs="Arial"/>
          <w:b/>
        </w:rPr>
        <w:t xml:space="preserve">Supplementary Figure </w:t>
      </w:r>
      <w:r w:rsidR="000624A8">
        <w:rPr>
          <w:rFonts w:ascii="Arial" w:hAnsi="Arial" w:cs="Arial"/>
          <w:b/>
        </w:rPr>
        <w:t>4</w:t>
      </w:r>
      <w:r w:rsidRPr="00946C5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MiR-96 expression in MSKCC and TCGA-PRAD cohorts. A. </w:t>
      </w:r>
      <w:r w:rsidRPr="00946C53">
        <w:rPr>
          <w:rFonts w:ascii="Arial" w:hAnsi="Arial" w:cs="Arial"/>
        </w:rPr>
        <w:t xml:space="preserve">Cumulative distribution plot comparing the correlations (Pearson’s r) between </w:t>
      </w:r>
      <w:r w:rsidRPr="005B31E7">
        <w:rPr>
          <w:rFonts w:ascii="Arial" w:hAnsi="Arial" w:cs="Arial"/>
        </w:rPr>
        <w:t>RAR</w:t>
      </w:r>
      <w:r w:rsidRPr="005B31E7">
        <w:rPr>
          <w:rFonts w:ascii="Symbol" w:hAnsi="Symbol" w:cs="Arial"/>
        </w:rPr>
        <w:t></w:t>
      </w:r>
      <w:r w:rsidRPr="00946C53">
        <w:rPr>
          <w:rFonts w:ascii="Arial" w:hAnsi="Arial" w:cs="Arial"/>
        </w:rPr>
        <w:t xml:space="preserve"> and all </w:t>
      </w:r>
      <w:r w:rsidRPr="00946C53">
        <w:rPr>
          <w:rFonts w:ascii="Arial" w:hAnsi="Arial" w:cs="Arial"/>
        </w:rPr>
        <w:lastRenderedPageBreak/>
        <w:t xml:space="preserve">detectable genes from </w:t>
      </w:r>
      <w:proofErr w:type="spellStart"/>
      <w:r>
        <w:rPr>
          <w:rFonts w:ascii="Arial" w:hAnsi="Arial" w:cs="Arial"/>
        </w:rPr>
        <w:t>ChIP-Seq</w:t>
      </w:r>
      <w:proofErr w:type="spellEnd"/>
      <w:r w:rsidRPr="00946C53">
        <w:rPr>
          <w:rFonts w:ascii="Arial" w:hAnsi="Arial" w:cs="Arial"/>
        </w:rPr>
        <w:t xml:space="preserve"> assay in cohort samples to the cor</w:t>
      </w:r>
      <w:r>
        <w:rPr>
          <w:rFonts w:ascii="Arial" w:hAnsi="Arial" w:cs="Arial"/>
        </w:rPr>
        <w:t xml:space="preserve">relations of validated targets </w:t>
      </w:r>
      <w:r w:rsidRPr="00946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46C53">
        <w:rPr>
          <w:rFonts w:ascii="Arial" w:hAnsi="Arial" w:cs="Arial"/>
        </w:rPr>
        <w:t>red) across the same samples</w:t>
      </w:r>
      <w:r>
        <w:rPr>
          <w:rFonts w:ascii="Arial" w:hAnsi="Arial" w:cs="Arial"/>
        </w:rPr>
        <w:t xml:space="preserve"> in TCGA-PRAD (left) and MSKCC (right)</w:t>
      </w:r>
      <w:r w:rsidRPr="00946C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Significant difference between distributions is determined by Kolmogorov-Smirnov test. </w:t>
      </w:r>
      <w:r w:rsidRPr="005B407A">
        <w:rPr>
          <w:rFonts w:ascii="Arial" w:hAnsi="Arial" w:cs="Arial"/>
          <w:b/>
        </w:rPr>
        <w:t>B</w:t>
      </w:r>
      <w:r>
        <w:rPr>
          <w:rFonts w:ascii="Arial" w:hAnsi="Arial" w:cs="Arial"/>
        </w:rPr>
        <w:t>. Filtering these gene sets as revealed which were most altered in the MSCKCC cohort. Several of these genes were independently associated with worse disease free survival</w:t>
      </w:r>
      <w:r w:rsidRPr="00946C53">
        <w:rPr>
          <w:rFonts w:ascii="Arial" w:hAnsi="Arial" w:cs="Arial"/>
          <w:b/>
        </w:rPr>
        <w:t xml:space="preserve"> </w:t>
      </w:r>
    </w:p>
    <w:p w14:paraId="415652EC" w14:textId="2F850A24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 xml:space="preserve">Supplementary Figure </w:t>
      </w:r>
      <w:r w:rsidR="000624A8">
        <w:rPr>
          <w:rFonts w:ascii="Arial" w:hAnsi="Arial" w:cs="Arial"/>
          <w:b/>
        </w:rPr>
        <w:t>5</w:t>
      </w:r>
      <w:r w:rsidRPr="00946C53">
        <w:rPr>
          <w:rFonts w:ascii="Arial" w:hAnsi="Arial" w:cs="Arial"/>
          <w:b/>
        </w:rPr>
        <w:t>:</w:t>
      </w:r>
      <w:r w:rsidRPr="00946C53">
        <w:rPr>
          <w:rFonts w:ascii="Arial" w:hAnsi="Arial" w:cs="Arial"/>
        </w:rPr>
        <w:t xml:space="preserve"> (</w:t>
      </w:r>
      <w:r w:rsidRPr="00946C53"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 xml:space="preserve">) Validation of </w:t>
      </w:r>
      <w:r w:rsidRPr="00A57019">
        <w:rPr>
          <w:rFonts w:ascii="Arial" w:hAnsi="Arial" w:cs="Arial"/>
          <w:i/>
        </w:rPr>
        <w:t>RARG</w:t>
      </w:r>
      <w:r w:rsidRPr="00946C53">
        <w:rPr>
          <w:rFonts w:ascii="Arial" w:hAnsi="Arial" w:cs="Arial"/>
        </w:rPr>
        <w:t xml:space="preserve"> mRNA  and (</w:t>
      </w:r>
      <w:r w:rsidRPr="00946C53"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 xml:space="preserve">) </w:t>
      </w:r>
      <w:proofErr w:type="spellStart"/>
      <w:r w:rsidRPr="00946C53">
        <w:rPr>
          <w:rFonts w:ascii="Arial" w:hAnsi="Arial" w:cs="Arial"/>
        </w:rPr>
        <w:t>RARγ</w:t>
      </w:r>
      <w:proofErr w:type="spellEnd"/>
      <w:r w:rsidRPr="00946C53">
        <w:rPr>
          <w:rFonts w:ascii="Arial" w:hAnsi="Arial" w:cs="Arial"/>
        </w:rPr>
        <w:t xml:space="preserve"> protein knockdown in HPr1</w:t>
      </w:r>
      <w:r w:rsidR="000624A8">
        <w:rPr>
          <w:rFonts w:ascii="Arial" w:hAnsi="Arial" w:cs="Arial"/>
        </w:rPr>
        <w:t>-</w:t>
      </w:r>
      <w:r w:rsidRPr="00946C53">
        <w:rPr>
          <w:rFonts w:ascii="Arial" w:hAnsi="Arial" w:cs="Arial"/>
        </w:rPr>
        <w:t>AR-shCTL and HPr1AR-shRARG cells. (</w:t>
      </w:r>
      <w:r w:rsidRPr="00946C53">
        <w:rPr>
          <w:rFonts w:ascii="Arial" w:hAnsi="Arial" w:cs="Arial"/>
          <w:b/>
        </w:rPr>
        <w:t>C</w:t>
      </w:r>
      <w:r w:rsidRPr="00946C53">
        <w:rPr>
          <w:rFonts w:ascii="Arial" w:hAnsi="Arial" w:cs="Arial"/>
        </w:rPr>
        <w:t xml:space="preserve">) Protein levels of </w:t>
      </w:r>
      <w:proofErr w:type="spellStart"/>
      <w:r w:rsidRPr="00946C53">
        <w:rPr>
          <w:rFonts w:ascii="Arial" w:hAnsi="Arial" w:cs="Arial"/>
        </w:rPr>
        <w:t>RARγ</w:t>
      </w:r>
      <w:proofErr w:type="spellEnd"/>
      <w:r w:rsidRPr="00946C53">
        <w:rPr>
          <w:rFonts w:ascii="Arial" w:hAnsi="Arial" w:cs="Arial"/>
        </w:rPr>
        <w:t xml:space="preserve"> are unaffected by DHT treatment (10 </w:t>
      </w:r>
      <w:proofErr w:type="spellStart"/>
      <w:r w:rsidRPr="00946C53">
        <w:rPr>
          <w:rFonts w:ascii="Arial" w:hAnsi="Arial" w:cs="Arial"/>
        </w:rPr>
        <w:t>nM</w:t>
      </w:r>
      <w:proofErr w:type="spellEnd"/>
      <w:r w:rsidRPr="00946C53">
        <w:rPr>
          <w:rFonts w:ascii="Arial" w:hAnsi="Arial" w:cs="Arial"/>
        </w:rPr>
        <w:t>, 24 and 96 hours). (</w:t>
      </w:r>
      <w:r w:rsidRPr="00946C53">
        <w:rPr>
          <w:rFonts w:ascii="Arial" w:hAnsi="Arial" w:cs="Arial"/>
          <w:b/>
        </w:rPr>
        <w:t>D</w:t>
      </w:r>
      <w:r w:rsidRPr="00946C53">
        <w:rPr>
          <w:rFonts w:ascii="Arial" w:hAnsi="Arial" w:cs="Arial"/>
        </w:rPr>
        <w:t xml:space="preserve">) Expression of </w:t>
      </w:r>
      <w:r w:rsidRPr="00946C53">
        <w:rPr>
          <w:rFonts w:ascii="Arial" w:hAnsi="Arial" w:cs="Arial"/>
          <w:i/>
        </w:rPr>
        <w:t>RARG</w:t>
      </w:r>
      <w:r w:rsidRPr="00946C53">
        <w:rPr>
          <w:rFonts w:ascii="Arial" w:hAnsi="Arial" w:cs="Arial"/>
        </w:rPr>
        <w:t xml:space="preserve"> transcript and other candidate DHT regulated genes (</w:t>
      </w:r>
      <w:r w:rsidRPr="00946C53">
        <w:rPr>
          <w:rFonts w:ascii="Arial" w:hAnsi="Arial" w:cs="Arial"/>
          <w:i/>
        </w:rPr>
        <w:t>DPP4</w:t>
      </w:r>
      <w:r w:rsidRPr="00946C53">
        <w:rPr>
          <w:rFonts w:ascii="Arial" w:hAnsi="Arial" w:cs="Arial"/>
        </w:rPr>
        <w:t xml:space="preserve">, </w:t>
      </w:r>
      <w:r w:rsidRPr="00946C53">
        <w:rPr>
          <w:rFonts w:ascii="Arial" w:hAnsi="Arial" w:cs="Arial"/>
          <w:i/>
        </w:rPr>
        <w:t>STEAP4</w:t>
      </w:r>
      <w:r w:rsidRPr="00946C53">
        <w:rPr>
          <w:rFonts w:ascii="Arial" w:hAnsi="Arial" w:cs="Arial"/>
        </w:rPr>
        <w:t xml:space="preserve">, </w:t>
      </w:r>
      <w:r w:rsidRPr="00946C53">
        <w:rPr>
          <w:rFonts w:ascii="Arial" w:hAnsi="Arial" w:cs="Arial"/>
          <w:i/>
        </w:rPr>
        <w:t>S100P</w:t>
      </w:r>
      <w:r w:rsidRPr="00946C53">
        <w:rPr>
          <w:rFonts w:ascii="Arial" w:hAnsi="Arial" w:cs="Arial"/>
        </w:rPr>
        <w:t xml:space="preserve">) in HPr1AR cells. </w:t>
      </w:r>
      <w:r w:rsidR="000624A8">
        <w:rPr>
          <w:rFonts w:ascii="Arial" w:hAnsi="Arial" w:cs="Arial"/>
        </w:rPr>
        <w:t>(</w:t>
      </w:r>
      <w:r w:rsidR="000624A8" w:rsidRPr="000624A8">
        <w:rPr>
          <w:rFonts w:ascii="Arial" w:hAnsi="Arial" w:cs="Arial"/>
          <w:b/>
        </w:rPr>
        <w:t>E</w:t>
      </w:r>
      <w:r w:rsidR="000624A8">
        <w:rPr>
          <w:rFonts w:ascii="Arial" w:hAnsi="Arial" w:cs="Arial"/>
        </w:rPr>
        <w:t xml:space="preserve">) Expression of </w:t>
      </w:r>
      <w:r w:rsidR="000624A8" w:rsidRPr="000624A8">
        <w:rPr>
          <w:rFonts w:ascii="Arial" w:hAnsi="Arial" w:cs="Arial"/>
          <w:i/>
        </w:rPr>
        <w:t>RARG</w:t>
      </w:r>
      <w:r w:rsidR="000624A8">
        <w:rPr>
          <w:rFonts w:ascii="Arial" w:hAnsi="Arial" w:cs="Arial"/>
        </w:rPr>
        <w:t xml:space="preserve">, </w:t>
      </w:r>
      <w:r w:rsidR="000624A8" w:rsidRPr="000624A8">
        <w:rPr>
          <w:rFonts w:ascii="Arial" w:hAnsi="Arial" w:cs="Arial"/>
          <w:i/>
        </w:rPr>
        <w:t>RARA</w:t>
      </w:r>
      <w:r w:rsidR="000624A8">
        <w:rPr>
          <w:rFonts w:ascii="Arial" w:hAnsi="Arial" w:cs="Arial"/>
        </w:rPr>
        <w:t xml:space="preserve">, </w:t>
      </w:r>
      <w:r w:rsidR="000624A8" w:rsidRPr="000624A8">
        <w:rPr>
          <w:rFonts w:ascii="Arial" w:hAnsi="Arial" w:cs="Arial"/>
          <w:i/>
        </w:rPr>
        <w:t>RARB</w:t>
      </w:r>
      <w:r w:rsidR="000624A8">
        <w:rPr>
          <w:rFonts w:ascii="Arial" w:hAnsi="Arial" w:cs="Arial"/>
        </w:rPr>
        <w:t xml:space="preserve"> in RNA-</w:t>
      </w:r>
      <w:proofErr w:type="spellStart"/>
      <w:r w:rsidR="000624A8">
        <w:rPr>
          <w:rFonts w:ascii="Arial" w:hAnsi="Arial" w:cs="Arial"/>
        </w:rPr>
        <w:t>Seq</w:t>
      </w:r>
      <w:proofErr w:type="spellEnd"/>
      <w:r w:rsidR="000624A8">
        <w:rPr>
          <w:rFonts w:ascii="Arial" w:hAnsi="Arial" w:cs="Arial"/>
        </w:rPr>
        <w:t xml:space="preserve"> data from HPr1-AR cells.</w:t>
      </w:r>
    </w:p>
    <w:p w14:paraId="27B80206" w14:textId="1C792F87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 xml:space="preserve">Supplementary Figure </w:t>
      </w:r>
      <w:r w:rsidR="000624A8">
        <w:rPr>
          <w:rFonts w:ascii="Arial" w:hAnsi="Arial" w:cs="Arial"/>
          <w:b/>
        </w:rPr>
        <w:t>6</w:t>
      </w:r>
      <w:r w:rsidRPr="00946C53">
        <w:rPr>
          <w:rFonts w:ascii="Arial" w:hAnsi="Arial" w:cs="Arial"/>
          <w:b/>
        </w:rPr>
        <w:t xml:space="preserve">: </w:t>
      </w:r>
      <w:r w:rsidRPr="00946C53">
        <w:rPr>
          <w:rFonts w:ascii="Arial" w:hAnsi="Arial" w:cs="Arial"/>
        </w:rPr>
        <w:t>(</w:t>
      </w:r>
      <w:r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>) Principal component analysis depicting relationships amongst samples profiled by RNA-</w:t>
      </w:r>
      <w:proofErr w:type="spellStart"/>
      <w:r w:rsidRPr="00946C53">
        <w:rPr>
          <w:rFonts w:ascii="Arial" w:hAnsi="Arial" w:cs="Arial"/>
        </w:rPr>
        <w:t>seq</w:t>
      </w:r>
      <w:proofErr w:type="spellEnd"/>
      <w:r w:rsidRPr="00946C53">
        <w:rPr>
          <w:rFonts w:ascii="Arial" w:hAnsi="Arial" w:cs="Arial"/>
        </w:rPr>
        <w:t xml:space="preserve"> in HPr1</w:t>
      </w:r>
      <w:r w:rsidR="000624A8">
        <w:rPr>
          <w:rFonts w:ascii="Arial" w:hAnsi="Arial" w:cs="Arial"/>
        </w:rPr>
        <w:t>-</w:t>
      </w:r>
      <w:r w:rsidRPr="00946C53">
        <w:rPr>
          <w:rFonts w:ascii="Arial" w:hAnsi="Arial" w:cs="Arial"/>
        </w:rPr>
        <w:t>AR cells. (</w:t>
      </w:r>
      <w:r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 xml:space="preserve">) Volcano plot representing the identification of </w:t>
      </w:r>
      <w:r w:rsidR="000624A8" w:rsidRPr="000624A8">
        <w:rPr>
          <w:rFonts w:ascii="Arial" w:hAnsi="Arial" w:cs="Arial"/>
        </w:rPr>
        <w:t>RAR</w:t>
      </w:r>
      <w:r w:rsidR="000624A8" w:rsidRPr="000624A8">
        <w:rPr>
          <w:rFonts w:ascii="Symbol" w:hAnsi="Symbol" w:cs="Arial"/>
        </w:rPr>
        <w:t></w:t>
      </w:r>
      <w:r w:rsidRPr="00946C53">
        <w:rPr>
          <w:rFonts w:ascii="Arial" w:hAnsi="Arial" w:cs="Arial"/>
        </w:rPr>
        <w:t xml:space="preserve"> dependent DHT induced (96hr) gene expression changes in HPr1</w:t>
      </w:r>
      <w:r w:rsidR="000624A8">
        <w:rPr>
          <w:rFonts w:ascii="Arial" w:hAnsi="Arial" w:cs="Arial"/>
        </w:rPr>
        <w:t>-</w:t>
      </w:r>
      <w:r w:rsidRPr="00946C53">
        <w:rPr>
          <w:rFonts w:ascii="Arial" w:hAnsi="Arial" w:cs="Arial"/>
        </w:rPr>
        <w:t>AR cells. (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) Corresponding </w:t>
      </w:r>
      <w:r w:rsidR="000624A8">
        <w:rPr>
          <w:rFonts w:ascii="Arial" w:hAnsi="Arial" w:cs="Arial"/>
        </w:rPr>
        <w:t>V</w:t>
      </w:r>
      <w:r>
        <w:rPr>
          <w:rFonts w:ascii="Arial" w:hAnsi="Arial" w:cs="Arial"/>
        </w:rPr>
        <w:t>enn diagram. (</w:t>
      </w:r>
      <w:r w:rsidRPr="00F339EE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) Genomic locus including MYC TSS, depicting an upstream enhancer region with </w:t>
      </w:r>
      <w:proofErr w:type="spellStart"/>
      <w:r>
        <w:rPr>
          <w:rFonts w:ascii="Arial" w:hAnsi="Arial" w:cs="Arial"/>
        </w:rPr>
        <w:t>RAR</w:t>
      </w:r>
      <w:r w:rsidRPr="00946C53">
        <w:rPr>
          <w:rFonts w:ascii="Arial" w:hAnsi="Arial" w:cs="Arial"/>
        </w:rPr>
        <w:t>γ</w:t>
      </w:r>
      <w:proofErr w:type="spellEnd"/>
      <w:r>
        <w:rPr>
          <w:rFonts w:ascii="Arial" w:hAnsi="Arial" w:cs="Arial"/>
        </w:rPr>
        <w:t xml:space="preserve"> binding.</w:t>
      </w:r>
    </w:p>
    <w:p w14:paraId="5932754C" w14:textId="418E2B96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 xml:space="preserve">Supplementary Figure </w:t>
      </w:r>
      <w:r w:rsidR="000624A8">
        <w:rPr>
          <w:rFonts w:ascii="Arial" w:hAnsi="Arial" w:cs="Arial"/>
          <w:b/>
        </w:rPr>
        <w:t>7</w:t>
      </w:r>
      <w:r w:rsidRPr="00946C53">
        <w:rPr>
          <w:rFonts w:ascii="Arial" w:hAnsi="Arial" w:cs="Arial"/>
          <w:b/>
        </w:rPr>
        <w:t xml:space="preserve">: </w:t>
      </w:r>
      <w:r w:rsidRPr="00946C53">
        <w:rPr>
          <w:rFonts w:ascii="Arial" w:hAnsi="Arial" w:cs="Arial"/>
        </w:rPr>
        <w:t xml:space="preserve">Matching normal tissue relative DNA methylation changes in tumors from the TCGA-PRAD cohort. Each data point represents the average relative change in methylation for a given CpG site. The genomic loci for </w:t>
      </w:r>
      <w:r w:rsidRPr="000624A8">
        <w:rPr>
          <w:rFonts w:ascii="Arial" w:hAnsi="Arial" w:cs="Arial"/>
          <w:i/>
        </w:rPr>
        <w:t>RARG</w:t>
      </w:r>
      <w:r w:rsidRPr="00946C53">
        <w:rPr>
          <w:rFonts w:ascii="Arial" w:hAnsi="Arial" w:cs="Arial"/>
        </w:rPr>
        <w:t xml:space="preserve"> (top), </w:t>
      </w:r>
      <w:r w:rsidRPr="000624A8">
        <w:rPr>
          <w:rFonts w:ascii="Arial" w:hAnsi="Arial" w:cs="Arial"/>
          <w:i/>
        </w:rPr>
        <w:t>RARA</w:t>
      </w:r>
      <w:r w:rsidRPr="00946C53">
        <w:rPr>
          <w:rFonts w:ascii="Arial" w:hAnsi="Arial" w:cs="Arial"/>
        </w:rPr>
        <w:t xml:space="preserve"> (middle) and </w:t>
      </w:r>
      <w:r w:rsidRPr="000624A8">
        <w:rPr>
          <w:rFonts w:ascii="Arial" w:hAnsi="Arial" w:cs="Arial"/>
          <w:i/>
        </w:rPr>
        <w:t>RARB</w:t>
      </w:r>
      <w:r w:rsidRPr="00946C53">
        <w:rPr>
          <w:rFonts w:ascii="Arial" w:hAnsi="Arial" w:cs="Arial"/>
        </w:rPr>
        <w:t xml:space="preserve"> (bottom) are shown. CpG islands are delineated in purple. The genomic distance (</w:t>
      </w:r>
      <w:proofErr w:type="spellStart"/>
      <w:r w:rsidRPr="00946C53">
        <w:rPr>
          <w:rFonts w:ascii="Arial" w:hAnsi="Arial" w:cs="Arial"/>
        </w:rPr>
        <w:t>bp</w:t>
      </w:r>
      <w:proofErr w:type="spellEnd"/>
      <w:r w:rsidRPr="00946C53">
        <w:rPr>
          <w:rFonts w:ascii="Arial" w:hAnsi="Arial" w:cs="Arial"/>
        </w:rPr>
        <w:t>) and direction are indicated for each loci.</w:t>
      </w:r>
    </w:p>
    <w:p w14:paraId="7FCACBA2" w14:textId="4D0160F1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 xml:space="preserve">Supplementary Figure </w:t>
      </w:r>
      <w:r w:rsidR="000624A8">
        <w:rPr>
          <w:rFonts w:ascii="Arial" w:hAnsi="Arial" w:cs="Arial"/>
          <w:b/>
        </w:rPr>
        <w:t>8</w:t>
      </w:r>
      <w:r w:rsidRPr="00946C53">
        <w:rPr>
          <w:rFonts w:ascii="Arial" w:hAnsi="Arial" w:cs="Arial"/>
          <w:b/>
        </w:rPr>
        <w:t xml:space="preserve">: </w:t>
      </w:r>
      <w:r w:rsidRPr="00946C53">
        <w:rPr>
          <w:rFonts w:ascii="Arial" w:hAnsi="Arial" w:cs="Arial"/>
        </w:rPr>
        <w:t>(</w:t>
      </w:r>
      <w:r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 xml:space="preserve">): Putative NR targeting miRNA, identified via </w:t>
      </w:r>
      <w:proofErr w:type="spellStart"/>
      <w:r w:rsidRPr="00946C53">
        <w:rPr>
          <w:rFonts w:ascii="Arial" w:hAnsi="Arial" w:cs="Arial"/>
        </w:rPr>
        <w:t>miRWalk</w:t>
      </w:r>
      <w:proofErr w:type="spellEnd"/>
      <w:r w:rsidRPr="00946C53">
        <w:rPr>
          <w:rFonts w:ascii="Arial" w:hAnsi="Arial" w:cs="Arial"/>
        </w:rPr>
        <w:t>, were compiled and normal tissue relative expression alterations determined in both TCGA-PRAD and MSKCC cohorts. (</w:t>
      </w:r>
      <w:r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 xml:space="preserve">): Bootstrapping analysis comparing expression alterations associated with putative NR targeting miRNA relative to all expressed miRNA in the </w:t>
      </w:r>
      <w:r w:rsidR="000624A8" w:rsidRPr="00946C53">
        <w:rPr>
          <w:rFonts w:ascii="Arial" w:hAnsi="Arial" w:cs="Arial"/>
        </w:rPr>
        <w:t xml:space="preserve">TCGA-PRAD </w:t>
      </w:r>
      <w:r w:rsidRPr="00946C53">
        <w:rPr>
          <w:rFonts w:ascii="Arial" w:hAnsi="Arial" w:cs="Arial"/>
        </w:rPr>
        <w:t>cohort.</w:t>
      </w:r>
    </w:p>
    <w:p w14:paraId="21F2FCB1" w14:textId="39E26F8E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 xml:space="preserve">Supplementary </w:t>
      </w:r>
      <w:r w:rsidR="000624A8">
        <w:rPr>
          <w:rFonts w:ascii="Arial" w:hAnsi="Arial" w:cs="Arial"/>
          <w:b/>
        </w:rPr>
        <w:t>Figure 9</w:t>
      </w:r>
      <w:r w:rsidRPr="00946C53">
        <w:rPr>
          <w:rFonts w:ascii="Arial" w:hAnsi="Arial" w:cs="Arial"/>
          <w:b/>
        </w:rPr>
        <w:t xml:space="preserve">: </w:t>
      </w:r>
      <w:r w:rsidRPr="00946C53">
        <w:rPr>
          <w:rFonts w:ascii="Arial" w:hAnsi="Arial" w:cs="Arial"/>
        </w:rPr>
        <w:t>(</w:t>
      </w:r>
      <w:r w:rsidRPr="00946C53"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 xml:space="preserve">) Venn diagram comparing the number of predicted targets of members of the miR-96-182-183 cluster as determined by </w:t>
      </w:r>
      <w:proofErr w:type="spellStart"/>
      <w:r w:rsidRPr="00946C53">
        <w:rPr>
          <w:rFonts w:ascii="Arial" w:hAnsi="Arial" w:cs="Arial"/>
        </w:rPr>
        <w:t>miRWalk</w:t>
      </w:r>
      <w:proofErr w:type="spellEnd"/>
      <w:r w:rsidRPr="00946C53">
        <w:rPr>
          <w:rFonts w:ascii="Arial" w:hAnsi="Arial" w:cs="Arial"/>
        </w:rPr>
        <w:t>. (</w:t>
      </w:r>
      <w:r w:rsidRPr="00946C53"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 xml:space="preserve">) Diagram depicting the </w:t>
      </w:r>
      <w:r w:rsidRPr="00946C53">
        <w:rPr>
          <w:rFonts w:ascii="Arial" w:hAnsi="Arial" w:cs="Arial"/>
          <w:i/>
        </w:rPr>
        <w:t>RARG</w:t>
      </w:r>
      <w:r w:rsidRPr="00946C53">
        <w:rPr>
          <w:rFonts w:ascii="Arial" w:hAnsi="Arial" w:cs="Arial"/>
        </w:rPr>
        <w:t xml:space="preserve"> transcript and putative miR-96 target sites within the 3’UTR.</w:t>
      </w:r>
    </w:p>
    <w:p w14:paraId="01D4C914" w14:textId="132FFD41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>Supplementary Figure 1</w:t>
      </w:r>
      <w:r w:rsidR="000624A8">
        <w:rPr>
          <w:rFonts w:ascii="Arial" w:hAnsi="Arial" w:cs="Arial"/>
          <w:b/>
        </w:rPr>
        <w:t>0</w:t>
      </w:r>
      <w:r w:rsidRPr="00946C53">
        <w:rPr>
          <w:rFonts w:ascii="Arial" w:hAnsi="Arial" w:cs="Arial"/>
          <w:b/>
        </w:rPr>
        <w:t xml:space="preserve">: </w:t>
      </w:r>
      <w:r w:rsidRPr="00946C53">
        <w:rPr>
          <w:rFonts w:ascii="Arial" w:hAnsi="Arial" w:cs="Arial"/>
        </w:rPr>
        <w:t>(</w:t>
      </w:r>
      <w:r w:rsidRPr="00946C53"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 xml:space="preserve">) </w:t>
      </w:r>
      <w:r w:rsidR="000624A8">
        <w:rPr>
          <w:rFonts w:ascii="Arial" w:hAnsi="Arial" w:cs="Arial"/>
        </w:rPr>
        <w:t>P</w:t>
      </w:r>
      <w:r w:rsidRPr="00946C53">
        <w:rPr>
          <w:rFonts w:ascii="Arial" w:hAnsi="Arial" w:cs="Arial"/>
        </w:rPr>
        <w:t xml:space="preserve">rostate tissue was obtained from Hi-MYC, PTEN-/- and TRAMP mice and </w:t>
      </w:r>
      <w:proofErr w:type="spellStart"/>
      <w:r w:rsidRPr="00946C53">
        <w:rPr>
          <w:rFonts w:ascii="Arial" w:hAnsi="Arial" w:cs="Arial"/>
        </w:rPr>
        <w:t>Rarg</w:t>
      </w:r>
      <w:proofErr w:type="spellEnd"/>
      <w:r w:rsidRPr="00946C53">
        <w:rPr>
          <w:rFonts w:ascii="Arial" w:hAnsi="Arial" w:cs="Arial"/>
        </w:rPr>
        <w:t xml:space="preserve"> expression determined by RT-qPCR. Significant expression changes are indicated relative to wild type (WT) FVB:BL6 mice (p &lt; 0.05).</w:t>
      </w:r>
      <w:r>
        <w:rPr>
          <w:rFonts w:ascii="Arial" w:hAnsi="Arial" w:cs="Arial"/>
        </w:rPr>
        <w:t xml:space="preserve"> </w:t>
      </w:r>
      <w:r w:rsidRPr="00946C53">
        <w:rPr>
          <w:rFonts w:ascii="Arial" w:hAnsi="Arial" w:cs="Arial"/>
        </w:rPr>
        <w:t>(</w:t>
      </w:r>
      <w:r w:rsidRPr="00946C53"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46C53">
        <w:rPr>
          <w:rFonts w:ascii="Arial" w:hAnsi="Arial" w:cs="Arial"/>
        </w:rPr>
        <w:t xml:space="preserve">Correlation analyses of </w:t>
      </w:r>
      <w:r w:rsidRPr="00946C53">
        <w:rPr>
          <w:rFonts w:ascii="Arial" w:hAnsi="Arial" w:cs="Arial"/>
          <w:i/>
        </w:rPr>
        <w:t>RARG</w:t>
      </w:r>
      <w:r w:rsidRPr="00946C53">
        <w:rPr>
          <w:rFonts w:ascii="Arial" w:hAnsi="Arial" w:cs="Arial"/>
        </w:rPr>
        <w:t xml:space="preserve"> with miR-</w:t>
      </w:r>
      <w:r>
        <w:rPr>
          <w:rFonts w:ascii="Arial" w:hAnsi="Arial" w:cs="Arial"/>
        </w:rPr>
        <w:t>182 and miR-183</w:t>
      </w:r>
      <w:r w:rsidRPr="00946C53">
        <w:rPr>
          <w:rFonts w:ascii="Arial" w:hAnsi="Arial" w:cs="Arial"/>
        </w:rPr>
        <w:t xml:space="preserve"> over the course of palpable tumor (PT) development in TRAMP. Time points </w:t>
      </w:r>
      <w:r w:rsidRPr="00946C53">
        <w:rPr>
          <w:rFonts w:ascii="Arial" w:hAnsi="Arial" w:cs="Arial"/>
        </w:rPr>
        <w:lastRenderedPageBreak/>
        <w:t>are denoted by color. Pearson’s correlation coefficients are indicated for each comparison, as well as the significance of correlations.</w:t>
      </w:r>
    </w:p>
    <w:p w14:paraId="5B32AF46" w14:textId="0A313BAE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46C53">
        <w:rPr>
          <w:rFonts w:ascii="Arial" w:hAnsi="Arial" w:cs="Arial"/>
          <w:b/>
        </w:rPr>
        <w:t>Supplementary Figure 1</w:t>
      </w:r>
      <w:r w:rsidR="000624A8">
        <w:rPr>
          <w:rFonts w:ascii="Arial" w:hAnsi="Arial" w:cs="Arial"/>
          <w:b/>
        </w:rPr>
        <w:t>1</w:t>
      </w:r>
      <w:r w:rsidRPr="00946C53">
        <w:rPr>
          <w:rFonts w:ascii="Arial" w:hAnsi="Arial" w:cs="Arial"/>
          <w:b/>
        </w:rPr>
        <w:t xml:space="preserve">: </w:t>
      </w:r>
      <w:r w:rsidRPr="00946C53">
        <w:rPr>
          <w:rFonts w:ascii="Arial" w:hAnsi="Arial" w:cs="Arial"/>
        </w:rPr>
        <w:t>(</w:t>
      </w:r>
      <w:r w:rsidRPr="00946C53"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>) Summary of expression changes observed within an independent cohort of 36 matched tumor/normal prostate samples (</w:t>
      </w:r>
      <w:r w:rsidR="000624A8">
        <w:rPr>
          <w:rFonts w:ascii="Arial" w:hAnsi="Arial" w:cs="Arial"/>
        </w:rPr>
        <w:t>RPCCC</w:t>
      </w:r>
      <w:r w:rsidRPr="00946C53">
        <w:rPr>
          <w:rFonts w:ascii="Arial" w:hAnsi="Arial" w:cs="Arial"/>
        </w:rPr>
        <w:t>) in relation to matching tumor/normal pairs from the TCGA-PRAD and MSKCC cohorts. Significance of expression changes in each case was determined via one sample t test. (</w:t>
      </w:r>
      <w:r w:rsidRPr="00946C53"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 xml:space="preserve">) Profile of expression changes in each tumor/matching normal pair relative to the Gleason sum for that patient in the </w:t>
      </w:r>
      <w:r w:rsidR="000624A8">
        <w:rPr>
          <w:rFonts w:ascii="Arial" w:hAnsi="Arial" w:cs="Arial"/>
        </w:rPr>
        <w:t>RPCCC</w:t>
      </w:r>
      <w:r w:rsidR="000624A8" w:rsidRPr="00946C53">
        <w:rPr>
          <w:rFonts w:ascii="Arial" w:hAnsi="Arial" w:cs="Arial"/>
        </w:rPr>
        <w:t xml:space="preserve"> </w:t>
      </w:r>
      <w:r w:rsidRPr="00946C53">
        <w:rPr>
          <w:rFonts w:ascii="Arial" w:hAnsi="Arial" w:cs="Arial"/>
        </w:rPr>
        <w:t>cohort.</w:t>
      </w:r>
      <w:r>
        <w:rPr>
          <w:rFonts w:ascii="Arial" w:hAnsi="Arial" w:cs="Arial"/>
        </w:rPr>
        <w:t xml:space="preserve"> (</w:t>
      </w:r>
      <w:r w:rsidRPr="0047763E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) </w:t>
      </w:r>
      <w:r w:rsidRPr="00946C53">
        <w:rPr>
          <w:rFonts w:ascii="Arial" w:hAnsi="Arial" w:cs="Arial"/>
        </w:rPr>
        <w:t>miR-96 expression significantly increases with increasing Gleason sum and clinical stage</w:t>
      </w:r>
      <w:r>
        <w:rPr>
          <w:rFonts w:ascii="Arial" w:hAnsi="Arial" w:cs="Arial"/>
        </w:rPr>
        <w:t xml:space="preserve"> </w:t>
      </w:r>
      <w:r w:rsidRPr="00946C53">
        <w:rPr>
          <w:rFonts w:ascii="Arial" w:hAnsi="Arial" w:cs="Arial"/>
        </w:rPr>
        <w:t>within the TCGA-PRAD cohort.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) </w:t>
      </w:r>
      <w:r w:rsidRPr="00946C53">
        <w:rPr>
          <w:rFonts w:ascii="Arial" w:hAnsi="Arial" w:cs="Arial"/>
        </w:rPr>
        <w:t>Kaplan-</w:t>
      </w:r>
      <w:r w:rsidR="000624A8" w:rsidRPr="00946C53">
        <w:rPr>
          <w:rFonts w:ascii="Arial" w:hAnsi="Arial" w:cs="Arial"/>
        </w:rPr>
        <w:t>Meier</w:t>
      </w:r>
      <w:r w:rsidRPr="00946C53">
        <w:rPr>
          <w:rFonts w:ascii="Arial" w:hAnsi="Arial" w:cs="Arial"/>
        </w:rPr>
        <w:t xml:space="preserve"> curves depicting the significantly reduced time to 5 year biochemical recurrence post radical prostatectomy in men with elevated miR-96 expression.</w:t>
      </w:r>
    </w:p>
    <w:p w14:paraId="427AF450" w14:textId="186FCBC2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>Supplementary Figure 1</w:t>
      </w:r>
      <w:r w:rsidR="000624A8">
        <w:rPr>
          <w:rFonts w:ascii="Arial" w:hAnsi="Arial" w:cs="Arial"/>
          <w:b/>
        </w:rPr>
        <w:t>2</w:t>
      </w:r>
      <w:r w:rsidRPr="00946C53">
        <w:rPr>
          <w:rFonts w:ascii="Arial" w:hAnsi="Arial" w:cs="Arial"/>
          <w:b/>
        </w:rPr>
        <w:t>:</w:t>
      </w:r>
      <w:r w:rsidRPr="00946C53">
        <w:rPr>
          <w:rFonts w:ascii="Arial" w:hAnsi="Arial" w:cs="Arial"/>
        </w:rPr>
        <w:t xml:space="preserve"> (</w:t>
      </w:r>
      <w:r w:rsidRPr="00946C53"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>) Validation of elevated miR-96 levels in RWPE1 cells and in (</w:t>
      </w:r>
      <w:r w:rsidRPr="00946C53"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>) LNCaP cells after 48 hour transfection with miR-96 mimics. (</w:t>
      </w:r>
      <w:r w:rsidRPr="00946C53">
        <w:rPr>
          <w:rFonts w:ascii="Arial" w:hAnsi="Arial" w:cs="Arial"/>
          <w:b/>
        </w:rPr>
        <w:t>C</w:t>
      </w:r>
      <w:r w:rsidRPr="00946C53">
        <w:rPr>
          <w:rFonts w:ascii="Arial" w:hAnsi="Arial" w:cs="Arial"/>
        </w:rPr>
        <w:t xml:space="preserve">) </w:t>
      </w:r>
      <w:r w:rsidRPr="007900FA">
        <w:rPr>
          <w:rFonts w:ascii="Arial" w:hAnsi="Arial" w:cs="Arial"/>
          <w:i/>
        </w:rPr>
        <w:t>RARG</w:t>
      </w:r>
      <w:r w:rsidRPr="00946C53">
        <w:rPr>
          <w:rFonts w:ascii="Arial" w:hAnsi="Arial" w:cs="Arial"/>
        </w:rPr>
        <w:t xml:space="preserve"> mRNA expression (left panel) and </w:t>
      </w:r>
      <w:proofErr w:type="spellStart"/>
      <w:r w:rsidRPr="00946C53">
        <w:rPr>
          <w:rFonts w:ascii="Arial" w:hAnsi="Arial" w:cs="Arial"/>
        </w:rPr>
        <w:t>RARγ</w:t>
      </w:r>
      <w:proofErr w:type="spellEnd"/>
      <w:r w:rsidRPr="00946C53">
        <w:rPr>
          <w:rFonts w:ascii="Arial" w:hAnsi="Arial" w:cs="Arial"/>
        </w:rPr>
        <w:t xml:space="preserve"> protein expression (right panels) in LNCaP cells after 48 hour transfections with miR-96 mimics or siRNA targeting RARG.</w:t>
      </w:r>
    </w:p>
    <w:p w14:paraId="01FB706A" w14:textId="5BF362C8" w:rsidR="00171609" w:rsidRPr="00946C53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>Supplementary Figure 1</w:t>
      </w:r>
      <w:r w:rsidR="000624A8">
        <w:rPr>
          <w:rFonts w:ascii="Arial" w:hAnsi="Arial" w:cs="Arial"/>
          <w:b/>
        </w:rPr>
        <w:t>3</w:t>
      </w:r>
      <w:r w:rsidRPr="00946C53">
        <w:rPr>
          <w:rFonts w:ascii="Arial" w:hAnsi="Arial" w:cs="Arial"/>
          <w:b/>
        </w:rPr>
        <w:t xml:space="preserve">: </w:t>
      </w:r>
      <w:r w:rsidRPr="00946C53">
        <w:rPr>
          <w:rFonts w:ascii="Arial" w:hAnsi="Arial" w:cs="Arial"/>
        </w:rPr>
        <w:t>Cell cycle distributions were assess in RWPE-1 (left) and LNCaP (right) cells 48 hours post-transfection with miR-96 or non-targeting control mimics. Significant differences in miR-96 mimic transfected cells relative to control cells is indicated (p &lt; 0.05).</w:t>
      </w:r>
    </w:p>
    <w:p w14:paraId="261453B3" w14:textId="258F9B66" w:rsidR="00171609" w:rsidRPr="007900FA" w:rsidRDefault="00171609" w:rsidP="00171609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946C53">
        <w:rPr>
          <w:rFonts w:ascii="Arial" w:hAnsi="Arial" w:cs="Arial"/>
          <w:b/>
          <w:bCs/>
        </w:rPr>
        <w:t>Supplementary Figure 1</w:t>
      </w:r>
      <w:r w:rsidR="000624A8">
        <w:rPr>
          <w:rFonts w:ascii="Arial" w:hAnsi="Arial" w:cs="Arial"/>
          <w:b/>
          <w:bCs/>
        </w:rPr>
        <w:t>4</w:t>
      </w:r>
      <w:r w:rsidRPr="00946C53">
        <w:rPr>
          <w:rFonts w:ascii="Arial" w:hAnsi="Arial" w:cs="Arial"/>
          <w:b/>
          <w:bCs/>
        </w:rPr>
        <w:t xml:space="preserve">: </w:t>
      </w:r>
      <w:r w:rsidRPr="00946C53">
        <w:rPr>
          <w:rFonts w:ascii="Arial" w:hAnsi="Arial" w:cs="Arial"/>
          <w:bCs/>
        </w:rPr>
        <w:t>(</w:t>
      </w:r>
      <w:r w:rsidRPr="00946C53">
        <w:rPr>
          <w:rFonts w:ascii="Arial" w:hAnsi="Arial" w:cs="Arial"/>
          <w:b/>
          <w:bCs/>
        </w:rPr>
        <w:t>A</w:t>
      </w:r>
      <w:r w:rsidRPr="00946C53">
        <w:rPr>
          <w:rFonts w:ascii="Arial" w:hAnsi="Arial" w:cs="Arial"/>
          <w:bCs/>
        </w:rPr>
        <w:t>): biotin labelled miR-96 is detectable at elevated levels relative to biotin labelled miRNA control by miRNA specific RT-qPCR after 24 hours of transfection in RWPE1 cells. (</w:t>
      </w:r>
      <w:r w:rsidRPr="00946C53">
        <w:rPr>
          <w:rFonts w:ascii="Arial" w:hAnsi="Arial" w:cs="Arial"/>
          <w:b/>
          <w:bCs/>
        </w:rPr>
        <w:t>B</w:t>
      </w:r>
      <w:r w:rsidRPr="00946C53">
        <w:rPr>
          <w:rFonts w:ascii="Arial" w:hAnsi="Arial" w:cs="Arial"/>
          <w:bCs/>
        </w:rPr>
        <w:t xml:space="preserve">): bi-miR-96 transfection results in loss of </w:t>
      </w:r>
      <w:proofErr w:type="spellStart"/>
      <w:r w:rsidRPr="00946C53">
        <w:rPr>
          <w:rFonts w:ascii="Arial" w:hAnsi="Arial" w:cs="Arial"/>
          <w:bCs/>
        </w:rPr>
        <w:t>RARγ</w:t>
      </w:r>
      <w:proofErr w:type="spellEnd"/>
      <w:r w:rsidRPr="00946C53">
        <w:rPr>
          <w:rFonts w:ascii="Arial" w:hAnsi="Arial" w:cs="Arial"/>
          <w:bCs/>
        </w:rPr>
        <w:t xml:space="preserve"> expression in RWPE1 cells. (</w:t>
      </w:r>
      <w:r w:rsidRPr="00946C53">
        <w:rPr>
          <w:rFonts w:ascii="Arial" w:hAnsi="Arial" w:cs="Arial"/>
          <w:b/>
          <w:bCs/>
        </w:rPr>
        <w:t>C</w:t>
      </w:r>
      <w:r w:rsidRPr="00946C53">
        <w:rPr>
          <w:rFonts w:ascii="Arial" w:hAnsi="Arial" w:cs="Arial"/>
          <w:bCs/>
        </w:rPr>
        <w:t>) Enrichment of known (</w:t>
      </w:r>
      <w:r w:rsidRPr="00946C53">
        <w:rPr>
          <w:rFonts w:ascii="Arial" w:hAnsi="Arial" w:cs="Arial"/>
          <w:bCs/>
          <w:i/>
        </w:rPr>
        <w:t>RARG</w:t>
      </w:r>
      <w:r w:rsidRPr="00946C53">
        <w:rPr>
          <w:rFonts w:ascii="Arial" w:hAnsi="Arial" w:cs="Arial"/>
          <w:bCs/>
        </w:rPr>
        <w:t xml:space="preserve">, </w:t>
      </w:r>
      <w:r w:rsidRPr="00946C53">
        <w:rPr>
          <w:rFonts w:ascii="Arial" w:hAnsi="Arial" w:cs="Arial"/>
          <w:bCs/>
          <w:i/>
        </w:rPr>
        <w:t>FOXO1</w:t>
      </w:r>
      <w:r w:rsidRPr="00946C53">
        <w:rPr>
          <w:rFonts w:ascii="Arial" w:hAnsi="Arial" w:cs="Arial"/>
          <w:bCs/>
        </w:rPr>
        <w:t>) and highly predicted (</w:t>
      </w:r>
      <w:r w:rsidRPr="00946C53">
        <w:rPr>
          <w:rFonts w:ascii="Arial" w:hAnsi="Arial" w:cs="Arial"/>
          <w:bCs/>
          <w:i/>
        </w:rPr>
        <w:t>TBL1X</w:t>
      </w:r>
      <w:r w:rsidRPr="00946C53">
        <w:rPr>
          <w:rFonts w:ascii="Arial" w:hAnsi="Arial" w:cs="Arial"/>
          <w:bCs/>
        </w:rPr>
        <w:t xml:space="preserve">) candidate targets after bi-miR-96 pulldown followed by RT-qPCR in RWPE1 cells. </w:t>
      </w:r>
      <w:r>
        <w:rPr>
          <w:rFonts w:ascii="Arial" w:hAnsi="Arial" w:cs="Arial"/>
          <w:bCs/>
        </w:rPr>
        <w:t>(</w:t>
      </w:r>
      <w:r w:rsidRPr="007900F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Cs/>
        </w:rPr>
        <w:t xml:space="preserve">) Unsupervised hierarchical clustering of samples profiled for miR-96 target identification study. </w:t>
      </w:r>
      <w:r w:rsidRPr="00946C53">
        <w:rPr>
          <w:rFonts w:ascii="Arial" w:hAnsi="Arial" w:cs="Arial"/>
          <w:bCs/>
        </w:rPr>
        <w:t>(</w:t>
      </w:r>
      <w:r w:rsidRPr="00946C53">
        <w:rPr>
          <w:rFonts w:ascii="Arial" w:hAnsi="Arial" w:cs="Arial"/>
          <w:b/>
          <w:bCs/>
        </w:rPr>
        <w:t>E</w:t>
      </w:r>
      <w:r w:rsidRPr="00946C53">
        <w:rPr>
          <w:rFonts w:ascii="Arial" w:hAnsi="Arial" w:cs="Arial"/>
          <w:bCs/>
        </w:rPr>
        <w:t>)</w:t>
      </w:r>
      <w:r w:rsidRPr="00946C53">
        <w:rPr>
          <w:rFonts w:ascii="Arial" w:hAnsi="Arial" w:cs="Arial"/>
          <w:b/>
          <w:bCs/>
        </w:rPr>
        <w:t xml:space="preserve"> </w:t>
      </w:r>
      <w:r w:rsidRPr="00946C53">
        <w:rPr>
          <w:rFonts w:ascii="Arial" w:hAnsi="Arial" w:cs="Arial"/>
          <w:bCs/>
        </w:rPr>
        <w:t>Volcano plot depicting the enrichment of all genes in bi-miR-96 pulldown over input in RWPE</w:t>
      </w:r>
      <w:r w:rsidR="000624A8">
        <w:rPr>
          <w:rFonts w:ascii="Arial" w:hAnsi="Arial" w:cs="Arial"/>
          <w:bCs/>
        </w:rPr>
        <w:t>-</w:t>
      </w:r>
      <w:r w:rsidRPr="00946C53">
        <w:rPr>
          <w:rFonts w:ascii="Arial" w:hAnsi="Arial" w:cs="Arial"/>
          <w:bCs/>
        </w:rPr>
        <w:t>1 cells. Horizontal lines indicate an adjusted p-value = 0.05, and vertical lines indicate fold change of +/- 1.2, shown for reference. Genes marked in red (n = 111) were considered experimentally determined miR-96 direct targets, as they were significantly enriched in bi-miR-96 pulldown but not in bi-</w:t>
      </w:r>
      <w:proofErr w:type="spellStart"/>
      <w:r w:rsidRPr="00946C53">
        <w:rPr>
          <w:rFonts w:ascii="Arial" w:hAnsi="Arial" w:cs="Arial"/>
          <w:bCs/>
        </w:rPr>
        <w:t>miR</w:t>
      </w:r>
      <w:proofErr w:type="spellEnd"/>
      <w:r w:rsidRPr="00946C53">
        <w:rPr>
          <w:rFonts w:ascii="Arial" w:hAnsi="Arial" w:cs="Arial"/>
          <w:bCs/>
        </w:rPr>
        <w:t>-NC pulldown.</w:t>
      </w:r>
      <w:r>
        <w:rPr>
          <w:rFonts w:ascii="Arial" w:hAnsi="Arial" w:cs="Arial"/>
          <w:bCs/>
        </w:rPr>
        <w:t xml:space="preserve"> (</w:t>
      </w:r>
      <w:r w:rsidRPr="007900FA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Cs/>
        </w:rPr>
        <w:t xml:space="preserve">) </w:t>
      </w:r>
      <w:r w:rsidRPr="00946C53">
        <w:rPr>
          <w:rFonts w:ascii="Arial" w:hAnsi="Arial" w:cs="Arial"/>
        </w:rPr>
        <w:t>A panel of genes was selected to assess the technical validity of target enrichment determined by microarray in LNCaP cells</w:t>
      </w:r>
      <w:r>
        <w:rPr>
          <w:rFonts w:ascii="Arial" w:hAnsi="Arial" w:cs="Arial"/>
        </w:rPr>
        <w:t xml:space="preserve">. </w:t>
      </w:r>
      <w:r w:rsidRPr="00946C53">
        <w:rPr>
          <w:rFonts w:ascii="Arial" w:hAnsi="Arial" w:cs="Arial"/>
        </w:rPr>
        <w:t>Enrichment determined by microarray (left) is directly compared to enrichment determined by RT-qPCR (right). Statistically significant enrichment is indicated (p &lt; 0.05).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G</w:t>
      </w:r>
      <w:r>
        <w:rPr>
          <w:rFonts w:ascii="Arial" w:hAnsi="Arial" w:cs="Arial"/>
        </w:rPr>
        <w:t>) Western blot showing p27 (</w:t>
      </w:r>
      <w:r>
        <w:rPr>
          <w:rFonts w:ascii="Arial" w:hAnsi="Arial" w:cs="Arial"/>
          <w:i/>
        </w:rPr>
        <w:t>CDKN1B</w:t>
      </w:r>
      <w:r>
        <w:rPr>
          <w:rFonts w:ascii="Arial" w:hAnsi="Arial" w:cs="Arial"/>
        </w:rPr>
        <w:t xml:space="preserve">) knockdown in LNCaP cells transfected with miR-96 for 48 hr. Representative blot shown (upper) with quantitation of triplicate </w:t>
      </w:r>
      <w:r>
        <w:rPr>
          <w:rFonts w:ascii="Arial" w:hAnsi="Arial" w:cs="Arial"/>
        </w:rPr>
        <w:lastRenderedPageBreak/>
        <w:t xml:space="preserve">blots (lower). </w:t>
      </w:r>
      <w:r w:rsidRPr="00946C53">
        <w:rPr>
          <w:rFonts w:ascii="Arial" w:hAnsi="Arial" w:cs="Arial"/>
          <w:bCs/>
        </w:rPr>
        <w:t>(</w:t>
      </w:r>
      <w:r>
        <w:rPr>
          <w:rFonts w:ascii="Arial" w:hAnsi="Arial" w:cs="Arial"/>
          <w:b/>
          <w:bCs/>
        </w:rPr>
        <w:t>H</w:t>
      </w:r>
      <w:r w:rsidRPr="00946C53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Either</w:t>
      </w:r>
      <w:r w:rsidRPr="00946C53">
        <w:rPr>
          <w:rFonts w:ascii="Arial" w:hAnsi="Arial" w:cs="Arial"/>
          <w:bCs/>
        </w:rPr>
        <w:t xml:space="preserve"> bi-miR-96 </w:t>
      </w:r>
      <w:r>
        <w:rPr>
          <w:rFonts w:ascii="Arial" w:hAnsi="Arial" w:cs="Arial"/>
          <w:bCs/>
        </w:rPr>
        <w:t>or non-biotinylated miR-96 mimics, and respective control mimics, were transfected in RWPE</w:t>
      </w:r>
      <w:r w:rsidR="000624A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1 cells for 48 </w:t>
      </w:r>
      <w:proofErr w:type="spellStart"/>
      <w:r>
        <w:rPr>
          <w:rFonts w:ascii="Arial" w:hAnsi="Arial" w:cs="Arial"/>
          <w:bCs/>
        </w:rPr>
        <w:t>hr</w:t>
      </w:r>
      <w:proofErr w:type="spellEnd"/>
      <w:r>
        <w:rPr>
          <w:rFonts w:ascii="Arial" w:hAnsi="Arial" w:cs="Arial"/>
          <w:bCs/>
        </w:rPr>
        <w:t xml:space="preserve"> and target gene expression examined.</w:t>
      </w:r>
      <w:r w:rsidRPr="00946C53">
        <w:rPr>
          <w:rFonts w:ascii="Arial" w:hAnsi="Arial" w:cs="Arial"/>
          <w:bCs/>
        </w:rPr>
        <w:t xml:space="preserve"> </w:t>
      </w:r>
      <w:r w:rsidRPr="00946C53">
        <w:rPr>
          <w:rFonts w:ascii="Arial" w:hAnsi="Arial" w:cs="Arial"/>
          <w:bCs/>
          <w:i/>
        </w:rPr>
        <w:t xml:space="preserve">CDH1 </w:t>
      </w:r>
      <w:r w:rsidRPr="00946C53">
        <w:rPr>
          <w:rFonts w:ascii="Arial" w:hAnsi="Arial" w:cs="Arial"/>
          <w:bCs/>
        </w:rPr>
        <w:t>was assessed as a negative control, and specific targets were chosen either as they were either previously validated (</w:t>
      </w:r>
      <w:r w:rsidRPr="00946C53">
        <w:rPr>
          <w:rFonts w:ascii="Arial" w:hAnsi="Arial" w:cs="Arial"/>
          <w:bCs/>
          <w:i/>
        </w:rPr>
        <w:t>FOXO1</w:t>
      </w:r>
      <w:r w:rsidRPr="00946C53">
        <w:rPr>
          <w:rFonts w:ascii="Arial" w:hAnsi="Arial" w:cs="Arial"/>
          <w:bCs/>
        </w:rPr>
        <w:t xml:space="preserve">, </w:t>
      </w:r>
      <w:r w:rsidRPr="00946C53">
        <w:rPr>
          <w:rFonts w:ascii="Arial" w:hAnsi="Arial" w:cs="Arial"/>
          <w:bCs/>
          <w:i/>
        </w:rPr>
        <w:t>RARG</w:t>
      </w:r>
      <w:r w:rsidRPr="00946C53">
        <w:rPr>
          <w:rFonts w:ascii="Arial" w:hAnsi="Arial" w:cs="Arial"/>
          <w:bCs/>
        </w:rPr>
        <w:t>) were significantly enriched in bi-</w:t>
      </w:r>
      <w:proofErr w:type="spellStart"/>
      <w:r w:rsidRPr="00946C53">
        <w:rPr>
          <w:rFonts w:ascii="Arial" w:hAnsi="Arial" w:cs="Arial"/>
          <w:bCs/>
        </w:rPr>
        <w:t>miR</w:t>
      </w:r>
      <w:proofErr w:type="spellEnd"/>
      <w:r w:rsidRPr="00946C53">
        <w:rPr>
          <w:rFonts w:ascii="Arial" w:hAnsi="Arial" w:cs="Arial"/>
          <w:bCs/>
        </w:rPr>
        <w:t>-chip assay. Significance is noted (p &lt; 0.05), for comparisons of target transcripts in biotinylated-miR-96 (</w:t>
      </w:r>
      <w:r w:rsidRPr="00946C53">
        <w:rPr>
          <w:rFonts w:ascii="Arial" w:hAnsi="Arial" w:cs="Arial"/>
          <w:bCs/>
          <w:i/>
        </w:rPr>
        <w:t>#</w:t>
      </w:r>
      <w:r w:rsidRPr="00946C53">
        <w:rPr>
          <w:rFonts w:ascii="Arial" w:hAnsi="Arial" w:cs="Arial"/>
          <w:bCs/>
        </w:rPr>
        <w:t>) and non-biotinylated miR-96 (*) relative to respective controls.</w:t>
      </w:r>
    </w:p>
    <w:p w14:paraId="74DBAE8D" w14:textId="44019482" w:rsidR="00171609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>Supplementary Figure 1</w:t>
      </w:r>
      <w:r w:rsidR="000624A8">
        <w:rPr>
          <w:rFonts w:ascii="Arial" w:hAnsi="Arial" w:cs="Arial"/>
          <w:b/>
        </w:rPr>
        <w:t>5</w:t>
      </w:r>
      <w:r w:rsidRPr="00946C53">
        <w:rPr>
          <w:rFonts w:ascii="Arial" w:hAnsi="Arial" w:cs="Arial"/>
          <w:b/>
        </w:rPr>
        <w:t xml:space="preserve">: </w:t>
      </w:r>
      <w:r w:rsidRPr="00946C53">
        <w:rPr>
          <w:rFonts w:ascii="Arial" w:hAnsi="Arial" w:cs="Arial"/>
        </w:rPr>
        <w:t>(</w:t>
      </w:r>
      <w:r w:rsidRPr="00946C53">
        <w:rPr>
          <w:rFonts w:ascii="Arial" w:hAnsi="Arial" w:cs="Arial"/>
          <w:b/>
        </w:rPr>
        <w:t>A</w:t>
      </w:r>
      <w:r w:rsidRPr="00946C53">
        <w:rPr>
          <w:rFonts w:ascii="Arial" w:hAnsi="Arial" w:cs="Arial"/>
        </w:rPr>
        <w:t>)</w:t>
      </w:r>
      <w:r w:rsidRPr="00946C53">
        <w:rPr>
          <w:rFonts w:ascii="Arial" w:hAnsi="Arial" w:cs="Arial"/>
          <w:b/>
        </w:rPr>
        <w:t xml:space="preserve"> </w:t>
      </w:r>
      <w:r w:rsidRPr="00946C53">
        <w:rPr>
          <w:rFonts w:ascii="Arial" w:hAnsi="Arial" w:cs="Arial"/>
        </w:rPr>
        <w:t xml:space="preserve">Significant GO terms (adjusted p &lt; 0.05) identified by cross-referencing miR-96 targets with curated gene sets associated with biological processes using DAVID Bioinformatics Resource 6.7 (blue) and </w:t>
      </w:r>
      <w:proofErr w:type="spellStart"/>
      <w:r w:rsidRPr="00946C53">
        <w:rPr>
          <w:rFonts w:ascii="Arial" w:hAnsi="Arial" w:cs="Arial"/>
        </w:rPr>
        <w:t>topGO</w:t>
      </w:r>
      <w:proofErr w:type="spellEnd"/>
      <w:r w:rsidRPr="00946C53">
        <w:rPr>
          <w:rFonts w:ascii="Arial" w:hAnsi="Arial" w:cs="Arial"/>
        </w:rPr>
        <w:t xml:space="preserve"> (red). Gene sets with similar annotations were grouped together and visualized using </w:t>
      </w:r>
      <w:proofErr w:type="spellStart"/>
      <w:r w:rsidRPr="00946C53">
        <w:rPr>
          <w:rFonts w:ascii="Arial" w:hAnsi="Arial" w:cs="Arial"/>
        </w:rPr>
        <w:t>Cytoscape</w:t>
      </w:r>
      <w:proofErr w:type="spellEnd"/>
      <w:r w:rsidRPr="00946C53">
        <w:rPr>
          <w:rFonts w:ascii="Arial" w:hAnsi="Arial" w:cs="Arial"/>
        </w:rPr>
        <w:t xml:space="preserve"> 3.2.0. Annotations not fitting into hierarchical groupings are placed under ‘Biological Processes’. (</w:t>
      </w:r>
      <w:r w:rsidRPr="00946C53">
        <w:rPr>
          <w:rFonts w:ascii="Arial" w:hAnsi="Arial" w:cs="Arial"/>
          <w:b/>
        </w:rPr>
        <w:t>B</w:t>
      </w:r>
      <w:r w:rsidRPr="00946C53">
        <w:rPr>
          <w:rFonts w:ascii="Arial" w:hAnsi="Arial" w:cs="Arial"/>
        </w:rPr>
        <w:t>) Diagram depicting strategy for revealing clinically meaningful miR-96-target rela</w:t>
      </w:r>
      <w:bookmarkStart w:id="0" w:name="_GoBack"/>
      <w:bookmarkEnd w:id="0"/>
      <w:r w:rsidRPr="00946C53">
        <w:rPr>
          <w:rFonts w:ascii="Arial" w:hAnsi="Arial" w:cs="Arial"/>
        </w:rPr>
        <w:t>tionships from GO term gene sets. As an example, a total of 38 miR-96 targets were found within enriched cell cycle related GO-terms. Correlations between these 38 genes and miR-96 were calculated across TCGA-PRAD cohort samples, for instance as seen for TACC1. The top 5 most significant, negative correlations were profiled for miR-96 regulation by RT-qPCR. This approach was applied to genes associated with cell cycle as described (</w:t>
      </w:r>
      <w:r w:rsidRPr="00946C53">
        <w:rPr>
          <w:rFonts w:ascii="Arial" w:hAnsi="Arial" w:cs="Arial"/>
          <w:b/>
        </w:rPr>
        <w:t>C</w:t>
      </w:r>
      <w:r w:rsidRPr="00946C53">
        <w:rPr>
          <w:rFonts w:ascii="Arial" w:hAnsi="Arial" w:cs="Arial"/>
        </w:rPr>
        <w:t>), and also for genes with functional annotations associated with transcription factors (</w:t>
      </w:r>
      <w:r w:rsidRPr="00946C53">
        <w:rPr>
          <w:rFonts w:ascii="Arial" w:hAnsi="Arial" w:cs="Arial"/>
          <w:b/>
        </w:rPr>
        <w:t>D</w:t>
      </w:r>
      <w:r>
        <w:rPr>
          <w:rFonts w:ascii="Arial" w:hAnsi="Arial" w:cs="Arial"/>
        </w:rPr>
        <w:t>)</w:t>
      </w:r>
      <w:r w:rsidR="00FC02BD">
        <w:rPr>
          <w:rFonts w:ascii="Arial" w:hAnsi="Arial" w:cs="Arial"/>
        </w:rPr>
        <w:t xml:space="preserve">. </w:t>
      </w:r>
      <w:r w:rsidR="00FC02BD" w:rsidRPr="00946C53">
        <w:rPr>
          <w:rFonts w:ascii="Arial" w:hAnsi="Arial" w:cs="Arial"/>
          <w:bCs/>
        </w:rPr>
        <w:t>Significance is noted (p &lt; 0.05)</w:t>
      </w:r>
      <w:r>
        <w:rPr>
          <w:rFonts w:ascii="Arial" w:hAnsi="Arial" w:cs="Arial"/>
        </w:rPr>
        <w:t xml:space="preserve"> </w:t>
      </w:r>
    </w:p>
    <w:p w14:paraId="2AC454BB" w14:textId="2300DA23" w:rsidR="00171609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  <w:r w:rsidRPr="00946C53">
        <w:rPr>
          <w:rFonts w:ascii="Arial" w:hAnsi="Arial" w:cs="Arial"/>
          <w:b/>
        </w:rPr>
        <w:t>Supplementary Figure 1</w:t>
      </w:r>
      <w:r w:rsidR="000624A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: </w:t>
      </w:r>
      <w:r w:rsidR="0034186F">
        <w:rPr>
          <w:rFonts w:ascii="Arial" w:hAnsi="Arial" w:cs="Arial"/>
          <w:b/>
        </w:rPr>
        <w:t xml:space="preserve">A. </w:t>
      </w:r>
      <w:r w:rsidR="0034186F">
        <w:rPr>
          <w:rFonts w:ascii="Arial" w:hAnsi="Arial" w:cs="Arial"/>
        </w:rPr>
        <w:t xml:space="preserve">The </w:t>
      </w:r>
      <w:r w:rsidR="0034186F" w:rsidRPr="0034186F">
        <w:rPr>
          <w:rFonts w:ascii="Arial" w:hAnsi="Arial" w:cs="Arial"/>
        </w:rPr>
        <w:t>RAR</w:t>
      </w:r>
      <w:r w:rsidR="0034186F" w:rsidRPr="0034186F">
        <w:rPr>
          <w:rFonts w:ascii="Symbol" w:hAnsi="Symbol" w:cs="Arial"/>
        </w:rPr>
        <w:t></w:t>
      </w:r>
      <w:r w:rsidR="0034186F" w:rsidRPr="0034186F">
        <w:rPr>
          <w:rFonts w:ascii="Arial" w:hAnsi="Arial" w:cs="Arial"/>
        </w:rPr>
        <w:t xml:space="preserve"> </w:t>
      </w:r>
      <w:r w:rsidR="0034186F">
        <w:rPr>
          <w:rFonts w:ascii="Arial" w:hAnsi="Arial" w:cs="Arial"/>
        </w:rPr>
        <w:t xml:space="preserve"> and miR-96 data sets generated in the current study were overlapped with each other using </w:t>
      </w:r>
      <w:r w:rsidR="0034186F" w:rsidRPr="0034186F">
        <w:rPr>
          <w:rFonts w:ascii="Courier New" w:hAnsi="Courier New" w:cs="Courier New"/>
        </w:rPr>
        <w:t>SuperExactTest</w:t>
      </w:r>
      <w:r w:rsidR="0034186F">
        <w:rPr>
          <w:rFonts w:ascii="Arial" w:hAnsi="Arial" w:cs="Arial"/>
        </w:rPr>
        <w:fldChar w:fldCharType="begin"/>
      </w:r>
      <w:r w:rsidR="0034186F">
        <w:rPr>
          <w:rFonts w:ascii="Arial" w:hAnsi="Arial" w:cs="Arial"/>
        </w:rPr>
        <w:instrText xml:space="preserve"> ADDIN EN.CITE &lt;EndNote&gt;&lt;Cite&gt;&lt;Author&gt;Wang&lt;/Author&gt;&lt;Year&gt;2015&lt;/Year&gt;&lt;RecNum&gt;27697&lt;/RecNum&gt;&lt;DisplayText&gt;&lt;style face="superscript"&gt;2&lt;/style&gt;&lt;/DisplayText&gt;&lt;record&gt;&lt;rec-number&gt;27697&lt;/rec-number&gt;&lt;foreign-keys&gt;&lt;key app="EN" db-id="dwrxdawdvspaa3etd04pr5vc5tp0t5sr2r9r" timestamp="1524669134"&gt;27697&lt;/key&gt;&lt;/foreign-keys&gt;&lt;ref-type name="Journal Article"&gt;17&lt;/ref-type&gt;&lt;contributors&gt;&lt;authors&gt;&lt;author&gt;Wang, M.&lt;/author&gt;&lt;author&gt;Zhao, Y.&lt;/author&gt;&lt;author&gt;Zhang, B.&lt;/author&gt;&lt;/authors&gt;&lt;/contributors&gt;&lt;auth-address&gt;Department of Genetics and Genomic Sciences, Icahn Institute of Genomics and Multiscale Biology, Icahn School of Medicine at Mount Sinai, 1470 Madison Avenue, NY 10029, USA.&lt;/auth-address&gt;&lt;titles&gt;&lt;title&gt;Efficient Test and Visualization of Multi-Set Intersections&lt;/title&gt;&lt;secondary-title&gt;Sci Rep&lt;/secondary-title&gt;&lt;/titles&gt;&lt;periodical&gt;&lt;full-title&gt;Sci Rep&lt;/full-title&gt;&lt;/periodical&gt;&lt;pages&gt;16923&lt;/pages&gt;&lt;volume&gt;5&lt;/volume&gt;&lt;edition&gt;2015/11/26&lt;/edition&gt;&lt;keywords&gt;&lt;keyword&gt;Genome-Wide Association Study&lt;/keyword&gt;&lt;keyword&gt;Humans&lt;/keyword&gt;&lt;keyword&gt;Internet&lt;/keyword&gt;&lt;keyword&gt;*Models, Theoretical&lt;/keyword&gt;&lt;keyword&gt;Neoplasms/genetics/pathology&lt;/keyword&gt;&lt;keyword&gt;Phenotype&lt;/keyword&gt;&lt;keyword&gt;User-Computer Interface&lt;/keyword&gt;&lt;/keywords&gt;&lt;dates&gt;&lt;year&gt;2015&lt;/year&gt;&lt;pub-dates&gt;&lt;date&gt;Nov 25&lt;/date&gt;&lt;/pub-dates&gt;&lt;/dates&gt;&lt;isbn&gt;2045-2322 (Electronic)&amp;#xD;2045-2322 (Linking)&lt;/isbn&gt;&lt;accession-num&gt;26603754&lt;/accession-num&gt;&lt;urls&gt;&lt;related-urls&gt;&lt;url&gt;https://www.ncbi.nlm.nih.gov/pubmed/26603754&lt;/url&gt;&lt;/related-urls&gt;&lt;/urls&gt;&lt;custom2&gt;PMC4658477&lt;/custom2&gt;&lt;electronic-resource-num&gt;10.1038/srep16923&lt;/electronic-resource-num&gt;&lt;/record&gt;&lt;/Cite&gt;&lt;/EndNote&gt;</w:instrText>
      </w:r>
      <w:r w:rsidR="0034186F">
        <w:rPr>
          <w:rFonts w:ascii="Arial" w:hAnsi="Arial" w:cs="Arial"/>
        </w:rPr>
        <w:fldChar w:fldCharType="separate"/>
      </w:r>
      <w:r w:rsidR="0034186F" w:rsidRPr="0034186F">
        <w:rPr>
          <w:rFonts w:ascii="Arial" w:hAnsi="Arial" w:cs="Arial"/>
          <w:noProof/>
          <w:vertAlign w:val="superscript"/>
        </w:rPr>
        <w:t>2</w:t>
      </w:r>
      <w:r w:rsidR="0034186F">
        <w:rPr>
          <w:rFonts w:ascii="Arial" w:hAnsi="Arial" w:cs="Arial"/>
        </w:rPr>
        <w:fldChar w:fldCharType="end"/>
      </w:r>
      <w:r w:rsidR="0034186F">
        <w:rPr>
          <w:rFonts w:ascii="Arial" w:hAnsi="Arial" w:cs="Arial"/>
        </w:rPr>
        <w:t xml:space="preserve">. </w:t>
      </w:r>
      <w:r w:rsidR="0034186F" w:rsidRPr="0034186F">
        <w:rPr>
          <w:rFonts w:ascii="Arial" w:hAnsi="Arial" w:cs="Arial"/>
          <w:b/>
        </w:rPr>
        <w:t>B.</w:t>
      </w:r>
      <w:r w:rsidR="0034186F">
        <w:rPr>
          <w:rFonts w:ascii="Arial" w:hAnsi="Arial" w:cs="Arial"/>
        </w:rPr>
        <w:t xml:space="preserve"> </w:t>
      </w:r>
      <w:r w:rsidRPr="001D7F38">
        <w:rPr>
          <w:rFonts w:ascii="Arial" w:hAnsi="Arial" w:cs="Arial"/>
        </w:rPr>
        <w:t xml:space="preserve">Euler diagrams of </w:t>
      </w:r>
      <w:proofErr w:type="spellStart"/>
      <w:r w:rsidRPr="001D7F38">
        <w:rPr>
          <w:rFonts w:ascii="Arial" w:hAnsi="Arial" w:cs="Arial"/>
        </w:rPr>
        <w:t>publicaly</w:t>
      </w:r>
      <w:proofErr w:type="spellEnd"/>
      <w:r w:rsidRPr="001D7F38">
        <w:rPr>
          <w:rFonts w:ascii="Arial" w:hAnsi="Arial" w:cs="Arial"/>
        </w:rPr>
        <w:t xml:space="preserve"> available (GSE31280) transcriptomes in ES (top) or F9 (bottom) cells with RAR</w:t>
      </w:r>
      <w:r w:rsidRPr="001D7F38">
        <w:rPr>
          <w:rFonts w:ascii="Symbol" w:hAnsi="Symbol" w:cs="Arial"/>
        </w:rPr>
        <w:t></w:t>
      </w:r>
      <w:r w:rsidRPr="001D7F38">
        <w:rPr>
          <w:rFonts w:ascii="Arial" w:hAnsi="Arial" w:cs="Arial"/>
        </w:rPr>
        <w:t xml:space="preserve"> -/- and treated with ATRA. Data were processed with </w:t>
      </w:r>
      <w:proofErr w:type="spellStart"/>
      <w:r w:rsidRPr="0034186F">
        <w:rPr>
          <w:rFonts w:ascii="Courier New" w:hAnsi="Courier New" w:cs="Courier New"/>
        </w:rPr>
        <w:t>limma</w:t>
      </w:r>
      <w:proofErr w:type="spellEnd"/>
      <w:r w:rsidRPr="001D7F38">
        <w:rPr>
          <w:rFonts w:ascii="Arial" w:hAnsi="Arial" w:cs="Arial"/>
        </w:rPr>
        <w:t xml:space="preserve"> and the circles represent the size and overlaps of the indicated transcriptomes. </w:t>
      </w:r>
    </w:p>
    <w:p w14:paraId="7ECD5607" w14:textId="3B102516" w:rsidR="00501D93" w:rsidRPr="0034186F" w:rsidRDefault="0034186F" w:rsidP="00501D93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34186F">
        <w:rPr>
          <w:rFonts w:ascii="Arial" w:hAnsi="Arial" w:cs="Arial"/>
          <w:b/>
          <w:color w:val="000000" w:themeColor="text1"/>
        </w:rPr>
        <w:t xml:space="preserve">Supplementary Figure 17: </w:t>
      </w:r>
      <w:r w:rsidRPr="0034186F">
        <w:rPr>
          <w:rFonts w:ascii="Arial" w:hAnsi="Arial" w:cs="Arial"/>
          <w:color w:val="000000" w:themeColor="text1"/>
        </w:rPr>
        <w:t>The RAR</w:t>
      </w:r>
      <w:r w:rsidRPr="0034186F">
        <w:rPr>
          <w:rFonts w:ascii="Symbol" w:hAnsi="Symbol" w:cs="Arial"/>
          <w:color w:val="000000" w:themeColor="text1"/>
        </w:rPr>
        <w:t></w:t>
      </w:r>
      <w:r w:rsidRPr="0034186F">
        <w:rPr>
          <w:rFonts w:ascii="Arial" w:hAnsi="Arial" w:cs="Arial"/>
          <w:color w:val="000000" w:themeColor="text1"/>
        </w:rPr>
        <w:t xml:space="preserve">  and miR-96 data sets generated in the current study were overlapped with</w:t>
      </w:r>
      <w:r w:rsidR="00501D93" w:rsidRPr="0034186F">
        <w:rPr>
          <w:rFonts w:ascii="Arial" w:hAnsi="Arial" w:cs="Arial"/>
          <w:color w:val="000000" w:themeColor="text1"/>
        </w:rPr>
        <w:t xml:space="preserve"> a comprehensive list of human transcription co-factors </w:t>
      </w:r>
      <w:r w:rsidRPr="0034186F">
        <w:rPr>
          <w:rFonts w:ascii="Arial" w:hAnsi="Arial" w:cs="Arial"/>
          <w:color w:val="000000" w:themeColor="text1"/>
        </w:rPr>
        <w:t xml:space="preserve">generated </w:t>
      </w:r>
      <w:r w:rsidR="00501D93" w:rsidRPr="0034186F">
        <w:rPr>
          <w:rFonts w:ascii="Arial" w:hAnsi="Arial" w:cs="Arial"/>
          <w:color w:val="000000" w:themeColor="text1"/>
        </w:rPr>
        <w:t xml:space="preserve">by mining FANTOM, </w:t>
      </w:r>
      <w:proofErr w:type="spellStart"/>
      <w:r w:rsidR="00501D93" w:rsidRPr="0034186F">
        <w:rPr>
          <w:rFonts w:ascii="Arial" w:hAnsi="Arial" w:cs="Arial"/>
          <w:color w:val="000000" w:themeColor="text1"/>
        </w:rPr>
        <w:t>Uniprot</w:t>
      </w:r>
      <w:proofErr w:type="spellEnd"/>
      <w:r w:rsidR="00501D93" w:rsidRPr="0034186F">
        <w:rPr>
          <w:rFonts w:ascii="Arial" w:hAnsi="Arial" w:cs="Arial"/>
          <w:color w:val="000000" w:themeColor="text1"/>
        </w:rPr>
        <w:t xml:space="preserve"> and the HGNO data bases as well as Gene Ontology terms related to transcriptional control</w:t>
      </w:r>
      <w:r w:rsidRPr="0034186F">
        <w:rPr>
          <w:rFonts w:ascii="Arial" w:hAnsi="Arial" w:cs="Arial"/>
          <w:color w:val="000000" w:themeColor="text1"/>
        </w:rPr>
        <w:t xml:space="preserve">. This generated </w:t>
      </w:r>
      <w:r w:rsidR="00501D93" w:rsidRPr="0034186F">
        <w:rPr>
          <w:rFonts w:ascii="Arial" w:hAnsi="Arial" w:cs="Arial"/>
          <w:color w:val="000000" w:themeColor="text1"/>
        </w:rPr>
        <w:t xml:space="preserve"> a list of transcription factor co-repressors (n=601), co-activators (n=758) and mixed function co-regulators (n = 513). </w:t>
      </w:r>
      <w:r w:rsidRPr="0034186F">
        <w:rPr>
          <w:rFonts w:ascii="Arial" w:hAnsi="Arial" w:cs="Arial"/>
          <w:color w:val="000000" w:themeColor="text1"/>
        </w:rPr>
        <w:t>UpSetR</w:t>
      </w:r>
      <w:r w:rsidRPr="0034186F">
        <w:rPr>
          <w:rFonts w:ascii="Arial" w:hAnsi="Arial" w:cs="Arial"/>
          <w:color w:val="000000" w:themeColor="text1"/>
        </w:rPr>
        <w:fldChar w:fldCharType="begin"/>
      </w:r>
      <w:r w:rsidRPr="0034186F">
        <w:rPr>
          <w:rFonts w:ascii="Arial" w:hAnsi="Arial" w:cs="Arial"/>
          <w:color w:val="000000" w:themeColor="text1"/>
        </w:rPr>
        <w:instrText xml:space="preserve"> ADDIN EN.CITE &lt;EndNote&gt;&lt;Cite&gt;&lt;Author&gt;Conway&lt;/Author&gt;&lt;Year&gt;2017&lt;/Year&gt;&lt;RecNum&gt;27698&lt;/RecNum&gt;&lt;DisplayText&gt;&lt;style face="superscript"&gt;1&lt;/style&gt;&lt;/DisplayText&gt;&lt;record&gt;&lt;rec-number&gt;27698&lt;/rec-number&gt;&lt;foreign-keys&gt;&lt;key app="EN" db-id="dwrxdawdvspaa3etd04pr5vc5tp0t5sr2r9r" timestamp="1524669318"&gt;27698&lt;/key&gt;&lt;/foreign-keys&gt;&lt;ref-type name="Journal Article"&gt;17&lt;/ref-type&gt;&lt;contributors&gt;&lt;authors&gt;&lt;author&gt;Conway, J. R.&lt;/author&gt;&lt;author&gt;Lex, A.&lt;/author&gt;&lt;author&gt;Gehlenborg, N.&lt;/author&gt;&lt;/authors&gt;&lt;/contributors&gt;&lt;auth-address&gt;Department of Biomedical Informatics, Harvard Medical School, Boston, MA 02115, USA.&amp;#xD;SCI Institute, School of Computing, University of Utah, Salt Lake City, UT 84112, USA.&lt;/auth-address&gt;&lt;titles&gt;&lt;title&gt;UpSetR: an R package for the visualization of intersecting sets and their properties&lt;/title&gt;&lt;secondary-title&gt;Bioinformatics&lt;/secondary-title&gt;&lt;/titles&gt;&lt;periodical&gt;&lt;full-title&gt;Bioinformatics&lt;/full-title&gt;&lt;/periodical&gt;&lt;pages&gt;2938-2940&lt;/pages&gt;&lt;volume&gt;33&lt;/volume&gt;&lt;number&gt;18&lt;/number&gt;&lt;edition&gt;2017/06/25&lt;/edition&gt;&lt;dates&gt;&lt;year&gt;2017&lt;/year&gt;&lt;pub-dates&gt;&lt;date&gt;Sep 15&lt;/date&gt;&lt;/pub-dates&gt;&lt;/dates&gt;&lt;isbn&gt;1367-4811 (Electronic)&amp;#xD;1367-4803 (Linking)&lt;/isbn&gt;&lt;accession-num&gt;28645171&lt;/accession-num&gt;&lt;urls&gt;&lt;related-urls&gt;&lt;url&gt;https://www.ncbi.nlm.nih.gov/pubmed/28645171&lt;/url&gt;&lt;/related-urls&gt;&lt;/urls&gt;&lt;custom2&gt;PMC5870712&lt;/custom2&gt;&lt;electronic-resource-num&gt;10.1093/bioinformatics/btx364&lt;/electronic-resource-num&gt;&lt;/record&gt;&lt;/Cite&gt;&lt;/EndNote&gt;</w:instrText>
      </w:r>
      <w:r w:rsidRPr="0034186F">
        <w:rPr>
          <w:rFonts w:ascii="Arial" w:hAnsi="Arial" w:cs="Arial"/>
          <w:color w:val="000000" w:themeColor="text1"/>
        </w:rPr>
        <w:fldChar w:fldCharType="separate"/>
      </w:r>
      <w:r w:rsidRPr="0034186F">
        <w:rPr>
          <w:rFonts w:ascii="Arial" w:hAnsi="Arial" w:cs="Arial"/>
          <w:noProof/>
          <w:color w:val="000000" w:themeColor="text1"/>
          <w:vertAlign w:val="superscript"/>
        </w:rPr>
        <w:t>1</w:t>
      </w:r>
      <w:r w:rsidRPr="0034186F">
        <w:rPr>
          <w:rFonts w:ascii="Arial" w:hAnsi="Arial" w:cs="Arial"/>
          <w:color w:val="000000" w:themeColor="text1"/>
        </w:rPr>
        <w:fldChar w:fldCharType="end"/>
      </w:r>
      <w:r w:rsidR="00501D93" w:rsidRPr="0034186F">
        <w:rPr>
          <w:rFonts w:ascii="Arial" w:hAnsi="Arial" w:cs="Arial"/>
          <w:color w:val="000000" w:themeColor="text1"/>
        </w:rPr>
        <w:t xml:space="preserve"> </w:t>
      </w:r>
      <w:r w:rsidRPr="0034186F">
        <w:rPr>
          <w:rFonts w:ascii="Arial" w:hAnsi="Arial" w:cs="Arial"/>
          <w:color w:val="000000" w:themeColor="text1"/>
        </w:rPr>
        <w:t>was used</w:t>
      </w:r>
      <w:r w:rsidR="00501D93" w:rsidRPr="0034186F">
        <w:rPr>
          <w:rFonts w:ascii="Arial" w:hAnsi="Arial" w:cs="Arial"/>
          <w:color w:val="000000" w:themeColor="text1"/>
        </w:rPr>
        <w:t xml:space="preserve"> </w:t>
      </w:r>
      <w:r w:rsidRPr="0034186F">
        <w:rPr>
          <w:rFonts w:ascii="Arial" w:hAnsi="Arial" w:cs="Arial"/>
          <w:color w:val="000000" w:themeColor="text1"/>
        </w:rPr>
        <w:t xml:space="preserve">to visualized the overlaps between </w:t>
      </w:r>
      <w:r w:rsidR="00501D93" w:rsidRPr="0034186F">
        <w:rPr>
          <w:rFonts w:ascii="Arial" w:hAnsi="Arial" w:cs="Arial"/>
          <w:color w:val="000000" w:themeColor="text1"/>
        </w:rPr>
        <w:t>these groups of co-factors with the conditional gene sets identified in the current study.</w:t>
      </w:r>
    </w:p>
    <w:p w14:paraId="3D5580A5" w14:textId="77777777" w:rsidR="00501D93" w:rsidRPr="0034186F" w:rsidRDefault="00501D93" w:rsidP="00171609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14:paraId="48F34700" w14:textId="77777777" w:rsidR="00171609" w:rsidRDefault="00171609" w:rsidP="00171609">
      <w:pPr>
        <w:spacing w:before="120" w:after="120" w:line="360" w:lineRule="auto"/>
        <w:jc w:val="both"/>
        <w:rPr>
          <w:rFonts w:ascii="Arial" w:hAnsi="Arial" w:cs="Arial"/>
        </w:rPr>
      </w:pPr>
    </w:p>
    <w:p w14:paraId="7F09D330" w14:textId="77777777" w:rsidR="0034186F" w:rsidRDefault="0034186F"/>
    <w:p w14:paraId="5B56334F" w14:textId="77777777" w:rsidR="0034186F" w:rsidRDefault="0034186F"/>
    <w:p w14:paraId="2F3BF90C" w14:textId="77777777" w:rsidR="0034186F" w:rsidRPr="0034186F" w:rsidRDefault="0034186F" w:rsidP="0034186F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4186F">
        <w:rPr>
          <w:noProof/>
        </w:rPr>
        <w:t>1</w:t>
      </w:r>
      <w:r w:rsidRPr="0034186F">
        <w:rPr>
          <w:noProof/>
        </w:rPr>
        <w:tab/>
        <w:t>Conway JR, Lex A, Gehlenborg N. UpSetR: an R package for the visualization of intersecting sets and their properties. Bioinformatics 2017; 33: 2938-2940.</w:t>
      </w:r>
    </w:p>
    <w:p w14:paraId="3EC2B30A" w14:textId="77777777" w:rsidR="0034186F" w:rsidRPr="0034186F" w:rsidRDefault="0034186F" w:rsidP="0034186F">
      <w:pPr>
        <w:pStyle w:val="EndNoteBibliography"/>
        <w:spacing w:after="0"/>
        <w:rPr>
          <w:noProof/>
        </w:rPr>
      </w:pPr>
    </w:p>
    <w:p w14:paraId="023003DB" w14:textId="77777777" w:rsidR="0034186F" w:rsidRPr="0034186F" w:rsidRDefault="0034186F" w:rsidP="0034186F">
      <w:pPr>
        <w:pStyle w:val="EndNoteBibliography"/>
        <w:ind w:left="720" w:hanging="720"/>
        <w:rPr>
          <w:noProof/>
        </w:rPr>
      </w:pPr>
      <w:r w:rsidRPr="0034186F">
        <w:rPr>
          <w:noProof/>
        </w:rPr>
        <w:t>2</w:t>
      </w:r>
      <w:r w:rsidRPr="0034186F">
        <w:rPr>
          <w:noProof/>
        </w:rPr>
        <w:tab/>
        <w:t>Wang M, Zhao Y, Zhang B. Efficient Test and Visualization of Multi-Set Intersections. Sci Rep 2015; 5: 16923.</w:t>
      </w:r>
    </w:p>
    <w:p w14:paraId="23DFCFB4" w14:textId="77777777" w:rsidR="0034186F" w:rsidRPr="0034186F" w:rsidRDefault="0034186F" w:rsidP="0034186F">
      <w:pPr>
        <w:pStyle w:val="EndNoteBibliography"/>
        <w:rPr>
          <w:noProof/>
        </w:rPr>
      </w:pPr>
    </w:p>
    <w:p w14:paraId="37F7A643" w14:textId="0710A03C" w:rsidR="00CE2545" w:rsidRDefault="0034186F">
      <w:r>
        <w:fldChar w:fldCharType="end"/>
      </w:r>
    </w:p>
    <w:sectPr w:rsidR="00CE2545" w:rsidSect="000D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Oncoge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rxdawdvspaa3etd04pr5vc5tp0t5sr2r9r&quot;&gt;My EndNote Library&lt;record-ids&gt;&lt;item&gt;27697&lt;/item&gt;&lt;item&gt;27698&lt;/item&gt;&lt;/record-ids&gt;&lt;/item&gt;&lt;/Libraries&gt;"/>
  </w:docVars>
  <w:rsids>
    <w:rsidRoot w:val="00171609"/>
    <w:rsid w:val="00006771"/>
    <w:rsid w:val="000362CF"/>
    <w:rsid w:val="000624A8"/>
    <w:rsid w:val="00062FAF"/>
    <w:rsid w:val="00084FFC"/>
    <w:rsid w:val="00094B76"/>
    <w:rsid w:val="000B04FE"/>
    <w:rsid w:val="000B075C"/>
    <w:rsid w:val="000D147B"/>
    <w:rsid w:val="000F0DC8"/>
    <w:rsid w:val="00105C4B"/>
    <w:rsid w:val="00107EE0"/>
    <w:rsid w:val="00150C5F"/>
    <w:rsid w:val="00163868"/>
    <w:rsid w:val="00171609"/>
    <w:rsid w:val="001B2B9C"/>
    <w:rsid w:val="001E62DE"/>
    <w:rsid w:val="00203E9B"/>
    <w:rsid w:val="0024571C"/>
    <w:rsid w:val="0026687C"/>
    <w:rsid w:val="002B540F"/>
    <w:rsid w:val="002F6E12"/>
    <w:rsid w:val="00322257"/>
    <w:rsid w:val="00322EC4"/>
    <w:rsid w:val="0033546D"/>
    <w:rsid w:val="00335F3B"/>
    <w:rsid w:val="0034186F"/>
    <w:rsid w:val="00343CC5"/>
    <w:rsid w:val="00351496"/>
    <w:rsid w:val="00376847"/>
    <w:rsid w:val="003F3F0A"/>
    <w:rsid w:val="003F75DE"/>
    <w:rsid w:val="004034DF"/>
    <w:rsid w:val="0043775C"/>
    <w:rsid w:val="00442C40"/>
    <w:rsid w:val="00456DE4"/>
    <w:rsid w:val="004626B3"/>
    <w:rsid w:val="004D7F95"/>
    <w:rsid w:val="004F7D90"/>
    <w:rsid w:val="00501AF4"/>
    <w:rsid w:val="00501D93"/>
    <w:rsid w:val="005255CB"/>
    <w:rsid w:val="005A216A"/>
    <w:rsid w:val="005A28A1"/>
    <w:rsid w:val="005B6081"/>
    <w:rsid w:val="005D480F"/>
    <w:rsid w:val="005F26AD"/>
    <w:rsid w:val="0060422B"/>
    <w:rsid w:val="00624702"/>
    <w:rsid w:val="006376C1"/>
    <w:rsid w:val="0069343B"/>
    <w:rsid w:val="00706017"/>
    <w:rsid w:val="00740D70"/>
    <w:rsid w:val="00741983"/>
    <w:rsid w:val="00743F77"/>
    <w:rsid w:val="007549A4"/>
    <w:rsid w:val="00763B45"/>
    <w:rsid w:val="00763C76"/>
    <w:rsid w:val="00785C43"/>
    <w:rsid w:val="007C0347"/>
    <w:rsid w:val="007D50A7"/>
    <w:rsid w:val="007E3342"/>
    <w:rsid w:val="007E5366"/>
    <w:rsid w:val="00842F40"/>
    <w:rsid w:val="00860021"/>
    <w:rsid w:val="00895B44"/>
    <w:rsid w:val="008C55F2"/>
    <w:rsid w:val="008E7179"/>
    <w:rsid w:val="008F629B"/>
    <w:rsid w:val="00907E7E"/>
    <w:rsid w:val="009C7ECB"/>
    <w:rsid w:val="00A02BE8"/>
    <w:rsid w:val="00A2253C"/>
    <w:rsid w:val="00A8528E"/>
    <w:rsid w:val="00A9224C"/>
    <w:rsid w:val="00AD5AFA"/>
    <w:rsid w:val="00AE21FA"/>
    <w:rsid w:val="00B70DF3"/>
    <w:rsid w:val="00B85142"/>
    <w:rsid w:val="00C12064"/>
    <w:rsid w:val="00C32B8A"/>
    <w:rsid w:val="00C45D89"/>
    <w:rsid w:val="00CF1C30"/>
    <w:rsid w:val="00CF7593"/>
    <w:rsid w:val="00D12FC8"/>
    <w:rsid w:val="00D74EE7"/>
    <w:rsid w:val="00D843A8"/>
    <w:rsid w:val="00D92912"/>
    <w:rsid w:val="00DA6E87"/>
    <w:rsid w:val="00DB0F88"/>
    <w:rsid w:val="00DF000F"/>
    <w:rsid w:val="00E30EF7"/>
    <w:rsid w:val="00E42EC9"/>
    <w:rsid w:val="00E43D74"/>
    <w:rsid w:val="00E56B53"/>
    <w:rsid w:val="00E619C5"/>
    <w:rsid w:val="00E62C40"/>
    <w:rsid w:val="00E62DD3"/>
    <w:rsid w:val="00E6497E"/>
    <w:rsid w:val="00E93A4C"/>
    <w:rsid w:val="00E93DB7"/>
    <w:rsid w:val="00EA05A3"/>
    <w:rsid w:val="00ED6F81"/>
    <w:rsid w:val="00F40FDF"/>
    <w:rsid w:val="00F832A3"/>
    <w:rsid w:val="00FB626A"/>
    <w:rsid w:val="00FC02BD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45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7160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4186F"/>
    <w:pPr>
      <w:spacing w:after="0"/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4186F"/>
    <w:rPr>
      <w:rFonts w:ascii="Calibri" w:eastAsia="Calibri" w:hAnsi="Calibri" w:cs="Calibri"/>
      <w:color w:val="000000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4186F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34186F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2018-04-25T15:20:00Z</dcterms:created>
  <dcterms:modified xsi:type="dcterms:W3CDTF">2018-04-25T17:32:00Z</dcterms:modified>
</cp:coreProperties>
</file>